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Transformer Architecture in Natural Language Processing</w:t>
      </w:r>
    </w:p>
    <w:p>
      <w:r>
        <w:t>The Transformer architecture was introduced in 2017 by Vaswani et al. in the landmark paper 'Attention Is All You Need'. Unlike recurrent models such as LSTMs and GRUs, the Transformer eliminates recurrence entirely, relying exclusively on multi-head self-attention mechanisms to model relationships between tokens in parallel across sequence positions.</w:t>
      </w:r>
    </w:p>
    <w:p>
      <w:pPr>
        <w:pStyle w:val="Heading2"/>
      </w:pPr>
      <w:r>
        <w:t>Scaled Dot-Product Attention Rationale</w:t>
      </w:r>
    </w:p>
    <w:p>
      <w:r>
        <w:t>In scaled dot-product attention, query and key vectors are multiplied and scaled by the square root of the key dimension, sqrt(d_k). The theoretical justification is that for large values of d_k, the dot products grow large in magnitude, pushing the softmax function into regions with extremely small gradients (vanishing gradients). Dividing by sqrt(d_k) stabilizes the variance of the dot products to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