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FE6F" w14:textId="0909C358" w:rsidR="00896EA6" w:rsidRPr="009D2B60" w:rsidRDefault="00896EA6" w:rsidP="00896EA6">
      <w:pPr>
        <w:rPr>
          <w:rFonts w:ascii="Times New Roman" w:hAnsi="Times New Roman" w:cs="Times New Roman"/>
          <w:lang w:val="en-US"/>
        </w:rPr>
      </w:pPr>
      <w:r w:rsidRPr="009D2B60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en-US"/>
        </w:rPr>
        <w:t>Exploring the Drivers of Youth Pursuing Vocational Training in High-Paying Sectors in Côte d’Ivoire</w:t>
      </w:r>
    </w:p>
    <w:p w14:paraId="7D7BE16C" w14:textId="177AA0EA" w:rsidR="00896EA6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This folder contains the reproducibility package for the Working Paper “Exploring the Drivers of Youth Pursuing Vocational Training in High-Paying Sectors in Côte d’Ivoire” by Clara Delavallade, Manil Zenaki, Léa Rouanet, and Estelle Koussoubé. </w:t>
      </w:r>
    </w:p>
    <w:p w14:paraId="78E420E0" w14:textId="5D0E971D" w:rsidR="00896EA6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If you run into any troubles running this code or reproducing results, please contact </w:t>
      </w:r>
      <w:hyperlink r:id="rId5" w:history="1">
        <w:r w:rsidRPr="009D2B6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mzenaki@worldbank.org</w:t>
        </w:r>
      </w:hyperlink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56660A" w14:textId="493A3234" w:rsidR="00D1471C" w:rsidRPr="009D2B60" w:rsidRDefault="00E46062" w:rsidP="00896E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Overview</w:t>
      </w:r>
    </w:p>
    <w:p w14:paraId="3B30AF63" w14:textId="6710C877" w:rsidR="005B340E" w:rsidRPr="009D2B60" w:rsidRDefault="005B340E" w:rsidP="00FB0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This paper relies on two data source</w:t>
      </w:r>
      <w:r w:rsidR="00D3381E" w:rsidRPr="009D2B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5C61A8" w14:textId="26420F61" w:rsidR="00D3381E" w:rsidRPr="009D2B60" w:rsidRDefault="00D3381E" w:rsidP="00D33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Enquête sur le Niveau de Vie des Ménages 2015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(henceforth: ENV 2015 data)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wich translates to The Household Living Standards Survey 2015 in English. </w:t>
      </w:r>
    </w:p>
    <w:p w14:paraId="7F6FCAF1" w14:textId="35EA59D3" w:rsidR="00D3381E" w:rsidRPr="009D2B60" w:rsidRDefault="00E649A3" w:rsidP="00D33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Baseline data collected as part of the P</w:t>
      </w:r>
      <w:r w:rsidR="004F5B2B" w:rsidRPr="009D2B60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-Jeunes </w:t>
      </w:r>
      <w:r w:rsidR="00436DA7" w:rsidRPr="009D2B6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mpact evaluation (henceforth: P</w:t>
      </w:r>
      <w:r w:rsidR="004F5B2B" w:rsidRPr="009D2B60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-Jeunes </w:t>
      </w:r>
      <w:r w:rsidR="000D35BF" w:rsidRPr="009D2B60">
        <w:rPr>
          <w:rFonts w:ascii="Times New Roman" w:hAnsi="Times New Roman" w:cs="Times New Roman"/>
          <w:sz w:val="24"/>
          <w:szCs w:val="24"/>
          <w:lang w:val="en-US"/>
        </w:rPr>
        <w:t>data)</w:t>
      </w:r>
    </w:p>
    <w:p w14:paraId="1D215E98" w14:textId="77777777" w:rsidR="000D35BF" w:rsidRPr="009D2B60" w:rsidRDefault="000D35BF" w:rsidP="000D35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27966D" w14:textId="312A8ED2" w:rsidR="00065C8B" w:rsidRPr="009D2B60" w:rsidRDefault="00FB0A67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This readme file describes the attached .do files, and how to</w:t>
      </w:r>
      <w:r w:rsidR="00BE571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replicate the analysis in our paper given access to the data. </w:t>
      </w:r>
      <w:r w:rsidR="000D698B"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Below we provide descriptions of each of the two main datasets used in the paper, the 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ENV 2015 </w:t>
      </w:r>
      <w:r w:rsidR="000D698B"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dataset and the 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P</w:t>
      </w:r>
      <w:r w:rsidR="004F5B2B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RO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-Jeunes</w:t>
      </w:r>
      <w:r w:rsidR="000D698B"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dataset. Each description below includes data availability statements, data citations, dataset lists and </w:t>
      </w:r>
      <w:r w:rsidR="000C6147"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>descriptions</w:t>
      </w:r>
      <w:r w:rsidR="000C614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r w:rsidR="000C614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In</w:t>
      </w:r>
      <w:r w:rsidR="00065C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addition, we </w:t>
      </w:r>
      <w:r w:rsidR="000C6147">
        <w:rPr>
          <w:rFonts w:ascii="Times New Roman" w:hAnsi="Times New Roman" w:cs="Times New Roman"/>
          <w:kern w:val="0"/>
          <w:sz w:val="24"/>
          <w:szCs w:val="24"/>
          <w:lang w:val="en-US"/>
        </w:rPr>
        <w:t>describe</w:t>
      </w:r>
      <w:r w:rsidR="00065C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the code, instructions </w:t>
      </w:r>
      <w:r w:rsidR="000C6147">
        <w:rPr>
          <w:rFonts w:ascii="Times New Roman" w:hAnsi="Times New Roman" w:cs="Times New Roman"/>
          <w:kern w:val="0"/>
          <w:sz w:val="24"/>
          <w:szCs w:val="24"/>
          <w:lang w:val="en-US"/>
        </w:rPr>
        <w:t>for replicators,</w:t>
      </w:r>
      <w:r w:rsidR="00065C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and information about computational requirements.  </w:t>
      </w:r>
    </w:p>
    <w:p w14:paraId="6B3DD6C4" w14:textId="77777777" w:rsidR="00DB3833" w:rsidRPr="009D2B60" w:rsidRDefault="00DB3833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4EFD584" w14:textId="77777777" w:rsidR="00DB3833" w:rsidRPr="009D2B60" w:rsidRDefault="00DB3833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E68B8A1" w14:textId="4D7CDF3E" w:rsidR="00195EC3" w:rsidRPr="009D2B60" w:rsidRDefault="00195EC3" w:rsidP="00195EC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Data </w:t>
      </w:r>
      <w:r w:rsidR="00065C8B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Availa</w:t>
      </w:r>
      <w:r w:rsidR="002F6305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bility </w:t>
      </w:r>
    </w:p>
    <w:p w14:paraId="465E243D" w14:textId="30E46975" w:rsidR="007256E8" w:rsidRPr="009D2B60" w:rsidRDefault="00FA17D3" w:rsidP="00195EC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ENV 2015 </w:t>
      </w:r>
    </w:p>
    <w:p w14:paraId="0DD05B73" w14:textId="54062A45" w:rsidR="00CB3D29" w:rsidRPr="000221BF" w:rsidRDefault="00750E4F" w:rsidP="00345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raw dataset that we use in our paper </w:t>
      </w:r>
      <w:r w:rsidR="00263A7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to determine which sectors </w:t>
      </w:r>
      <w:r w:rsidR="00345F9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more lucrative (high-paying sectors) and which are male-dominated is the ENV 2015 data.</w:t>
      </w:r>
      <w:r w:rsidR="000B5FE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0B5FE7" w:rsidRPr="000221BF">
        <w:rPr>
          <w:rFonts w:ascii="Times New Roman" w:hAnsi="Times New Roman" w:cs="Times New Roman"/>
          <w:kern w:val="0"/>
          <w:sz w:val="24"/>
          <w:szCs w:val="24"/>
        </w:rPr>
        <w:t xml:space="preserve">The citation for this data </w:t>
      </w:r>
      <w:r w:rsidR="006B6A67" w:rsidRPr="000221BF">
        <w:rPr>
          <w:rFonts w:ascii="Times New Roman" w:hAnsi="Times New Roman" w:cs="Times New Roman"/>
          <w:kern w:val="0"/>
          <w:sz w:val="24"/>
          <w:szCs w:val="24"/>
        </w:rPr>
        <w:t>is:</w:t>
      </w:r>
      <w:r w:rsidR="000B5FE7" w:rsidRPr="000221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3BDCE1E5" w14:textId="3FF82514" w:rsidR="000B5FE7" w:rsidRPr="009D2B60" w:rsidRDefault="000B5FE7" w:rsidP="006B6A67">
      <w:pPr>
        <w:pStyle w:val="Quote"/>
        <w:jc w:val="left"/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</w:pPr>
      <w:r w:rsidRPr="000221BF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</w:rPr>
        <w:t xml:space="preserve">Institut National de la Statistique. Enquête sur le Niveau de Vie des Ménages (ENV) 2015. </w:t>
      </w:r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Ref. CIV_2015_ENV_v01_M</w:t>
      </w:r>
      <w:r w:rsidR="006B6A67"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. </w:t>
      </w:r>
    </w:p>
    <w:p w14:paraId="46131E20" w14:textId="012CE797" w:rsidR="00195EC3" w:rsidRDefault="006C5FDC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ENV data is a set of </w:t>
      </w:r>
      <w:r w:rsidR="00A47DD5">
        <w:rPr>
          <w:rFonts w:ascii="Times New Roman" w:hAnsi="Times New Roman" w:cs="Times New Roman"/>
          <w:kern w:val="0"/>
          <w:sz w:val="24"/>
          <w:szCs w:val="24"/>
          <w:lang w:val="en-US"/>
        </w:rPr>
        <w:t>36</w:t>
      </w:r>
      <w:r w:rsidR="00AA3671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files</w:t>
      </w:r>
      <w:r w:rsidR="00AA3671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Only </w:t>
      </w:r>
      <w:r w:rsidR="0061248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</w:t>
      </w:r>
      <w:r w:rsidR="00AA3671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three </w:t>
      </w:r>
      <w:r w:rsidR="0061248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following files are used to replicate </w:t>
      </w:r>
      <w:r w:rsidR="004A572F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paper’s results </w:t>
      </w:r>
      <w:r w:rsidR="0061248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: </w:t>
      </w:r>
    </w:p>
    <w:p w14:paraId="6B091B3F" w14:textId="240BD2F6" w:rsidR="0061248D" w:rsidRDefault="00892F9C" w:rsidP="006124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Section EB</w:t>
      </w:r>
      <w:r w:rsidR="00F07774"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.dta</w:t>
      </w:r>
      <w:r w:rsidR="00F07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</w:t>
      </w:r>
      <w:r w:rsidR="00640474">
        <w:rPr>
          <w:rFonts w:ascii="Times New Roman" w:hAnsi="Times New Roman" w:cs="Times New Roman"/>
          <w:kern w:val="0"/>
          <w:sz w:val="24"/>
          <w:szCs w:val="24"/>
          <w:lang w:val="en-US"/>
        </w:rPr>
        <w:t>data on the economic activities carried out by each respondent.</w:t>
      </w:r>
    </w:p>
    <w:p w14:paraId="78D014BC" w14:textId="62CFA363" w:rsidR="00F07774" w:rsidRDefault="00F07774" w:rsidP="006124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Section A.dta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data on </w:t>
      </w:r>
      <w:r w:rsidR="006404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gender of each respondent</w:t>
      </w:r>
      <w:r w:rsidR="0028077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and weight to apply to each observation</w:t>
      </w:r>
      <w:r w:rsidR="00640474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77D432E7" w14:textId="69A0DECC" w:rsidR="00F07774" w:rsidRDefault="00F07774" w:rsidP="006124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40474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Section I.dta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data on </w:t>
      </w:r>
      <w:r w:rsidR="00640474">
        <w:rPr>
          <w:rFonts w:ascii="Times New Roman" w:hAnsi="Times New Roman" w:cs="Times New Roman"/>
          <w:kern w:val="0"/>
          <w:sz w:val="24"/>
          <w:szCs w:val="24"/>
          <w:lang w:val="en-US"/>
        </w:rPr>
        <w:t>the remuneration of each respondent.</w:t>
      </w:r>
    </w:p>
    <w:p w14:paraId="12076B2B" w14:textId="77777777" w:rsidR="00280774" w:rsidRPr="0061248D" w:rsidRDefault="00280774" w:rsidP="002807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40AE0A6" w14:textId="77777777" w:rsidR="00E74484" w:rsidRDefault="00E74484" w:rsidP="009C680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</w:p>
    <w:p w14:paraId="606D473D" w14:textId="77777777" w:rsidR="00E74484" w:rsidRDefault="00E74484" w:rsidP="009C680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</w:p>
    <w:p w14:paraId="784188B5" w14:textId="3058F9A0" w:rsidR="00323D67" w:rsidRPr="009D2B60" w:rsidRDefault="004F5B2B" w:rsidP="009C680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lastRenderedPageBreak/>
        <w:t>PRO-Jeunes</w:t>
      </w:r>
      <w:r w:rsidR="00892F06" w:rsidRPr="009D2B6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 Data</w:t>
      </w:r>
    </w:p>
    <w:p w14:paraId="18CD479D" w14:textId="63433086" w:rsidR="00892F06" w:rsidRPr="009D2B60" w:rsidRDefault="00F51A2F" w:rsidP="00810568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The PRO-Jeunes data is a set of 2 files corresponding to baseline data collected on two cohorts as part of an impact evaluation</w:t>
      </w:r>
      <w:r w:rsidR="00A44A8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r w:rsidR="00692F82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</w:t>
      </w:r>
      <w:r w:rsidR="00A1588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ese files correspond to raw dataset as provided by </w:t>
      </w:r>
      <w:r w:rsidR="009759A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Innovation</w:t>
      </w:r>
      <w:r w:rsidR="00FA59F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s</w:t>
      </w:r>
      <w:r w:rsidR="009759A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for Poverty Action</w:t>
      </w:r>
      <w:r w:rsidR="00246CC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a research organization that performed the data collection. </w:t>
      </w:r>
      <w:r w:rsidR="00A1588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323D6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only change we have made is the deletion of </w:t>
      </w:r>
      <w:r w:rsidR="00A1588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per</w:t>
      </w:r>
      <w:r w:rsidR="009759A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sonal identifiable information</w:t>
      </w:r>
      <w:r w:rsidR="00CE146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r w:rsidR="00810568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The PRO-Jeunes data is already included in the rep</w:t>
      </w:r>
      <w:r w:rsidR="004C2D31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roducibility package</w:t>
      </w:r>
      <w:r w:rsidR="008D7068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(WB_projeune_paper-replication_package_v2</w:t>
      </w:r>
      <w:r w:rsidR="002F630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\Data\Raw\Pro-Jeunes) and</w:t>
      </w:r>
      <w:r w:rsidR="004C2D31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is publicly available. </w:t>
      </w:r>
    </w:p>
    <w:p w14:paraId="1D951973" w14:textId="335B4335" w:rsidR="002A21C7" w:rsidRPr="009D2B60" w:rsidRDefault="002A21C7" w:rsidP="002A21C7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Description of programs/code</w:t>
      </w:r>
    </w:p>
    <w:p w14:paraId="3F5B63DE" w14:textId="3B107CD6" w:rsidR="002A21C7" w:rsidRPr="009D2B60" w:rsidRDefault="00955C5F" w:rsidP="00B074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0-master.do </w:t>
      </w:r>
      <w:r w:rsidR="002F4AB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is the main do-file that calls upon and runs all the other do-files in the reproducibility package </w:t>
      </w:r>
    </w:p>
    <w:p w14:paraId="77F36AC7" w14:textId="40EBA156" w:rsidR="005E0A8F" w:rsidRPr="009D2B60" w:rsidRDefault="002115BC" w:rsidP="005E0A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WB_projeune_paper-replication_package_v2\Dofiles\Main </w:t>
      </w:r>
      <w:r w:rsidR="005E0A8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contains all the dofiles, except for the one that generates Figure A.1 </w:t>
      </w:r>
    </w:p>
    <w:p w14:paraId="32026143" w14:textId="525E4241" w:rsidR="0007350C" w:rsidRPr="009D2B60" w:rsidRDefault="00AF3D66" w:rsidP="005E0A8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Cleaning: </w:t>
      </w:r>
      <w:r w:rsidR="00C1682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f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older that contains all the dofiles required for variable creation and cleaning </w:t>
      </w:r>
    </w:p>
    <w:p w14:paraId="50DCF9C1" w14:textId="5D544756" w:rsidR="00C16825" w:rsidRPr="009D2B60" w:rsidRDefault="00C16825" w:rsidP="00C168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Graphs: folder that contains all the dofiles required to generate the figures</w:t>
      </w:r>
      <w:r w:rsidR="009B2F8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that are not in the appendix. </w:t>
      </w:r>
    </w:p>
    <w:p w14:paraId="63E53718" w14:textId="0805ACD3" w:rsidR="009B2F8A" w:rsidRPr="009D2B60" w:rsidRDefault="009B2F8A" w:rsidP="009B2F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Tables: folder that contains all the dofiles required to generate the tables that are not in the appendix. </w:t>
      </w:r>
    </w:p>
    <w:p w14:paraId="5FF35267" w14:textId="3C5E07AE" w:rsidR="00AF3D66" w:rsidRPr="009D2B60" w:rsidRDefault="009B2F8A" w:rsidP="009B2F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WB_projeune_paper-replication_package_v2\Dofiles\</w:t>
      </w:r>
      <w:r w:rsidR="005D19A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Appendix</w:t>
      </w:r>
      <w:r w:rsidR="009312B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\Graphs contains the dofile that generates </w:t>
      </w:r>
      <w:r w:rsidR="001C3DBD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Figure A1 in the Appendix. </w:t>
      </w:r>
    </w:p>
    <w:p w14:paraId="7BC8DC9B" w14:textId="77777777" w:rsidR="002A21C7" w:rsidRPr="009D2B60" w:rsidRDefault="002A21C7" w:rsidP="002A21C7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License for Code</w:t>
      </w:r>
    </w:p>
    <w:p w14:paraId="65FB7BCA" w14:textId="19B3868A" w:rsidR="002A21C7" w:rsidRPr="009D2B60" w:rsidRDefault="002A21C7" w:rsidP="00810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code is licensed under a Creative Commons license. See LICENSE for details.</w:t>
      </w:r>
    </w:p>
    <w:p w14:paraId="29FC1E9A" w14:textId="77777777" w:rsidR="00896EA6" w:rsidRPr="009D2B60" w:rsidRDefault="00896EA6" w:rsidP="00896E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Computational requirements</w:t>
      </w:r>
    </w:p>
    <w:p w14:paraId="482EB0F1" w14:textId="77777777" w:rsidR="00896EA6" w:rsidRPr="009D2B60" w:rsidRDefault="00896EA6" w:rsidP="00896EA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Software Requirements</w:t>
      </w:r>
    </w:p>
    <w:p w14:paraId="0F2579D1" w14:textId="77777777" w:rsidR="00896EA6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• Stata (code was last run with version 16)</w:t>
      </w:r>
    </w:p>
    <w:p w14:paraId="3704E388" w14:textId="7E35DA03" w:rsidR="00896EA6" w:rsidRPr="009D2B60" w:rsidRDefault="00C51A9F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96EA6" w:rsidRPr="009D2B60">
        <w:rPr>
          <w:rFonts w:ascii="Times New Roman" w:hAnsi="Times New Roman" w:cs="Times New Roman"/>
          <w:sz w:val="24"/>
          <w:szCs w:val="24"/>
          <w:lang w:val="en-US"/>
        </w:rPr>
        <w:t>genmore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(version 3.4.2) </w:t>
      </w:r>
    </w:p>
    <w:p w14:paraId="5FB54F99" w14:textId="013C58F0" w:rsidR="00896EA6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boottest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(4.4.7)</w:t>
      </w:r>
    </w:p>
    <w:p w14:paraId="2DA9449D" w14:textId="7519EBCF" w:rsidR="00896EA6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listtab</w:t>
      </w:r>
    </w:p>
    <w:p w14:paraId="5EBDFE85" w14:textId="17F737CE" w:rsidR="00C51A9F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schemepack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(1.1)</w:t>
      </w:r>
    </w:p>
    <w:p w14:paraId="623D4BE0" w14:textId="2294ECD9" w:rsidR="00896EA6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program “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>0-master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.do” will install all dependencies locally if the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local packages in line 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>49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is set to 1.</w:t>
      </w:r>
    </w:p>
    <w:p w14:paraId="6494B2E8" w14:textId="77777777" w:rsidR="00896EA6" w:rsidRPr="009D2B60" w:rsidRDefault="00896EA6" w:rsidP="00336F2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Memory and Runtime Requirements</w:t>
      </w:r>
    </w:p>
    <w:p w14:paraId="759B80B6" w14:textId="77777777" w:rsidR="00336F2D" w:rsidRPr="009D2B60" w:rsidRDefault="00896EA6" w:rsidP="00896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code was last run on a Windows 1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laptop with 16GB of RAM.</w:t>
      </w:r>
    </w:p>
    <w:p w14:paraId="1BE19497" w14:textId="3E15218E" w:rsidR="00896EA6" w:rsidRPr="009D2B60" w:rsidRDefault="00896EA6" w:rsidP="00896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Stata analysis code takes 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>approximately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5 minutes to run.</w:t>
      </w:r>
    </w:p>
    <w:p w14:paraId="380E2778" w14:textId="77777777" w:rsidR="00896EA6" w:rsidRPr="00A47D9C" w:rsidRDefault="00896EA6" w:rsidP="00896E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A47D9C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Instructions to Replicators</w:t>
      </w:r>
    </w:p>
    <w:p w14:paraId="267862B2" w14:textId="6720F7B2" w:rsidR="00336F2D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code to reproduce the results included in the working paper. To recreate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the outputs, follow the steps </w:t>
      </w:r>
      <w:r w:rsidR="00516CE6" w:rsidRPr="009D2B60">
        <w:rPr>
          <w:rFonts w:ascii="Times New Roman" w:hAnsi="Times New Roman" w:cs="Times New Roman"/>
          <w:sz w:val="24"/>
          <w:szCs w:val="24"/>
          <w:lang w:val="en-US"/>
        </w:rPr>
        <w:t>below:</w:t>
      </w:r>
    </w:p>
    <w:p w14:paraId="395E525D" w14:textId="48218CD4" w:rsidR="00336F2D" w:rsidRPr="009D2B60" w:rsidRDefault="000A54EC" w:rsidP="00896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820B3D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replication package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114DD6" w14:textId="77777777" w:rsidR="00A550D1" w:rsidRPr="009D2B60" w:rsidRDefault="00A550D1" w:rsidP="00A550D1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D35A521" w14:textId="3FDFD4A3" w:rsidR="008E30D7" w:rsidRPr="009D2B60" w:rsidRDefault="00A550D1" w:rsidP="00A55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Navigate </w:t>
      </w:r>
      <w:r w:rsidR="00EC0A9B" w:rsidRPr="009D2B60">
        <w:rPr>
          <w:rFonts w:ascii="Times New Roman" w:hAnsi="Times New Roman" w:cs="Times New Roman"/>
          <w:sz w:val="24"/>
          <w:szCs w:val="24"/>
          <w:lang w:val="en-US"/>
        </w:rPr>
        <w:t>to WB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>_projeune_paper-replication_package_v2/Dofiles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and open the 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script 0-master.do</w:t>
      </w:r>
      <w:r w:rsidR="008E30D7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0C96EA" w14:textId="77777777" w:rsidR="008E30D7" w:rsidRPr="009D2B60" w:rsidRDefault="008E30D7" w:rsidP="008E30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E05B6C" w14:textId="6A88CD37" w:rsidR="00A550D1" w:rsidRPr="009D2B60" w:rsidRDefault="008E30D7" w:rsidP="00A55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dit line 26 </w:t>
      </w:r>
      <w:r w:rsidR="00896EA6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to reflect the path of the repository copy in your computer. </w:t>
      </w:r>
    </w:p>
    <w:p w14:paraId="792016CC" w14:textId="77777777" w:rsidR="00A550D1" w:rsidRPr="009D2B60" w:rsidRDefault="00A550D1" w:rsidP="00A550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FC1CF0" w14:textId="5F3C96B4" w:rsidR="00A550D1" w:rsidRPr="009D2B60" w:rsidRDefault="00BF375E" w:rsidP="00FD2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Runing the 0.master dofile</w:t>
      </w:r>
      <w:r w:rsidR="00A550D1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requires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to install some</w:t>
      </w:r>
      <w:r w:rsidR="00A550D1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of the user-written packages the code uses. To do so, modify line </w:t>
      </w:r>
      <w:r w:rsidR="00A46EC1"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A550D1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by replacing 0 with 1.</w:t>
      </w:r>
    </w:p>
    <w:p w14:paraId="52668703" w14:textId="77777777" w:rsidR="00FD2C3D" w:rsidRPr="009D2B60" w:rsidRDefault="00FD2C3D" w:rsidP="00FD2C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90785E" w14:textId="77777777" w:rsidR="00FD2C3D" w:rsidRPr="009D2B60" w:rsidRDefault="00FD2C3D" w:rsidP="00FD2C3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3BC00CC" w14:textId="7EF1DD31" w:rsidR="00896EA6" w:rsidRPr="009D2B60" w:rsidRDefault="00A550D1" w:rsidP="00896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Run the 0.master dofile to create the paper outputs.  Note that Figure 1 and Table A.1. are not outputs generated by code</w:t>
      </w:r>
      <w:r w:rsidR="008E30D7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DCBAA83" w14:textId="1CDA5915" w:rsidR="00075D30" w:rsidRPr="008E30D7" w:rsidRDefault="00075D30" w:rsidP="00896EA6">
      <w:pPr>
        <w:rPr>
          <w:sz w:val="24"/>
          <w:szCs w:val="24"/>
          <w:lang w:val="en-US"/>
        </w:rPr>
      </w:pPr>
    </w:p>
    <w:sectPr w:rsidR="00075D30" w:rsidRPr="008E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2266"/>
    <w:multiLevelType w:val="hybridMultilevel"/>
    <w:tmpl w:val="0A1AE5C0"/>
    <w:lvl w:ilvl="0" w:tplc="4D460D6A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0D20AC3"/>
    <w:multiLevelType w:val="hybridMultilevel"/>
    <w:tmpl w:val="E52436CC"/>
    <w:lvl w:ilvl="0" w:tplc="1DFC9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E7A03"/>
    <w:multiLevelType w:val="hybridMultilevel"/>
    <w:tmpl w:val="0922C658"/>
    <w:lvl w:ilvl="0" w:tplc="92045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932FB"/>
    <w:multiLevelType w:val="hybridMultilevel"/>
    <w:tmpl w:val="3F3648BE"/>
    <w:lvl w:ilvl="0" w:tplc="1ED65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6FA7"/>
    <w:multiLevelType w:val="hybridMultilevel"/>
    <w:tmpl w:val="2FEE34B2"/>
    <w:lvl w:ilvl="0" w:tplc="7868AB38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A775A"/>
    <w:multiLevelType w:val="hybridMultilevel"/>
    <w:tmpl w:val="01B256D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65993200">
    <w:abstractNumId w:val="2"/>
  </w:num>
  <w:num w:numId="2" w16cid:durableId="1708142935">
    <w:abstractNumId w:val="1"/>
  </w:num>
  <w:num w:numId="3" w16cid:durableId="832721243">
    <w:abstractNumId w:val="4"/>
  </w:num>
  <w:num w:numId="4" w16cid:durableId="1557661560">
    <w:abstractNumId w:val="0"/>
  </w:num>
  <w:num w:numId="5" w16cid:durableId="1082801818">
    <w:abstractNumId w:val="5"/>
  </w:num>
  <w:num w:numId="6" w16cid:durableId="556747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A6"/>
    <w:rsid w:val="000221BF"/>
    <w:rsid w:val="00024B49"/>
    <w:rsid w:val="00065C8B"/>
    <w:rsid w:val="0007350C"/>
    <w:rsid w:val="00075D30"/>
    <w:rsid w:val="000A54EC"/>
    <w:rsid w:val="000B5FE7"/>
    <w:rsid w:val="000C0CF1"/>
    <w:rsid w:val="000C6147"/>
    <w:rsid w:val="000D35BF"/>
    <w:rsid w:val="000D698B"/>
    <w:rsid w:val="000F3380"/>
    <w:rsid w:val="00155A0B"/>
    <w:rsid w:val="00195EC3"/>
    <w:rsid w:val="001C3DBD"/>
    <w:rsid w:val="002115BC"/>
    <w:rsid w:val="002206B0"/>
    <w:rsid w:val="00246CC9"/>
    <w:rsid w:val="00263A79"/>
    <w:rsid w:val="00276633"/>
    <w:rsid w:val="00280774"/>
    <w:rsid w:val="002957CA"/>
    <w:rsid w:val="002A21C7"/>
    <w:rsid w:val="002C3727"/>
    <w:rsid w:val="002D0152"/>
    <w:rsid w:val="002D1766"/>
    <w:rsid w:val="002F4AB4"/>
    <w:rsid w:val="002F6305"/>
    <w:rsid w:val="00322EDF"/>
    <w:rsid w:val="00323D67"/>
    <w:rsid w:val="00336F2D"/>
    <w:rsid w:val="00345F9A"/>
    <w:rsid w:val="00436DA7"/>
    <w:rsid w:val="00467A56"/>
    <w:rsid w:val="0048251C"/>
    <w:rsid w:val="004A572F"/>
    <w:rsid w:val="004C0BE4"/>
    <w:rsid w:val="004C2D31"/>
    <w:rsid w:val="004C5D35"/>
    <w:rsid w:val="004F5B2B"/>
    <w:rsid w:val="00516CE6"/>
    <w:rsid w:val="005351E3"/>
    <w:rsid w:val="005B340E"/>
    <w:rsid w:val="005C798A"/>
    <w:rsid w:val="005D19AF"/>
    <w:rsid w:val="005D539E"/>
    <w:rsid w:val="005D6E80"/>
    <w:rsid w:val="005E0A8F"/>
    <w:rsid w:val="00607413"/>
    <w:rsid w:val="0061248D"/>
    <w:rsid w:val="00640474"/>
    <w:rsid w:val="00651D25"/>
    <w:rsid w:val="0068341B"/>
    <w:rsid w:val="00692F82"/>
    <w:rsid w:val="006B6A67"/>
    <w:rsid w:val="006C5FDC"/>
    <w:rsid w:val="007256E8"/>
    <w:rsid w:val="00750E4F"/>
    <w:rsid w:val="00810568"/>
    <w:rsid w:val="00820B3D"/>
    <w:rsid w:val="0084531A"/>
    <w:rsid w:val="00852912"/>
    <w:rsid w:val="00892F06"/>
    <w:rsid w:val="00892F9C"/>
    <w:rsid w:val="00896EA6"/>
    <w:rsid w:val="008D7068"/>
    <w:rsid w:val="008D736B"/>
    <w:rsid w:val="008E2E50"/>
    <w:rsid w:val="008E30D7"/>
    <w:rsid w:val="009312BA"/>
    <w:rsid w:val="00955C5F"/>
    <w:rsid w:val="009759A4"/>
    <w:rsid w:val="009B2F8A"/>
    <w:rsid w:val="009C6803"/>
    <w:rsid w:val="009D2B60"/>
    <w:rsid w:val="00A01DB1"/>
    <w:rsid w:val="00A15886"/>
    <w:rsid w:val="00A44A84"/>
    <w:rsid w:val="00A46EC1"/>
    <w:rsid w:val="00A47D9C"/>
    <w:rsid w:val="00A47DD5"/>
    <w:rsid w:val="00A550D1"/>
    <w:rsid w:val="00AA3671"/>
    <w:rsid w:val="00AE638F"/>
    <w:rsid w:val="00AF3D66"/>
    <w:rsid w:val="00AF6720"/>
    <w:rsid w:val="00B07456"/>
    <w:rsid w:val="00B940FC"/>
    <w:rsid w:val="00BD4F11"/>
    <w:rsid w:val="00BE5719"/>
    <w:rsid w:val="00BF375E"/>
    <w:rsid w:val="00BF4408"/>
    <w:rsid w:val="00C16825"/>
    <w:rsid w:val="00C51A9F"/>
    <w:rsid w:val="00CB3AB6"/>
    <w:rsid w:val="00CB3D29"/>
    <w:rsid w:val="00CC1FD4"/>
    <w:rsid w:val="00CE1465"/>
    <w:rsid w:val="00CF5D68"/>
    <w:rsid w:val="00D1471C"/>
    <w:rsid w:val="00D3381E"/>
    <w:rsid w:val="00D40BC7"/>
    <w:rsid w:val="00DB3833"/>
    <w:rsid w:val="00E22FE7"/>
    <w:rsid w:val="00E46062"/>
    <w:rsid w:val="00E57287"/>
    <w:rsid w:val="00E649A3"/>
    <w:rsid w:val="00E74484"/>
    <w:rsid w:val="00EC0A9B"/>
    <w:rsid w:val="00F07774"/>
    <w:rsid w:val="00F51A2F"/>
    <w:rsid w:val="00FA17D3"/>
    <w:rsid w:val="00FA59F7"/>
    <w:rsid w:val="00FB0A67"/>
    <w:rsid w:val="00FD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411342"/>
  <w15:chartTrackingRefBased/>
  <w15:docId w15:val="{0DDDDEA0-CD3B-4398-980B-E671A18A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zenaki@worldban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658</Words>
  <Characters>3687</Characters>
  <Application>Microsoft Office Word</Application>
  <DocSecurity>0</DocSecurity>
  <Lines>89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 Zenaki</dc:creator>
  <cp:keywords/>
  <dc:description/>
  <cp:lastModifiedBy>Manil Zenaki</cp:lastModifiedBy>
  <cp:revision>108</cp:revision>
  <dcterms:created xsi:type="dcterms:W3CDTF">2024-04-04T13:40:00Z</dcterms:created>
  <dcterms:modified xsi:type="dcterms:W3CDTF">2024-04-17T14:56:00Z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30977b7cd68d3fff211d91a6e4bcf7a4cbcbe8e526db9c4a3e4a98e7e41c0a05</vt:lpwstr>
  </property>
</Properties>
</file>