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FE6F" w14:textId="0909C358" w:rsidR="00896EA6" w:rsidRPr="009D2B60" w:rsidRDefault="00896EA6" w:rsidP="00896EA6">
      <w:pPr>
        <w:rPr>
          <w:rFonts w:ascii="Times New Roman" w:hAnsi="Times New Roman" w:cs="Times New Roman"/>
          <w:lang w:val="en-US"/>
        </w:rPr>
      </w:pPr>
      <w:r w:rsidRPr="009D2B60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US"/>
        </w:rPr>
        <w:t>Exploring the Drivers of Youth Pursuing Vocational Training in High-Paying Sectors in Côte d’Ivoire</w:t>
      </w:r>
    </w:p>
    <w:p w14:paraId="7D7BE16C" w14:textId="177AA0EA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This folder contains the reproducibility package for the Working Paper “Exploring the Drivers of Youth Pursuing Vocational Training in High-Paying Sectors in Côte d’Ivoire” by Clara Delavallade, Manil Zenaki, Léa Rouanet, and Estelle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Koussoubé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8E420E0" w14:textId="5D0E971D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If you run into any troubles running this code or reproducing results, please contact </w:t>
      </w:r>
      <w:hyperlink r:id="rId5" w:history="1">
        <w:r w:rsidRPr="009D2B6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mzenaki@worldbank.org</w:t>
        </w:r>
      </w:hyperlink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56660A" w14:textId="493A3234" w:rsidR="00D1471C" w:rsidRPr="009D2B60" w:rsidRDefault="00E46062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Overview</w:t>
      </w:r>
    </w:p>
    <w:p w14:paraId="3B30AF63" w14:textId="6710C877" w:rsidR="005B340E" w:rsidRPr="009D2B60" w:rsidRDefault="005B340E" w:rsidP="00FB0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This paper relies on two data source</w:t>
      </w:r>
      <w:r w:rsidR="00D3381E" w:rsidRPr="009D2B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5C61A8" w14:textId="26420F61" w:rsidR="00D3381E" w:rsidRPr="009D2B60" w:rsidRDefault="00D3381E" w:rsidP="00D33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Enquête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sur le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Niveau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de Vie des Ménages 2015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(henceforth: ENV 2015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data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)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wich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translates to The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Household Living Standards Survey 2015 in English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F6FCAF1" w14:textId="35EA59D3" w:rsidR="00D3381E" w:rsidRPr="009D2B60" w:rsidRDefault="00E649A3" w:rsidP="00D33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Baseline data collected as part of the P</w:t>
      </w:r>
      <w:r w:rsidR="004F5B2B" w:rsidRPr="009D2B60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-Jeunes </w:t>
      </w:r>
      <w:r w:rsidR="00436DA7" w:rsidRPr="009D2B6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mpact evaluation (henceforth: P</w:t>
      </w:r>
      <w:r w:rsidR="004F5B2B" w:rsidRPr="009D2B60"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-Jeunes </w:t>
      </w:r>
      <w:r w:rsidR="000D35BF" w:rsidRPr="009D2B60">
        <w:rPr>
          <w:rFonts w:ascii="Times New Roman" w:hAnsi="Times New Roman" w:cs="Times New Roman"/>
          <w:sz w:val="24"/>
          <w:szCs w:val="24"/>
          <w:lang w:val="en-US"/>
        </w:rPr>
        <w:t>data)</w:t>
      </w:r>
    </w:p>
    <w:p w14:paraId="1D215E98" w14:textId="77777777" w:rsidR="000D35BF" w:rsidRPr="009D2B60" w:rsidRDefault="000D35BF" w:rsidP="000D35B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83CA76" w14:textId="0954D375" w:rsidR="00E46062" w:rsidRPr="009D2B60" w:rsidRDefault="000D35BF" w:rsidP="00BE5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The ENV 2015 </w:t>
      </w:r>
      <w:r w:rsidR="00FB0A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used in our paper are restricted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-</w:t>
      </w:r>
      <w:r w:rsidR="00FB0A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access,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FB0A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and not provided here. This readme file describes the attached .do files, and how to</w:t>
      </w:r>
      <w:r w:rsidR="00BE571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FB0A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replicate the analysis in our paper given access to the data. No code can be run in absence of the</w:t>
      </w:r>
      <w:r w:rsidR="00BE571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FB0A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restricted-access data described in the rest of the Readme file.</w:t>
      </w:r>
      <w:r w:rsidR="00BE571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Access can be </w:t>
      </w:r>
      <w:r w:rsidR="004C5D3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granted, following the </w:t>
      </w:r>
      <w:hyperlink r:id="rId6" w:anchor="metadata-data_access" w:history="1">
        <w:r w:rsidR="004C5D35" w:rsidRPr="009D2B60">
          <w:rPr>
            <w:rStyle w:val="Hyperlink"/>
            <w:rFonts w:ascii="Times New Roman" w:hAnsi="Times New Roman" w:cs="Times New Roman"/>
            <w:kern w:val="0"/>
            <w:sz w:val="24"/>
            <w:szCs w:val="24"/>
            <w:lang w:val="en-US"/>
          </w:rPr>
          <w:t>access policy</w:t>
        </w:r>
      </w:hyperlink>
      <w:r w:rsidR="004C5D3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2C372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provided by the International Household Survey Network. </w:t>
      </w:r>
    </w:p>
    <w:p w14:paraId="5F2746B3" w14:textId="77777777" w:rsidR="00D40BC7" w:rsidRPr="009D2B60" w:rsidRDefault="00D40BC7" w:rsidP="00BE57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BCE7ADF" w14:textId="27AD99D2" w:rsidR="00D40BC7" w:rsidRDefault="000D698B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Below we provide descriptions of each of the two main datasets used in the paper, the 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ENV 2015 </w:t>
      </w:r>
      <w:r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dataset and the 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P</w:t>
      </w:r>
      <w:r w:rsidR="004F5B2B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RO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-Jeunes</w:t>
      </w:r>
      <w:r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dataset. Each description below includes data availability statements, information about</w:t>
      </w:r>
      <w:r w:rsidR="00CB3AB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D698B">
        <w:rPr>
          <w:rFonts w:ascii="Times New Roman" w:hAnsi="Times New Roman" w:cs="Times New Roman"/>
          <w:kern w:val="0"/>
          <w:sz w:val="24"/>
          <w:szCs w:val="24"/>
          <w:lang w:val="en-US"/>
        </w:rPr>
        <w:t>how to request the data, data citations, dataset lists and descriptions</w:t>
      </w:r>
      <w:r w:rsidR="00BF4408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03D28497" w14:textId="77777777" w:rsidR="00065C8B" w:rsidRDefault="00065C8B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1D27966D" w14:textId="12E2F1EC" w:rsidR="00065C8B" w:rsidRPr="009D2B60" w:rsidRDefault="00065C8B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addition, we provide a description of the code, instructions to replicators and information about computational requirements.  </w:t>
      </w:r>
    </w:p>
    <w:p w14:paraId="6B3DD6C4" w14:textId="77777777" w:rsidR="00DB3833" w:rsidRPr="009D2B60" w:rsidRDefault="00DB3833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44EFD584" w14:textId="77777777" w:rsidR="00DB3833" w:rsidRPr="009D2B60" w:rsidRDefault="00DB3833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E68B8A1" w14:textId="4D7CDF3E" w:rsidR="00195EC3" w:rsidRPr="009D2B60" w:rsidRDefault="00195EC3" w:rsidP="00195EC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Data </w:t>
      </w:r>
      <w:r w:rsidR="00065C8B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Availa</w:t>
      </w:r>
      <w:r w:rsidR="002F6305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 xml:space="preserve">bility </w:t>
      </w:r>
    </w:p>
    <w:p w14:paraId="465E243D" w14:textId="30E46975" w:rsidR="007256E8" w:rsidRPr="009D2B60" w:rsidRDefault="00FA17D3" w:rsidP="00195EC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ENV 2015 </w:t>
      </w:r>
    </w:p>
    <w:p w14:paraId="0DD05B73" w14:textId="54062A45" w:rsidR="00CB3D29" w:rsidRPr="009D2B60" w:rsidRDefault="00750E4F" w:rsidP="00345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raw dataset that we use in our paper </w:t>
      </w:r>
      <w:r w:rsidR="00263A7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to determine which sectors </w:t>
      </w:r>
      <w:r w:rsidR="00345F9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more lucrative (high-paying sectors) and which are male-dominated is the ENV 2015 data.</w:t>
      </w:r>
      <w:r w:rsidR="000B5FE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The citation for this data </w:t>
      </w:r>
      <w:r w:rsidR="006B6A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is:</w:t>
      </w:r>
      <w:r w:rsidR="000B5FE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3BDCE1E5" w14:textId="3FF82514" w:rsidR="000B5FE7" w:rsidRPr="009D2B60" w:rsidRDefault="000B5FE7" w:rsidP="006B6A67">
      <w:pPr>
        <w:pStyle w:val="Quote"/>
        <w:jc w:val="left"/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Institut</w:t>
      </w:r>
      <w:proofErr w:type="spellEnd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National de la </w:t>
      </w:r>
      <w:proofErr w:type="spellStart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Statistique</w:t>
      </w:r>
      <w:proofErr w:type="spellEnd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. </w:t>
      </w:r>
      <w:proofErr w:type="spellStart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Enquête</w:t>
      </w:r>
      <w:proofErr w:type="spellEnd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sur le </w:t>
      </w:r>
      <w:proofErr w:type="spellStart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Niveau</w:t>
      </w:r>
      <w:proofErr w:type="spellEnd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 de Vie des Ménages (ENV) 2015. </w:t>
      </w:r>
      <w:proofErr w:type="spellStart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Ref</w:t>
      </w:r>
      <w:proofErr w:type="spellEnd"/>
      <w:r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>. CIV_2015_ENV_v01_M</w:t>
      </w:r>
      <w:r w:rsidR="006B6A67" w:rsidRPr="009D2B60">
        <w:rPr>
          <w:rFonts w:ascii="Times New Roman" w:hAnsi="Times New Roman" w:cs="Times New Roman"/>
          <w:i w:val="0"/>
          <w:iCs w:val="0"/>
          <w:color w:val="auto"/>
          <w:kern w:val="0"/>
          <w:sz w:val="24"/>
          <w:szCs w:val="24"/>
          <w:lang w:val="en-US"/>
        </w:rPr>
        <w:t xml:space="preserve">. </w:t>
      </w:r>
    </w:p>
    <w:p w14:paraId="64CD182A" w14:textId="00627E96" w:rsidR="000F3380" w:rsidRPr="009D2B60" w:rsidRDefault="000F3380" w:rsidP="000F3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data use agreement for the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ENV 2015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does not allow these data to be used by</w:t>
      </w:r>
    </w:p>
    <w:p w14:paraId="18503DB2" w14:textId="0C6C8CE8" w:rsidR="00F51A2F" w:rsidRPr="009D2B60" w:rsidRDefault="000F3380" w:rsidP="000F3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other researchers.</w:t>
      </w:r>
      <w:r w:rsidR="00BD4F1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However, a</w:t>
      </w:r>
      <w:r w:rsidR="00BD4F1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ccess can be granted, following the </w:t>
      </w:r>
      <w:hyperlink r:id="rId7" w:anchor="metadata-data_access" w:history="1">
        <w:r w:rsidR="00BD4F11" w:rsidRPr="009D2B60">
          <w:rPr>
            <w:rStyle w:val="Hyperlink"/>
            <w:rFonts w:ascii="Times New Roman" w:hAnsi="Times New Roman" w:cs="Times New Roman"/>
            <w:kern w:val="0"/>
            <w:sz w:val="24"/>
            <w:szCs w:val="24"/>
            <w:lang w:val="en-US"/>
          </w:rPr>
          <w:t>access policy</w:t>
        </w:r>
      </w:hyperlink>
      <w:r w:rsidR="00BD4F1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provided by the International Household Survey Network</w:t>
      </w:r>
      <w:r w:rsidR="00651D2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which entails making a data request to the </w:t>
      </w:r>
      <w:r w:rsidR="008D736B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N</w:t>
      </w:r>
      <w:r w:rsidR="00024B4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ational </w:t>
      </w:r>
      <w:r w:rsidR="008D736B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I</w:t>
      </w:r>
      <w:r w:rsidR="00024B4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nstitute of </w:t>
      </w:r>
      <w:r w:rsidR="008D736B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S</w:t>
      </w:r>
      <w:r w:rsidR="00024B4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tatistics of Côte d’Ivoire (</w:t>
      </w:r>
      <w:hyperlink r:id="rId8" w:history="1">
        <w:r w:rsidR="00024B49" w:rsidRPr="009D2B6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ins.rci.diffusion@gmail.com</w:t>
        </w:r>
      </w:hyperlink>
      <w:r w:rsidR="00024B4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)</w:t>
      </w:r>
      <w:r w:rsidR="008D736B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46131E20" w14:textId="77777777" w:rsidR="00195EC3" w:rsidRPr="009D2B60" w:rsidRDefault="00195EC3" w:rsidP="000D6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84188B5" w14:textId="77777777" w:rsidR="00323D67" w:rsidRPr="009D2B60" w:rsidRDefault="004F5B2B" w:rsidP="009C680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PRO-Jeunes</w:t>
      </w:r>
      <w:r w:rsidR="00892F06" w:rsidRPr="009D2B6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 xml:space="preserve"> Data</w:t>
      </w:r>
    </w:p>
    <w:p w14:paraId="18CD479D" w14:textId="63433086" w:rsidR="00892F06" w:rsidRPr="009D2B60" w:rsidRDefault="00F51A2F" w:rsidP="00810568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The PRO-Jeunes data is a set of 2 files corresponding to baseline data collected on two cohorts as part of an impact evaluation</w:t>
      </w:r>
      <w:r w:rsidR="00A44A8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692F82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</w:t>
      </w:r>
      <w:r w:rsidR="00A1588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ese files correspond to raw dataset as provided by </w:t>
      </w:r>
      <w:r w:rsidR="009759A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Innovation</w:t>
      </w:r>
      <w:r w:rsidR="00FA59F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s</w:t>
      </w:r>
      <w:r w:rsidR="009759A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for Poverty Action</w:t>
      </w:r>
      <w:r w:rsidR="00246CC9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a research organization that performed the data collection. </w:t>
      </w:r>
      <w:r w:rsidR="00A1588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323D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only change we have made is the deletion </w:t>
      </w:r>
      <w:r w:rsidR="00323D67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of </w:t>
      </w:r>
      <w:r w:rsidR="00A15886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per</w:t>
      </w:r>
      <w:r w:rsidR="009759A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sonal identifiable information</w:t>
      </w:r>
      <w:r w:rsidR="00CE146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  <w:r w:rsidR="00810568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The PRO-Jeunes data is already included in the rep</w:t>
      </w:r>
      <w:r w:rsidR="004C2D3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roducibility package</w:t>
      </w:r>
      <w:r w:rsidR="008D7068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(</w:t>
      </w:r>
      <w:r w:rsidR="008D7068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WB_projeune_paper-replication_package_v2</w:t>
      </w:r>
      <w:r w:rsidR="002F630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\Data\Raw\Pro-Jeunes) and</w:t>
      </w:r>
      <w:r w:rsidR="004C2D31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is publicly available. </w:t>
      </w:r>
    </w:p>
    <w:p w14:paraId="1D951973" w14:textId="335B4335" w:rsidR="002A21C7" w:rsidRPr="009D2B60" w:rsidRDefault="002A21C7" w:rsidP="002A21C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Description of programs/code</w:t>
      </w:r>
    </w:p>
    <w:p w14:paraId="3F5B63DE" w14:textId="3B107CD6" w:rsidR="002A21C7" w:rsidRPr="009D2B60" w:rsidRDefault="00955C5F" w:rsidP="00B074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0-master.do </w:t>
      </w:r>
      <w:r w:rsidR="002F4AB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is the main do-file that calls upon and runs all the other do-files</w:t>
      </w:r>
      <w:r w:rsidR="002F4AB4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in the reproducibility package </w:t>
      </w:r>
    </w:p>
    <w:p w14:paraId="77F36AC7" w14:textId="40EBA156" w:rsidR="005E0A8F" w:rsidRPr="009D2B60" w:rsidRDefault="002115BC" w:rsidP="005E0A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WB_projeune_paper-replication_package_v2\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\Main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contains all the </w:t>
      </w:r>
      <w:proofErr w:type="spellStart"/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="005E0A8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, except for the one that generates Figure A.1 </w:t>
      </w:r>
    </w:p>
    <w:p w14:paraId="32026143" w14:textId="525E4241" w:rsidR="0007350C" w:rsidRPr="009D2B60" w:rsidRDefault="00AF3D66" w:rsidP="005E0A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Cleaning: </w:t>
      </w:r>
      <w:r w:rsidR="00C16825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f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older that contains all the 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required for variable creation and cleaning </w:t>
      </w:r>
    </w:p>
    <w:p w14:paraId="50DCF9C1" w14:textId="5D544756" w:rsidR="00C16825" w:rsidRPr="009D2B60" w:rsidRDefault="00C16825" w:rsidP="00C1682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Graphs: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folder that contains all the 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required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to generate the figures</w:t>
      </w:r>
      <w:r w:rsidR="009B2F8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that are not in the appendix. </w:t>
      </w:r>
    </w:p>
    <w:p w14:paraId="63E53718" w14:textId="0805ACD3" w:rsidR="009B2F8A" w:rsidRPr="009D2B60" w:rsidRDefault="009B2F8A" w:rsidP="009B2F8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Tables: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folder that contains all the 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required to generate the 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tables</w:t>
      </w: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that are not in the appendix. </w:t>
      </w:r>
    </w:p>
    <w:p w14:paraId="5FF35267" w14:textId="3C5E07AE" w:rsidR="00AF3D66" w:rsidRPr="009D2B60" w:rsidRDefault="009B2F8A" w:rsidP="009B2F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WB_projeune_paper-replication_package_v2\</w:t>
      </w:r>
      <w:proofErr w:type="spellStart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\</w:t>
      </w:r>
      <w:r w:rsidR="005D19AF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Appendix</w:t>
      </w:r>
      <w:r w:rsidR="009312B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\Graphs contains the </w:t>
      </w:r>
      <w:proofErr w:type="spellStart"/>
      <w:r w:rsidR="009312B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>dofile</w:t>
      </w:r>
      <w:proofErr w:type="spellEnd"/>
      <w:r w:rsidR="009312BA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that generates </w:t>
      </w:r>
      <w:r w:rsidR="001C3DBD" w:rsidRPr="009D2B60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Figure A1 in the Appendix. </w:t>
      </w:r>
    </w:p>
    <w:p w14:paraId="7BC8DC9B" w14:textId="77777777" w:rsidR="002A21C7" w:rsidRPr="009D2B60" w:rsidRDefault="002A21C7" w:rsidP="002A21C7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License for Code</w:t>
      </w:r>
    </w:p>
    <w:p w14:paraId="65FB7BCA" w14:textId="19B3868A" w:rsidR="002A21C7" w:rsidRPr="009D2B60" w:rsidRDefault="002A21C7" w:rsidP="008105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code is licensed under a Creative Commons license. See LICENSE for details.</w:t>
      </w:r>
    </w:p>
    <w:p w14:paraId="29FC1E9A" w14:textId="77777777" w:rsidR="00896EA6" w:rsidRPr="009D2B60" w:rsidRDefault="00896EA6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9D2B60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Computational requirements</w:t>
      </w:r>
    </w:p>
    <w:p w14:paraId="482EB0F1" w14:textId="77777777" w:rsidR="00896EA6" w:rsidRPr="009D2B60" w:rsidRDefault="00896EA6" w:rsidP="00896EA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Software Requirements</w:t>
      </w:r>
    </w:p>
    <w:p w14:paraId="0F2579D1" w14:textId="77777777" w:rsidR="00896EA6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• Stata (code was last run with version 16)</w:t>
      </w:r>
    </w:p>
    <w:p w14:paraId="3704E388" w14:textId="7E35DA03" w:rsidR="00896EA6" w:rsidRPr="009D2B60" w:rsidRDefault="00C51A9F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96EA6" w:rsidRPr="009D2B60">
        <w:rPr>
          <w:rFonts w:ascii="Times New Roman" w:hAnsi="Times New Roman" w:cs="Times New Roman"/>
          <w:sz w:val="24"/>
          <w:szCs w:val="24"/>
          <w:lang w:val="en-US"/>
        </w:rPr>
        <w:t>genmore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(version 3.4.2) </w:t>
      </w:r>
    </w:p>
    <w:p w14:paraId="5FB54F99" w14:textId="013C58F0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boottest</w:t>
      </w:r>
      <w:proofErr w:type="spellEnd"/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(4.4.7)</w:t>
      </w:r>
    </w:p>
    <w:p w14:paraId="2DA9449D" w14:textId="7519EBCF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listtab</w:t>
      </w:r>
      <w:proofErr w:type="spellEnd"/>
    </w:p>
    <w:p w14:paraId="5EBDFE85" w14:textId="17F737CE" w:rsidR="00C51A9F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schemepack</w:t>
      </w:r>
      <w:proofErr w:type="spellEnd"/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(1.1)</w:t>
      </w:r>
    </w:p>
    <w:p w14:paraId="623D4BE0" w14:textId="2294ECD9" w:rsidR="00896EA6" w:rsidRPr="009D2B60" w:rsidRDefault="00896EA6" w:rsidP="00896E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program “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>0-master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.do” will install all dependencies locally if the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local packages in line </w:t>
      </w:r>
      <w:r w:rsidR="00C51A9F" w:rsidRPr="009D2B60">
        <w:rPr>
          <w:rFonts w:ascii="Times New Roman" w:hAnsi="Times New Roman" w:cs="Times New Roman"/>
          <w:sz w:val="24"/>
          <w:szCs w:val="24"/>
          <w:lang w:val="en-US"/>
        </w:rPr>
        <w:t>49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is set to 1.</w:t>
      </w:r>
    </w:p>
    <w:p w14:paraId="6494B2E8" w14:textId="77777777" w:rsidR="00896EA6" w:rsidRPr="009D2B60" w:rsidRDefault="00896EA6" w:rsidP="00336F2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Memory and Runtime Requirements</w:t>
      </w:r>
    </w:p>
    <w:p w14:paraId="759B80B6" w14:textId="77777777" w:rsidR="00336F2D" w:rsidRPr="009D2B60" w:rsidRDefault="00896EA6" w:rsidP="00896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The code was last run on a Windows 1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laptop with 16GB of RAM.</w:t>
      </w:r>
    </w:p>
    <w:p w14:paraId="1BE19497" w14:textId="3E15218E" w:rsidR="00896EA6" w:rsidRPr="009D2B60" w:rsidRDefault="00896EA6" w:rsidP="00896E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Stata analysis code takes 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approximately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5 minutes to run.</w:t>
      </w:r>
    </w:p>
    <w:p w14:paraId="380E2778" w14:textId="77777777" w:rsidR="00896EA6" w:rsidRPr="00A47D9C" w:rsidRDefault="00896EA6" w:rsidP="00896EA6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 w:rsidRPr="00A47D9C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Instructions to Replicators</w:t>
      </w:r>
    </w:p>
    <w:p w14:paraId="267862B2" w14:textId="6720F7B2" w:rsidR="00336F2D" w:rsidRPr="009D2B60" w:rsidRDefault="00896EA6" w:rsidP="00896E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lastRenderedPageBreak/>
        <w:t>The code to reproduce the results included in the working paper. To recreate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the outputs, follow the steps </w:t>
      </w:r>
      <w:r w:rsidR="00516CE6" w:rsidRPr="009D2B60">
        <w:rPr>
          <w:rFonts w:ascii="Times New Roman" w:hAnsi="Times New Roman" w:cs="Times New Roman"/>
          <w:sz w:val="24"/>
          <w:szCs w:val="24"/>
          <w:lang w:val="en-US"/>
        </w:rPr>
        <w:t>below:</w:t>
      </w:r>
    </w:p>
    <w:p w14:paraId="395E525D" w14:textId="48218CD4" w:rsidR="00336F2D" w:rsidRPr="009D2B60" w:rsidRDefault="000A54EC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820B3D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>replication package</w:t>
      </w:r>
      <w:r w:rsidR="00336F2D" w:rsidRPr="009D2B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114DD6" w14:textId="77777777" w:rsidR="00A550D1" w:rsidRPr="009D2B60" w:rsidRDefault="00A550D1" w:rsidP="00A550D1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36714208" w14:textId="136D40C1" w:rsidR="00336F2D" w:rsidRPr="009D2B60" w:rsidRDefault="004C0BE4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Request access to the ENV</w:t>
      </w:r>
      <w:r w:rsidR="005D6E80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152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2015 data </w:t>
      </w:r>
      <w:r w:rsidR="00CF5D68" w:rsidRPr="009D2B60">
        <w:rPr>
          <w:rFonts w:ascii="Times New Roman" w:hAnsi="Times New Roman" w:cs="Times New Roman"/>
          <w:sz w:val="24"/>
          <w:szCs w:val="24"/>
          <w:lang w:val="en-US"/>
        </w:rPr>
        <w:t>(see</w:t>
      </w:r>
      <w:r w:rsidR="002D0152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access policy at </w:t>
      </w:r>
      <w:hyperlink r:id="rId9" w:anchor="metadata-data_access" w:history="1">
        <w:r w:rsidR="002D0152" w:rsidRPr="009D2B6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https://catalog.ihsn.org/catalog/7330#metadata-data_access</w:t>
        </w:r>
      </w:hyperlink>
      <w:r w:rsidR="002D0152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14:paraId="3062848D" w14:textId="77777777" w:rsidR="00A550D1" w:rsidRPr="009D2B60" w:rsidRDefault="00A550D1" w:rsidP="00A550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2F8086" w14:textId="77777777" w:rsidR="00A550D1" w:rsidRPr="009D2B60" w:rsidRDefault="00A550D1" w:rsidP="00A550D1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B224680" w14:textId="71548CF1" w:rsidR="00A550D1" w:rsidRPr="009D2B60" w:rsidRDefault="00CF5D68" w:rsidP="00CF5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Once access to ENV 2015 data has been granted, download the zip file, open and copy all </w:t>
      </w:r>
      <w:r w:rsidR="0068341B" w:rsidRPr="009D2B60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(not the folder).</w:t>
      </w:r>
    </w:p>
    <w:p w14:paraId="6118D195" w14:textId="77777777" w:rsidR="00CF5D68" w:rsidRPr="009D2B60" w:rsidRDefault="00CF5D68" w:rsidP="00A550D1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41E6483" w14:textId="52506659" w:rsidR="00BF375E" w:rsidRPr="009D2B60" w:rsidRDefault="00BF375E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Navigate to the replication package WB_projeune_paper-replication_package_v2 /Data/Raw</w:t>
      </w:r>
      <w:r w:rsidR="00EC0A9B" w:rsidRPr="009D2B60">
        <w:rPr>
          <w:rFonts w:ascii="Times New Roman" w:hAnsi="Times New Roman" w:cs="Times New Roman"/>
          <w:sz w:val="24"/>
          <w:szCs w:val="24"/>
          <w:lang w:val="en-US"/>
        </w:rPr>
        <w:t>/ENV_2015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and paste the </w:t>
      </w:r>
      <w:r w:rsidR="00EC0A9B" w:rsidRPr="009D2B60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copied in step 4. </w:t>
      </w:r>
    </w:p>
    <w:p w14:paraId="64087A55" w14:textId="77777777" w:rsidR="00BF375E" w:rsidRPr="009D2B60" w:rsidRDefault="00BF375E" w:rsidP="00BF375E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D35A521" w14:textId="3FDFD4A3" w:rsidR="008E30D7" w:rsidRPr="009D2B60" w:rsidRDefault="00A550D1" w:rsidP="00A55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Navigate </w:t>
      </w:r>
      <w:r w:rsidR="00EC0A9B" w:rsidRPr="009D2B60">
        <w:rPr>
          <w:rFonts w:ascii="Times New Roman" w:hAnsi="Times New Roman" w:cs="Times New Roman"/>
          <w:sz w:val="24"/>
          <w:szCs w:val="24"/>
          <w:lang w:val="en-US"/>
        </w:rPr>
        <w:t>to WB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>_projeune_paper-replication_package_v2/</w:t>
      </w:r>
      <w:proofErr w:type="spellStart"/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>Dofiles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and open the 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script 0-master.do</w:t>
      </w:r>
      <w:r w:rsidR="008E30D7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0C96EA" w14:textId="77777777" w:rsidR="008E30D7" w:rsidRPr="009D2B60" w:rsidRDefault="008E30D7" w:rsidP="008E30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E05B6C" w14:textId="6A88CD37" w:rsidR="00A550D1" w:rsidRPr="009D2B60" w:rsidRDefault="008E30D7" w:rsidP="00A55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F375E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dit line 26 </w:t>
      </w:r>
      <w:r w:rsidR="00896EA6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to reflect the path of the repository copy in your computer. </w:t>
      </w:r>
    </w:p>
    <w:p w14:paraId="792016CC" w14:textId="77777777" w:rsidR="00A550D1" w:rsidRPr="009D2B60" w:rsidRDefault="00A550D1" w:rsidP="00A550D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FC1CF0" w14:textId="70EEEE23" w:rsidR="00A550D1" w:rsidRPr="009D2B60" w:rsidRDefault="00BF375E" w:rsidP="00FD2C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Runing the 0.master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dofile</w:t>
      </w:r>
      <w:proofErr w:type="spellEnd"/>
      <w:r w:rsidR="00A550D1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requires</w:t>
      </w: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to install some</w:t>
      </w:r>
      <w:r w:rsidR="00A550D1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of the user-written packages the code uses. To do so, modify line 49 by replacing 0 with 1.</w:t>
      </w:r>
    </w:p>
    <w:p w14:paraId="52668703" w14:textId="77777777" w:rsidR="00FD2C3D" w:rsidRPr="009D2B60" w:rsidRDefault="00FD2C3D" w:rsidP="00FD2C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90785E" w14:textId="77777777" w:rsidR="00FD2C3D" w:rsidRPr="009D2B60" w:rsidRDefault="00FD2C3D" w:rsidP="00FD2C3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3BC00CC" w14:textId="7EF1DD31" w:rsidR="00896EA6" w:rsidRPr="009D2B60" w:rsidRDefault="00A550D1" w:rsidP="00896E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Run the 0.master </w:t>
      </w:r>
      <w:proofErr w:type="spellStart"/>
      <w:r w:rsidRPr="009D2B60">
        <w:rPr>
          <w:rFonts w:ascii="Times New Roman" w:hAnsi="Times New Roman" w:cs="Times New Roman"/>
          <w:sz w:val="24"/>
          <w:szCs w:val="24"/>
          <w:lang w:val="en-US"/>
        </w:rPr>
        <w:t>dofile</w:t>
      </w:r>
      <w:proofErr w:type="spellEnd"/>
      <w:r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 to create the paper outputs.  Note that Figure 1 and Table A.1. are not outputs generated by code</w:t>
      </w:r>
      <w:r w:rsidR="008E30D7" w:rsidRPr="009D2B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DCBAA83" w14:textId="1CDA5915" w:rsidR="00075D30" w:rsidRPr="008E30D7" w:rsidRDefault="00075D30" w:rsidP="00896EA6">
      <w:pPr>
        <w:rPr>
          <w:sz w:val="24"/>
          <w:szCs w:val="24"/>
          <w:lang w:val="en-US"/>
        </w:rPr>
      </w:pPr>
    </w:p>
    <w:sectPr w:rsidR="00075D30" w:rsidRPr="008E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2266"/>
    <w:multiLevelType w:val="hybridMultilevel"/>
    <w:tmpl w:val="0A1AE5C0"/>
    <w:lvl w:ilvl="0" w:tplc="4D460D6A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0D20AC3"/>
    <w:multiLevelType w:val="hybridMultilevel"/>
    <w:tmpl w:val="E52436CC"/>
    <w:lvl w:ilvl="0" w:tplc="1DFC9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7A03"/>
    <w:multiLevelType w:val="hybridMultilevel"/>
    <w:tmpl w:val="0922C658"/>
    <w:lvl w:ilvl="0" w:tplc="92045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932FB"/>
    <w:multiLevelType w:val="hybridMultilevel"/>
    <w:tmpl w:val="3F3648BE"/>
    <w:lvl w:ilvl="0" w:tplc="1ED65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36FA7"/>
    <w:multiLevelType w:val="hybridMultilevel"/>
    <w:tmpl w:val="2FEE34B2"/>
    <w:lvl w:ilvl="0" w:tplc="7868AB38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A775A"/>
    <w:multiLevelType w:val="hybridMultilevel"/>
    <w:tmpl w:val="01B256D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993200">
    <w:abstractNumId w:val="2"/>
  </w:num>
  <w:num w:numId="2" w16cid:durableId="1708142935">
    <w:abstractNumId w:val="1"/>
  </w:num>
  <w:num w:numId="3" w16cid:durableId="832721243">
    <w:abstractNumId w:val="4"/>
  </w:num>
  <w:num w:numId="4" w16cid:durableId="1557661560">
    <w:abstractNumId w:val="0"/>
  </w:num>
  <w:num w:numId="5" w16cid:durableId="1082801818">
    <w:abstractNumId w:val="5"/>
  </w:num>
  <w:num w:numId="6" w16cid:durableId="55674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A6"/>
    <w:rsid w:val="00024B49"/>
    <w:rsid w:val="00065C8B"/>
    <w:rsid w:val="0007350C"/>
    <w:rsid w:val="00075D30"/>
    <w:rsid w:val="000A54EC"/>
    <w:rsid w:val="000B5FE7"/>
    <w:rsid w:val="000C0CF1"/>
    <w:rsid w:val="000D35BF"/>
    <w:rsid w:val="000D698B"/>
    <w:rsid w:val="000F3380"/>
    <w:rsid w:val="00155A0B"/>
    <w:rsid w:val="00195EC3"/>
    <w:rsid w:val="001C3DBD"/>
    <w:rsid w:val="002115BC"/>
    <w:rsid w:val="002206B0"/>
    <w:rsid w:val="00246CC9"/>
    <w:rsid w:val="00263A79"/>
    <w:rsid w:val="00276633"/>
    <w:rsid w:val="002957CA"/>
    <w:rsid w:val="002A21C7"/>
    <w:rsid w:val="002C3727"/>
    <w:rsid w:val="002D0152"/>
    <w:rsid w:val="002F4AB4"/>
    <w:rsid w:val="002F6305"/>
    <w:rsid w:val="00322EDF"/>
    <w:rsid w:val="00323D67"/>
    <w:rsid w:val="00336F2D"/>
    <w:rsid w:val="00345F9A"/>
    <w:rsid w:val="00436DA7"/>
    <w:rsid w:val="00467A56"/>
    <w:rsid w:val="0048251C"/>
    <w:rsid w:val="004C0BE4"/>
    <w:rsid w:val="004C2D31"/>
    <w:rsid w:val="004C5D35"/>
    <w:rsid w:val="004F5B2B"/>
    <w:rsid w:val="00516CE6"/>
    <w:rsid w:val="005351E3"/>
    <w:rsid w:val="005B340E"/>
    <w:rsid w:val="005C798A"/>
    <w:rsid w:val="005D19AF"/>
    <w:rsid w:val="005D539E"/>
    <w:rsid w:val="005D6E80"/>
    <w:rsid w:val="005E0A8F"/>
    <w:rsid w:val="00607413"/>
    <w:rsid w:val="00651D25"/>
    <w:rsid w:val="0068341B"/>
    <w:rsid w:val="00692F82"/>
    <w:rsid w:val="006B6A67"/>
    <w:rsid w:val="007256E8"/>
    <w:rsid w:val="00750E4F"/>
    <w:rsid w:val="00810568"/>
    <w:rsid w:val="00820B3D"/>
    <w:rsid w:val="0084531A"/>
    <w:rsid w:val="00852912"/>
    <w:rsid w:val="00892F06"/>
    <w:rsid w:val="00896EA6"/>
    <w:rsid w:val="008D7068"/>
    <w:rsid w:val="008D736B"/>
    <w:rsid w:val="008E2E50"/>
    <w:rsid w:val="008E30D7"/>
    <w:rsid w:val="009312BA"/>
    <w:rsid w:val="00955C5F"/>
    <w:rsid w:val="009759A4"/>
    <w:rsid w:val="009B2F8A"/>
    <w:rsid w:val="009C6803"/>
    <w:rsid w:val="009D2B60"/>
    <w:rsid w:val="00A01DB1"/>
    <w:rsid w:val="00A15886"/>
    <w:rsid w:val="00A44A84"/>
    <w:rsid w:val="00A47D9C"/>
    <w:rsid w:val="00A550D1"/>
    <w:rsid w:val="00AE638F"/>
    <w:rsid w:val="00AF3D66"/>
    <w:rsid w:val="00AF6720"/>
    <w:rsid w:val="00B07456"/>
    <w:rsid w:val="00B940FC"/>
    <w:rsid w:val="00BD4F11"/>
    <w:rsid w:val="00BE5719"/>
    <w:rsid w:val="00BF375E"/>
    <w:rsid w:val="00BF4408"/>
    <w:rsid w:val="00C16825"/>
    <w:rsid w:val="00C51A9F"/>
    <w:rsid w:val="00CB3AB6"/>
    <w:rsid w:val="00CB3D29"/>
    <w:rsid w:val="00CE1465"/>
    <w:rsid w:val="00CF5D68"/>
    <w:rsid w:val="00D1471C"/>
    <w:rsid w:val="00D3381E"/>
    <w:rsid w:val="00D40BC7"/>
    <w:rsid w:val="00DB3833"/>
    <w:rsid w:val="00E22FE7"/>
    <w:rsid w:val="00E46062"/>
    <w:rsid w:val="00E57287"/>
    <w:rsid w:val="00E649A3"/>
    <w:rsid w:val="00EC0A9B"/>
    <w:rsid w:val="00F51A2F"/>
    <w:rsid w:val="00FA17D3"/>
    <w:rsid w:val="00FA59F7"/>
    <w:rsid w:val="00FB0A67"/>
    <w:rsid w:val="00F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1342"/>
  <w15:chartTrackingRefBased/>
  <w15:docId w15:val="{0DDDDEA0-CD3B-4398-980B-E671A18A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.rci.diffus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ihsn.org/catalog/73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ihsn.org/catalog/733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zenaki@worldbank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ihsn.org/catalog/733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 Zenaki</dc:creator>
  <cp:keywords/>
  <dc:description/>
  <cp:lastModifiedBy>Manil Zenaki</cp:lastModifiedBy>
  <cp:revision>93</cp:revision>
  <dcterms:created xsi:type="dcterms:W3CDTF">2024-04-04T13:40:00Z</dcterms:created>
  <dcterms:modified xsi:type="dcterms:W3CDTF">2024-04-04T16:36:00Z</dcterms:modified>
</cp:coreProperties>
</file>