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48"/>
          <w:szCs w:val="48"/>
          <w:rtl w:val="0"/>
        </w:rPr>
        <w:t xml:space="preserve">                              Article Summary                   </w:t>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48"/>
          <w:szCs w:val="48"/>
          <w:rtl w:val="0"/>
        </w:rPr>
        <w:t xml:space="preserve">                         Logic and programming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                                                                                                                                 Manish Tanwar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Rationale has been for quite some time keen on whether answers to specific inquiries are calculable on a basic level, since the result puts limits on the conceivable outcomes of formalization. All the more as of late, exact examinations in the effectiveness of choice techniques have turned out to be accessible through the advancements in many-sided quality hypothesis. These, be that as it may, are applications to rationale, and an unavoidable issue is whether techniques for rationale have hugeness in the other course for the more connected parts of calculability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Programming languages offer a conspicuous open door as their syntactic formalization is all around cutting edge; nonetheless, the semantical hypothesis can barely be said to be finished. In spite of the fact that we have numerous cases, we have still to give far reaching numerical responses to these inquiries: What is a machine? What is a calculable procedure? How (or how well) does a machine recreate a procedure? Programs normally enter in giving depictions of procedures. The meaning of the exact importance of a program then obliges us to clarify what are the objects of calculation (as it were, the statics of the issue) and how they are to be changed (the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So far the hypotheses of automata and of nets, however most fascinating for flow, have formalized just a bit of the field, and there has been maybe an excessive amount of grouping of the limited state and logarithmic viewpoints. Doubtlessly the comprehension of larger amount program highlights includes us with endless questions and constrains us to go through a few levels of clarification to go from the calculated thoughts to the last recreation on a genuine machine. These levels can be made numerically correct on the off chance that we can locate the correct reflections to speak to the fundamental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The experience of numerous free laborers with the technique for information sorts as cross sections (or fractional orderings) under a data content requesting, and with their nonstop mappings, has exhibited the adaptability of this approach in giving definitions and confirmations, which are perfect and without undue reliance on executions. By and by much stays to be done in indicating how dynamic conceptualizations can (or can't) be realized before we can state we have a bound together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b w:val="1"/>
          <w:sz w:val="32"/>
          <w:szCs w:val="32"/>
          <w:rtl w:val="0"/>
        </w:rPr>
        <w:t xml:space="preserve">Non-apology and  Apology</w:t>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A non-conciliatory sentiment expression of remorse or .nonpology is an announcement that has the type of a statement of regret however does not express the normal regret. It is normal in both legislative issues and advertising. It most generally involves the speaker saying that he or she is sad not for a conduct, explanation or wrongdoing, but instead is sad simply because a man who has been distressed is asking for the conciliatory sentiment, communicating a grievance, or is undermining some type of revenge or countering.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A case of a non-expression of remorse conciliatory sentiment would state "I'm sad that you feel that path" to somebody who has been outraged by an announcement. This conciliatory sentiment does not concede that there was anything amiss with the comments made, and also, it might be taken as hinting that the individual disapproving was unnecessarily hypersensitive or silly in resenting the comments in any case. Another type of non-expression of remorse is one which does not apologize specifically to the individual who was harmed or offended, however rather offers a non specific statement of regret "to any individual who may have been affronted.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b w:val="1"/>
          <w:sz w:val="32"/>
          <w:szCs w:val="32"/>
          <w:rtl w:val="0"/>
        </w:rPr>
        <w:t xml:space="preserve">Semantic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Semantic-oriented programming (SOP) is a programming paradigm in which the programmer formalizes the logic of a domain by means of semantic structures. Similar to Concept programming and Concept-oriented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The way of how these semantic information are represented in the system vary according to the approach chosen (see below), common to these approaches are the following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1. The semantics speak to static truths, that is: certainties that portray the space being referred to at a given minute, and which don't change amid runtime (instead of Semantic Web for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2 The framework has local access to these semantic structures amid assemble time and runtime, and can translate them keeping in mind the end goal to satisfy the asked for components Clear partition from rationale and execution (where conceivable)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3 As a rule, SOP underpins the idea of Single Source of Truth (SSoT), with the end goal that each semantic idea is put away precisely once, Any conceivable linkages to this idea are by reference as it were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4 A software engineer can openly and rapidly include new semantic implications without breaking similarity with the framework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b w:val="1"/>
          <w:sz w:val="32"/>
          <w:szCs w:val="32"/>
          <w:rtl w:val="0"/>
        </w:rPr>
        <w:t xml:space="preserve">The Function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A function space is a topological space whose points are functions. There are many</w:t>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different kinds of function spaces, and there are usually several different topologies</w:t>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that can be placed on a given set of functions. These notes describe three topologies</w:t>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that can be placed on the set of all functions from a set X to a space Y : the product</w:t>
      </w:r>
    </w:p>
    <w:p w:rsidR="00000000" w:rsidDel="00000000" w:rsidP="00000000" w:rsidRDefault="00000000" w:rsidRPr="00000000">
      <w:pPr>
        <w:contextualSpacing w:val="0"/>
      </w:pPr>
      <w:r w:rsidDel="00000000" w:rsidR="00000000" w:rsidRPr="00000000">
        <w:rPr>
          <w:rFonts w:ascii="URW Chancery L" w:cs="URW Chancery L" w:eastAsia="URW Chancery L" w:hAnsi="URW Chancery L"/>
          <w:sz w:val="28"/>
          <w:szCs w:val="28"/>
          <w:rtl w:val="0"/>
        </w:rPr>
        <w:t xml:space="preserve">topology, the box topology, and the uniform topology.</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URW Chancery 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