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sz w:val="42"/>
          <w:szCs w:val="42"/>
        </w:rPr>
      </w:pPr>
      <w:r>
        <w:rPr>
          <w:sz w:val="42"/>
          <w:szCs w:val="42"/>
        </w:rPr>
        <w:t>Poster Creation for Weekly Updates of Lectures/Lecture Notes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b/>
        </w:rPr>
      </w:pPr>
      <w:r>
        <w:rPr>
          <w:b/>
        </w:rPr>
        <w:t>Week 1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we made poster on basics of software engineering but hard copy.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We also made soft copy on SE which was appreciated.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Basically we took the topic as what and why software engineering,</w:t>
      </w:r>
    </w:p>
    <w:p>
      <w:pPr>
        <w:pStyle w:val="Normal"/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why this course is uniqe.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Some inportant tips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b/>
        </w:rPr>
      </w:pPr>
      <w:r>
        <w:rPr>
          <w:b/>
        </w:rPr>
        <w:t>Week 2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Same as some point disccused in the class on,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waterfall model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agiles modal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V modals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twelve practices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ab/>
        <w:tab/>
        <w:t>WEEK3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ab/>
        <w:tab/>
        <w:tab/>
        <w:tab/>
      </w:r>
      <w:r>
        <w:rPr/>
        <w:t>under processing with some other topics.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