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3D3124" w14:textId="77777777" w:rsidR="001C55F5" w:rsidRPr="009415D8" w:rsidRDefault="001C55F5" w:rsidP="001C55F5">
      <w:pPr>
        <w:jc w:val="center"/>
        <w:rPr>
          <w:rFonts w:cstheme="minorHAnsi"/>
          <w:b/>
          <w:bCs/>
          <w:color w:val="C45911" w:themeColor="accent2" w:themeShade="BF"/>
          <w:kern w:val="0"/>
          <w:sz w:val="36"/>
          <w:szCs w:val="36"/>
        </w:rPr>
      </w:pPr>
      <w:r w:rsidRPr="009415D8">
        <w:rPr>
          <w:rFonts w:cstheme="minorHAnsi"/>
          <w:b/>
          <w:bCs/>
          <w:color w:val="C45911" w:themeColor="accent2" w:themeShade="BF"/>
          <w:kern w:val="0"/>
          <w:sz w:val="36"/>
          <w:szCs w:val="36"/>
        </w:rPr>
        <w:t>BANK LOAN REPORT</w:t>
      </w:r>
    </w:p>
    <w:p w14:paraId="3849C9BB" w14:textId="656693CA" w:rsidR="009415D8" w:rsidRPr="009415D8" w:rsidRDefault="009415D8" w:rsidP="009415D8">
      <w:pPr>
        <w:jc w:val="center"/>
        <w:rPr>
          <w:b/>
          <w:bCs/>
          <w:color w:val="4472C4" w:themeColor="accent1"/>
          <w:sz w:val="48"/>
          <w:szCs w:val="48"/>
        </w:rPr>
      </w:pPr>
      <w:r w:rsidRPr="009415D8">
        <w:rPr>
          <w:b/>
          <w:bCs/>
          <w:color w:val="4472C4" w:themeColor="accent1"/>
          <w:sz w:val="48"/>
          <w:szCs w:val="48"/>
        </w:rPr>
        <w:t>FIELDS USED IN DATA</w:t>
      </w:r>
    </w:p>
    <w:p w14:paraId="4A591310" w14:textId="7512E653" w:rsidR="001C55F5" w:rsidRPr="001C55F5" w:rsidRDefault="00DC0A4D" w:rsidP="001C55F5">
      <w:pPr>
        <w:jc w:val="center"/>
        <w:rPr>
          <w:b/>
          <w:bCs/>
          <w:color w:val="4472C4" w:themeColor="accent1"/>
          <w:sz w:val="32"/>
          <w:szCs w:val="32"/>
        </w:rPr>
      </w:pPr>
      <w:r>
        <w:pict w14:anchorId="616EDCA1">
          <v:rect id="_x0000_i1027" style="width:451.3pt;height:1.5pt" o:hralign="center" o:hrstd="t" o:hrnoshade="t" o:hr="t" fillcolor="#ed7d31 [3205]" stroked="f"/>
        </w:pict>
      </w:r>
    </w:p>
    <w:p w14:paraId="7CFF8C2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Loan ID:</w:t>
      </w:r>
    </w:p>
    <w:p w14:paraId="72B1C40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172E71">
        <w:rPr>
          <w:rFonts w:cstheme="minorHAnsi"/>
          <w:sz w:val="24"/>
          <w:szCs w:val="24"/>
          <w:highlight w:val="lightGray"/>
        </w:rPr>
        <w:t>Purpose:</w:t>
      </w:r>
      <w:r w:rsidRPr="00034003">
        <w:rPr>
          <w:rFonts w:cstheme="minorHAnsi"/>
          <w:sz w:val="24"/>
          <w:szCs w:val="24"/>
        </w:rPr>
        <w:t xml:space="preserve"> Loan ID is a unique identifier assigned to each loan application or loan account. It serves as a primary key for tracking and managing individual loans.</w:t>
      </w:r>
    </w:p>
    <w:p w14:paraId="28BB5D53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172E71">
        <w:rPr>
          <w:rFonts w:cstheme="minorHAnsi"/>
          <w:sz w:val="24"/>
          <w:szCs w:val="24"/>
          <w:highlight w:val="lightGray"/>
        </w:rPr>
        <w:t>Use for Banks:</w:t>
      </w:r>
      <w:r w:rsidRPr="00034003">
        <w:rPr>
          <w:rFonts w:cstheme="minorHAnsi"/>
          <w:sz w:val="24"/>
          <w:szCs w:val="24"/>
        </w:rPr>
        <w:t xml:space="preserve"> Banks use Loan IDs to efficiently manage and track loans throughout their lifecycle. It aids in organizing loan records, monitoring repayments, and addressing customer inquiries.</w:t>
      </w:r>
    </w:p>
    <w:p w14:paraId="36F805F4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64094272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Address State:</w:t>
      </w:r>
    </w:p>
    <w:p w14:paraId="52470354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Address State indicates the borrower's location. It helps in assessing regional risk factors, compliance with state regulations, and estimating default probabilities.</w:t>
      </w:r>
    </w:p>
    <w:p w14:paraId="09578749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information to identify regional trends in loan demand, adjust marketing strategies, and manage risk portfolios based on geographic regions.</w:t>
      </w:r>
    </w:p>
    <w:p w14:paraId="7DED9FD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201A986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Employee Length:</w:t>
      </w:r>
    </w:p>
    <w:p w14:paraId="3756A82D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Employee Length provides insights into the borrower's employment stability. Longer employment durations may indicate greater job security.</w:t>
      </w:r>
    </w:p>
    <w:p w14:paraId="127E95A0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consider employment length when assessing a borrower's ability to repay. Stable employment often translates to a lower default risk.</w:t>
      </w:r>
    </w:p>
    <w:p w14:paraId="1D3ED559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E8B6FF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Employee Title:</w:t>
      </w:r>
    </w:p>
    <w:p w14:paraId="1653AFF3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Employee Title specifies the borrower's occupation or job title. It helps lenders understand the source of the borrower's income.</w:t>
      </w:r>
    </w:p>
    <w:p w14:paraId="2391C6DC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verify income sources, assess the borrower's financial capacity, and tailor loan offers to different professions.</w:t>
      </w:r>
    </w:p>
    <w:p w14:paraId="2A86A7A3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AD9D728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Grade:</w:t>
      </w:r>
    </w:p>
    <w:p w14:paraId="621FE32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lastRenderedPageBreak/>
        <w:t>Purpose: Grade represents a risk classification assigned to the loan based on creditworthiness. Higher grades signify lower risk.</w:t>
      </w:r>
    </w:p>
    <w:p w14:paraId="7C5B711D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the grade to price loans and manage risk. Higher-grade loans typically receive lower interest rates and are more attractive to investors.</w:t>
      </w:r>
    </w:p>
    <w:p w14:paraId="5B0F6D14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79D888B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Sub Grade:</w:t>
      </w:r>
    </w:p>
    <w:p w14:paraId="0302606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Sub Grade refines the risk assessment within a grade, providing additional risk differentiation.</w:t>
      </w:r>
    </w:p>
    <w:p w14:paraId="0D39FE0F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Sub Grades offer a finer level of risk assessment, helping banks tailor interest rates and lending terms to match borrower risk profiles.</w:t>
      </w:r>
    </w:p>
    <w:p w14:paraId="04D42B5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5A907C2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Home Ownership:</w:t>
      </w:r>
    </w:p>
    <w:p w14:paraId="73F8760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Home Ownership indicates the borrower's housing status. It offers insights into financial stability.</w:t>
      </w:r>
    </w:p>
    <w:p w14:paraId="1DD5FABD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assess collateral availability and borrower stability. Homeowners may have lower default rates.</w:t>
      </w:r>
    </w:p>
    <w:p w14:paraId="3500DDA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7D453ED0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Issue Date:</w:t>
      </w:r>
    </w:p>
    <w:p w14:paraId="6487B343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Issue Date marks the loan's origination date. It's crucial for loan tracking and maturity calculations.</w:t>
      </w:r>
    </w:p>
    <w:p w14:paraId="44F4FB5D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Issue Dates to track loan aging, calculate interest accruals, and manage loan portfolios.</w:t>
      </w:r>
    </w:p>
    <w:p w14:paraId="055BF974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347D8260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Last Credit Pull Date:</w:t>
      </w:r>
    </w:p>
    <w:p w14:paraId="4DFF6F4C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Last Credit Pull Date records when the borrower's credit report was last accessed. It helps monitor creditworthiness.</w:t>
      </w:r>
    </w:p>
    <w:p w14:paraId="5B5D88F4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date to track credit history updates, assess credit risk, and make informed lending decisions.</w:t>
      </w:r>
    </w:p>
    <w:p w14:paraId="2E5BEA62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173B811A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Last Payment Date:</w:t>
      </w:r>
    </w:p>
    <w:p w14:paraId="60D49191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Last Payment Date marks the most recent loan payment received. It tracks the borrower's payment history.</w:t>
      </w:r>
    </w:p>
    <w:p w14:paraId="55E160A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lastRenderedPageBreak/>
        <w:t xml:space="preserve">Use for Banks: Banks use this date to assess payment </w:t>
      </w:r>
      <w:proofErr w:type="spellStart"/>
      <w:r w:rsidRPr="00034003">
        <w:rPr>
          <w:rFonts w:cstheme="minorHAnsi"/>
          <w:sz w:val="24"/>
          <w:szCs w:val="24"/>
        </w:rPr>
        <w:t>behavior</w:t>
      </w:r>
      <w:proofErr w:type="spellEnd"/>
      <w:r w:rsidRPr="00034003">
        <w:rPr>
          <w:rFonts w:cstheme="minorHAnsi"/>
          <w:sz w:val="24"/>
          <w:szCs w:val="24"/>
        </w:rPr>
        <w:t>, calculate delinquency, and project future payments.</w:t>
      </w:r>
    </w:p>
    <w:p w14:paraId="424700D3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Loan Status:</w:t>
      </w:r>
    </w:p>
    <w:p w14:paraId="38F78408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Loan Status indicates the current state of the loan (e.g., fully paid, current, default). It tracks loan performance.</w:t>
      </w:r>
    </w:p>
    <w:p w14:paraId="0A90F788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Loan Status to monitor loan health, categorize loans for risk analysis, and determine provisioning requirements.</w:t>
      </w:r>
    </w:p>
    <w:p w14:paraId="7674E0F6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7CE74549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Next Payment Date:</w:t>
      </w:r>
    </w:p>
    <w:p w14:paraId="4F59EE8A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Next Payment Date estimates the date of the next loan payment. It assists in cash flow forecasting.</w:t>
      </w:r>
    </w:p>
    <w:p w14:paraId="48210910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date for liquidity planning and to project revenue from loan portfolios.</w:t>
      </w:r>
    </w:p>
    <w:p w14:paraId="366577FD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6DB90232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Purpose:</w:t>
      </w:r>
    </w:p>
    <w:p w14:paraId="6D961778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Purpose specifies the reason for the loan (e.g., debt consolidation, education). It helps understand borrower intentions.</w:t>
      </w:r>
    </w:p>
    <w:p w14:paraId="320F5898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segment and customize loan offerings, aligning loan terms with borrower needs.</w:t>
      </w:r>
    </w:p>
    <w:p w14:paraId="11C69EC1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BC51C4C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Term:</w:t>
      </w:r>
    </w:p>
    <w:p w14:paraId="23DB3C58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Term defines the duration of the loan in months. It sets the repayment period.</w:t>
      </w:r>
    </w:p>
    <w:p w14:paraId="2CA6C04E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the term to structure loan agreements, calculate interest payments, and manage loan maturities.</w:t>
      </w:r>
    </w:p>
    <w:p w14:paraId="142C3CF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02C88C9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Verification Status:</w:t>
      </w:r>
    </w:p>
    <w:p w14:paraId="47883673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Verification Status indicates whether the borrower's financial information has been verified. It assesses data accuracy.</w:t>
      </w:r>
    </w:p>
    <w:p w14:paraId="4F9DB2CB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gauge data reliability, verify income, and evaluate loan application credibility.</w:t>
      </w:r>
    </w:p>
    <w:p w14:paraId="6FE0F5E0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</w:p>
    <w:p w14:paraId="2445944D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Annual Income:</w:t>
      </w:r>
    </w:p>
    <w:p w14:paraId="1C57269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lastRenderedPageBreak/>
        <w:t>Purpose: Annual Income reflects the borrower's total yearly earnings. It assesses repayment capacity.</w:t>
      </w:r>
    </w:p>
    <w:p w14:paraId="56712A4D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income figure to determine loan eligibility, calculate debt-to-income ratios, and evaluate creditworthiness.</w:t>
      </w:r>
    </w:p>
    <w:p w14:paraId="4E70C0E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56A67F6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DTI (Debt-to-Income Ratio):</w:t>
      </w:r>
    </w:p>
    <w:p w14:paraId="4C73099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DTI measures the borrower's debt burden relative to income. It gauges the borrower's capacity to take on additional debt.</w:t>
      </w:r>
    </w:p>
    <w:p w14:paraId="74446210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DTI to assess a borrower's ability to handle loan payments and make responsible lending decisions.</w:t>
      </w:r>
    </w:p>
    <w:p w14:paraId="7E72E915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1964D2C7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Instalment:</w:t>
      </w:r>
    </w:p>
    <w:p w14:paraId="4BF6D16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Instalment is the fixed monthly payment amount for loan repayment, including principal and interest.</w:t>
      </w:r>
    </w:p>
    <w:p w14:paraId="56CCC764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structure loan terms, calculate amortization schedules, and assess payment affordability.</w:t>
      </w:r>
    </w:p>
    <w:p w14:paraId="090A3926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683F16E8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Interest Rate:</w:t>
      </w:r>
    </w:p>
    <w:p w14:paraId="575EB3A6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Interest Rate represents the annual cost of borrowing expressed as a percentage. It determines the loan's cost.</w:t>
      </w:r>
    </w:p>
    <w:p w14:paraId="671EBA53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interest rates to price loans, manage profit margins, and attract investors.</w:t>
      </w:r>
    </w:p>
    <w:p w14:paraId="20DEE5E2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2225DFE0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Loan Amount:</w:t>
      </w:r>
    </w:p>
    <w:p w14:paraId="220A66E0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Loan Amount is the total borrowed sum. It defines the principal amount.</w:t>
      </w:r>
    </w:p>
    <w:p w14:paraId="04195255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Loan Amount to determine loan size</w:t>
      </w:r>
    </w:p>
    <w:p w14:paraId="5A7827C5" w14:textId="77777777" w:rsidR="001C55F5" w:rsidRDefault="001C55F5" w:rsidP="001C55F5">
      <w:pPr>
        <w:jc w:val="both"/>
      </w:pPr>
    </w:p>
    <w:p w14:paraId="4E9AA6CD" w14:textId="5BFB7074" w:rsidR="001C55F5" w:rsidRPr="00034003" w:rsidRDefault="0060693A" w:rsidP="001C55F5">
      <w:pPr>
        <w:jc w:val="both"/>
      </w:pPr>
      <w:r>
        <w:pict w14:anchorId="40EE5916">
          <v:rect id="_x0000_i1025" style="width:451.3pt;height:1.5pt" o:hralign="center" o:hrstd="t" o:hrnoshade="t" o:hr="t" fillcolor="#ed7d31 [3205]" stroked="f"/>
        </w:pict>
      </w:r>
    </w:p>
    <w:p w14:paraId="1DFDF871" w14:textId="77777777" w:rsidR="001C55F5" w:rsidRPr="00034003" w:rsidRDefault="001C55F5" w:rsidP="001C55F5">
      <w:pPr>
        <w:jc w:val="both"/>
      </w:pPr>
    </w:p>
    <w:p w14:paraId="6201097E" w14:textId="77777777" w:rsidR="00B90E3A" w:rsidRDefault="00B90E3A"/>
    <w:sectPr w:rsidR="00B90E3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BC045D" w14:textId="77777777" w:rsidR="00B47601" w:rsidRDefault="00B47601" w:rsidP="00A83F2B">
      <w:pPr>
        <w:spacing w:after="0" w:line="240" w:lineRule="auto"/>
      </w:pPr>
      <w:r>
        <w:separator/>
      </w:r>
    </w:p>
  </w:endnote>
  <w:endnote w:type="continuationSeparator" w:id="0">
    <w:p w14:paraId="0EB07025" w14:textId="77777777" w:rsidR="00B47601" w:rsidRDefault="00B47601" w:rsidP="00A83F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3E3866" w14:textId="77777777" w:rsidR="00252FD6" w:rsidRDefault="00252FD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06ADEF" w14:textId="77777777" w:rsidR="00252FD6" w:rsidRDefault="00252FD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0E4580" w14:textId="77777777" w:rsidR="00252FD6" w:rsidRDefault="00252F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427E15" w14:textId="77777777" w:rsidR="00B47601" w:rsidRDefault="00B47601" w:rsidP="00A83F2B">
      <w:pPr>
        <w:spacing w:after="0" w:line="240" w:lineRule="auto"/>
      </w:pPr>
      <w:r>
        <w:separator/>
      </w:r>
    </w:p>
  </w:footnote>
  <w:footnote w:type="continuationSeparator" w:id="0">
    <w:p w14:paraId="4B87414C" w14:textId="77777777" w:rsidR="00B47601" w:rsidRDefault="00B47601" w:rsidP="00A83F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0194F2" w14:textId="77777777" w:rsidR="00252FD6" w:rsidRDefault="00252FD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4DFE75" w14:textId="02536A58" w:rsidR="00EE3B93" w:rsidRDefault="00EE3B9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C9D741" w14:textId="77777777" w:rsidR="00252FD6" w:rsidRDefault="00252FD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5F5"/>
    <w:rsid w:val="00172E71"/>
    <w:rsid w:val="001C55F5"/>
    <w:rsid w:val="00252FD6"/>
    <w:rsid w:val="0060693A"/>
    <w:rsid w:val="009415D8"/>
    <w:rsid w:val="00A836AC"/>
    <w:rsid w:val="00A83F2B"/>
    <w:rsid w:val="00B47601"/>
    <w:rsid w:val="00B90E3A"/>
    <w:rsid w:val="00CD3295"/>
    <w:rsid w:val="00DC0A4D"/>
    <w:rsid w:val="00EE3B93"/>
    <w:rsid w:val="00FC0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8B9A0F"/>
  <w15:chartTrackingRefBased/>
  <w15:docId w15:val="{BD6B06C2-043D-47C8-9A1B-45A9C333E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55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5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55F5"/>
  </w:style>
  <w:style w:type="character" w:styleId="Hyperlink">
    <w:name w:val="Hyperlink"/>
    <w:basedOn w:val="DefaultParagraphFont"/>
    <w:uiPriority w:val="99"/>
    <w:unhideWhenUsed/>
    <w:rsid w:val="001C55F5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A83F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3F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92306F-8FF3-44EA-B60F-05FDA5853E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812</Words>
  <Characters>4634</Characters>
  <Application>Microsoft Office Word</Application>
  <DocSecurity>0</DocSecurity>
  <Lines>38</Lines>
  <Paragraphs>10</Paragraphs>
  <ScaleCrop>false</ScaleCrop>
  <Company/>
  <LinksUpToDate>false</LinksUpToDate>
  <CharactersWithSpaces>5436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 A</dc:creator>
  <cp:keywords/>
  <dc:description/>
  <cp:lastModifiedBy>asus laptop</cp:lastModifiedBy>
  <cp:revision>10</cp:revision>
  <dcterms:created xsi:type="dcterms:W3CDTF">2023-10-06T12:00:00Z</dcterms:created>
  <dcterms:modified xsi:type="dcterms:W3CDTF">2024-06-01T05:01:00Z</dcterms:modified>
</cp:coreProperties>
</file>