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CTI-BTP Platform — Workflow Guide</w:t>
      </w:r>
    </w:p>
    <w:p>
      <w:r>
        <w:rPr>
          <w:b w:val="0"/>
        </w:rPr>
        <w:t>Cross-Organisational Cyber Threat Intelligence Sharing with PR-RABE Encryption</w:t>
      </w:r>
    </w:p>
    <w:p>
      <w:r>
        <w:rPr>
          <w:b/>
        </w:rPr>
        <w:t>Flask + React  |  SQLite  |  PR-RABE (charm-crypto on WSL/Linux)</w:t>
      </w:r>
    </w:p>
    <w:p/>
    <w:p>
      <w:pPr>
        <w:pStyle w:val="Heading2"/>
      </w:pPr>
      <w:r>
        <w:t>Architecture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+ Vite (port 5173)</w:t>
            </w:r>
          </w:p>
        </w:tc>
        <w:tc>
          <w:tcPr>
            <w:tcW w:type="dxa" w:w="2880"/>
          </w:tcPr>
          <w:p>
            <w:r>
              <w:t>SPA dashboard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Flask (port 5000, WSL)</w:t>
            </w:r>
          </w:p>
        </w:tc>
        <w:tc>
          <w:tcPr>
            <w:tcW w:type="dxa" w:w="2880"/>
          </w:tcPr>
          <w:p>
            <w:r>
              <w:t>REST API + crypto</w:t>
            </w:r>
          </w:p>
        </w:tc>
      </w:tr>
      <w:tr>
        <w:tc>
          <w:tcPr>
            <w:tcW w:type="dxa" w:w="2880"/>
          </w:tcPr>
          <w:p>
            <w:r>
              <w:t>Crypto</w:t>
            </w:r>
          </w:p>
        </w:tc>
        <w:tc>
          <w:tcPr>
            <w:tcW w:type="dxa" w:w="2880"/>
          </w:tcPr>
          <w:p>
            <w:r>
              <w:t>charm-crypto (bilinear pairings)</w:t>
            </w:r>
          </w:p>
        </w:tc>
        <w:tc>
          <w:tcPr>
            <w:tcW w:type="dxa" w:w="2880"/>
          </w:tcPr>
          <w:p>
            <w:r>
              <w:t>PR-RABE encryption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SQLite (data/cti.db)</w:t>
            </w:r>
          </w:p>
        </w:tc>
        <w:tc>
          <w:tcPr>
            <w:tcW w:type="dxa" w:w="2880"/>
          </w:tcPr>
          <w:p>
            <w:r>
              <w:t>Persistent storage</w:t>
            </w:r>
          </w:p>
        </w:tc>
      </w:tr>
    </w:tbl>
    <w:p/>
    <w:p>
      <w:pPr>
        <w:pStyle w:val="Heading2"/>
      </w:pPr>
      <w:r>
        <w:t>Case 1: Existing User Login</w:t>
      </w:r>
    </w:p>
    <w:p>
      <w:pPr>
        <w:pStyle w:val="Heading3"/>
      </w:pPr>
      <w:r>
        <w:t>Step 1 — Landing Page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221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_p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2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Landing Page</w:t>
      </w:r>
    </w:p>
    <w:p>
      <w:pPr>
        <w:pStyle w:val="ListBullet"/>
      </w:pPr>
      <w:r>
        <w:t xml:space="preserve">Public page. Click </w:t>
      </w:r>
      <w:r>
        <w:rPr>
          <w:b/>
        </w:rPr>
        <w:t>Open dashboard</w:t>
      </w:r>
      <w:r>
        <w:t xml:space="preserve"> (top-right) or </w:t>
      </w:r>
      <w:r>
        <w:rPr>
          <w:b/>
        </w:rPr>
        <w:t>Explore the dashboard</w:t>
      </w:r>
      <w:r>
        <w:t>.</w:t>
      </w:r>
    </w:p>
    <w:p>
      <w:pPr>
        <w:pStyle w:val="ListBullet"/>
      </w:pPr>
      <w:r>
        <w:t>Shows platform features: cross-org sharing, risk scoring, conflict visibility.</w:t>
      </w:r>
    </w:p>
    <w:p>
      <w:pPr>
        <w:pStyle w:val="Heading3"/>
      </w:pPr>
      <w:r>
        <w:t>Step 2 — Sign 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a_log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Login Page</w:t>
      </w:r>
    </w:p>
    <w:p>
      <w:pPr>
        <w:pStyle w:val="ListBullet"/>
      </w:pPr>
      <w:r>
        <w:t xml:space="preserve">Enter your </w:t>
      </w:r>
      <w:r>
        <w:rPr>
          <w:b/>
        </w:rPr>
        <w:t>email</w:t>
      </w:r>
      <w:r>
        <w:t xml:space="preserve"> and </w:t>
      </w:r>
      <w:r>
        <w:rPr>
          <w:b/>
        </w:rPr>
        <w:t>password</w:t>
      </w:r>
      <w:r>
        <w:t xml:space="preserve">, click </w:t>
      </w:r>
      <w:r>
        <w:rPr>
          <w:b/>
        </w:rPr>
        <w:t>Sign in</w:t>
      </w:r>
      <w:r>
        <w:t>.</w:t>
      </w:r>
    </w:p>
    <w:p>
      <w:pPr>
        <w:pStyle w:val="ListBullet"/>
      </w:pPr>
      <w:r>
        <w:t>Token is stored in sessionStorage (1-hour expiry).</w:t>
      </w:r>
    </w:p>
    <w:p>
      <w:pPr>
        <w:pStyle w:val="ListBullet"/>
      </w:pPr>
      <w:r>
        <w:t>On success → redirects to Dashboard Overview.</w:t>
      </w:r>
    </w:p>
    <w:p>
      <w:r>
        <w:rPr>
          <w:b/>
        </w:rPr>
        <w:t>Demo accounts (from seed script):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Password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Organisation</w:t>
            </w:r>
          </w:p>
        </w:tc>
      </w:tr>
      <w:tr>
        <w:tc>
          <w:tcPr>
            <w:tcW w:type="dxa" w:w="2880"/>
          </w:tcPr>
          <w:p>
            <w:r>
              <w:t>alice@alphabank.com</w:t>
            </w:r>
          </w:p>
        </w:tc>
        <w:tc>
          <w:tcPr>
            <w:tcW w:type="dxa" w:w="2880"/>
          </w:tcPr>
          <w:p>
            <w:r>
              <w:t>alice123</w:t>
            </w:r>
          </w:p>
        </w:tc>
        <w:tc>
          <w:tcPr>
            <w:tcW w:type="dxa" w:w="2880"/>
          </w:tcPr>
          <w:p>
            <w:r>
              <w:t>Alpha Bank (Finance)</w:t>
            </w:r>
          </w:p>
        </w:tc>
      </w:tr>
      <w:tr>
        <w:tc>
          <w:tcPr>
            <w:tcW w:type="dxa" w:w="2880"/>
          </w:tcPr>
          <w:p>
            <w:r>
              <w:t>bob@cityhospital.com</w:t>
            </w:r>
          </w:p>
        </w:tc>
        <w:tc>
          <w:tcPr>
            <w:tcW w:type="dxa" w:w="2880"/>
          </w:tcPr>
          <w:p>
            <w:r>
              <w:t>bob123</w:t>
            </w:r>
          </w:p>
        </w:tc>
        <w:tc>
          <w:tcPr>
            <w:tcW w:type="dxa" w:w="2880"/>
          </w:tcPr>
          <w:p>
            <w:r>
              <w:t>City Hospital (Healthcare)</w:t>
            </w:r>
          </w:p>
        </w:tc>
      </w:tr>
      <w:tr>
        <w:tc>
          <w:tcPr>
            <w:tcW w:type="dxa" w:w="2880"/>
          </w:tcPr>
          <w:p>
            <w:r>
              <w:t>carol@deltainsurance.com</w:t>
            </w:r>
          </w:p>
        </w:tc>
        <w:tc>
          <w:tcPr>
            <w:tcW w:type="dxa" w:w="2880"/>
          </w:tcPr>
          <w:p>
            <w:r>
              <w:t>carol123</w:t>
            </w:r>
          </w:p>
        </w:tc>
        <w:tc>
          <w:tcPr>
            <w:tcW w:type="dxa" w:w="2880"/>
          </w:tcPr>
          <w:p>
            <w:r>
              <w:t>Delta Insurance (Finance)</w:t>
            </w:r>
          </w:p>
        </w:tc>
      </w:tr>
    </w:tbl>
    <w:p/>
    <w:p>
      <w:pPr>
        <w:pStyle w:val="Heading2"/>
      </w:pPr>
      <w:r>
        <w:t>Case 2: New User Registration</w:t>
      </w:r>
    </w:p>
    <w:p>
      <w:pPr>
        <w:pStyle w:val="Heading3"/>
      </w:pPr>
      <w:r>
        <w:t>Step 1 — Create Account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_regist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Register Page</w:t>
      </w:r>
    </w:p>
    <w:p>
      <w:pPr>
        <w:pStyle w:val="ListBullet"/>
      </w:pPr>
      <w:r>
        <w:t xml:space="preserve">Click </w:t>
      </w:r>
      <w:r>
        <w:rPr>
          <w:b/>
        </w:rPr>
        <w:t>Create account</w:t>
      </w:r>
      <w:r>
        <w:t xml:space="preserve"> tab on the login screen.</w:t>
      </w:r>
    </w:p>
    <w:p>
      <w:pPr>
        <w:pStyle w:val="ListBullet"/>
      </w:pPr>
      <w:r>
        <w:t>Fill: Full name, Email, Password (min 8 chars), Confirm password.</w:t>
      </w:r>
    </w:p>
    <w:p>
      <w:pPr>
        <w:pStyle w:val="ListBullet"/>
      </w:pPr>
      <w:r/>
      <w:r>
        <w:rPr>
          <w:b/>
        </w:rPr>
        <w:t>Organisation</w:t>
      </w:r>
      <w:r>
        <w:t xml:space="preserve"> — two options:</w:t>
      </w:r>
    </w:p>
    <w:p>
      <w:pPr>
        <w:pStyle w:val="ListBullet"/>
      </w:pPr>
      <w:r>
        <w:t xml:space="preserve">  • </w:t>
      </w:r>
      <w:r>
        <w:rPr>
          <w:b/>
        </w:rPr>
        <w:t>Join existing</w:t>
      </w:r>
      <w:r>
        <w:t>: Select from dropdown of registered organisations.</w:t>
      </w:r>
    </w:p>
    <w:p>
      <w:pPr>
        <w:pStyle w:val="ListBullet"/>
      </w:pPr>
      <w:r>
        <w:t xml:space="preserve">  • </w:t>
      </w:r>
      <w:r>
        <w:rPr>
          <w:b/>
        </w:rPr>
        <w:t>Create new</w:t>
      </w:r>
      <w:r>
        <w:t>: Enter org name + sector → creates the org and assigns you to it.</w:t>
      </w:r>
    </w:p>
    <w:p>
      <w:pPr>
        <w:pStyle w:val="ListBullet"/>
      </w:pPr>
      <w:r>
        <w:t xml:space="preserve">Click </w:t>
      </w:r>
      <w:r>
        <w:rPr>
          <w:b/>
        </w:rPr>
        <w:t>Create account</w:t>
      </w:r>
      <w:r>
        <w:t xml:space="preserve"> → auto-login → Dashboard.</w:t>
      </w:r>
    </w:p>
    <w:p>
      <w:pPr>
        <w:pStyle w:val="Heading2"/>
      </w:pPr>
      <w:r>
        <w:t>Dashboard Pages (Global Workspace)</w:t>
      </w:r>
    </w:p>
    <w:p>
      <w:r>
        <w:rPr>
          <w:b w:val="0"/>
        </w:rPr>
        <w:t>After login, the sidebar shows 8 pages under Global Workspace.</w:t>
      </w:r>
    </w:p>
    <w:p>
      <w:pPr>
        <w:pStyle w:val="Heading3"/>
      </w:pPr>
      <w:r>
        <w:t>1.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284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verview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8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Dashboard Overview</w:t>
      </w:r>
    </w:p>
    <w:p>
      <w:pPr>
        <w:pStyle w:val="ListBullet"/>
      </w:pPr>
      <w:r/>
      <w:r>
        <w:rPr>
          <w:b/>
        </w:rPr>
        <w:t>KPI strip</w:t>
      </w:r>
      <w:r>
        <w:t>: Total Records, Active Contradictions, Organisations count.</w:t>
      </w:r>
    </w:p>
    <w:p>
      <w:pPr>
        <w:pStyle w:val="ListBullet"/>
      </w:pPr>
      <w:r/>
      <w:r>
        <w:rPr>
          <w:b/>
        </w:rPr>
        <w:t>Threat Severity Estimate</w:t>
      </w:r>
      <w:r>
        <w:t>: Weighted heuristic score — estimated severity, confidence %, features used.</w:t>
      </w:r>
    </w:p>
    <w:p>
      <w:pPr>
        <w:pStyle w:val="ListBullet"/>
      </w:pPr>
      <w:r/>
      <w:r>
        <w:rPr>
          <w:b/>
        </w:rPr>
        <w:t>Top High-Risk Indicators</w:t>
      </w:r>
      <w:r>
        <w:t>: Ranked by temporal risk score (severity + volume + cross-sector impact + time decay).</w:t>
      </w:r>
    </w:p>
    <w:p>
      <w:pPr>
        <w:pStyle w:val="ListBullet"/>
      </w:pPr>
      <w:r/>
      <w:r>
        <w:rPr>
          <w:b/>
        </w:rPr>
        <w:t>Organisations Disagreeing</w:t>
      </w:r>
      <w:r>
        <w:t>: Flags when different orgs report conflicting severities for the same indicator.</w:t>
      </w:r>
    </w:p>
    <w:p>
      <w:pPr>
        <w:pStyle w:val="Heading3"/>
      </w:pPr>
      <w:r>
        <w:t>2. Submit CTI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30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ubmit_cti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Submit CTI Form</w:t>
      </w:r>
    </w:p>
    <w:p>
      <w:pPr>
        <w:pStyle w:val="ListBullet"/>
      </w:pPr>
      <w:r>
        <w:t>Form to submit a new threat intelligence record.</w:t>
      </w:r>
    </w:p>
    <w:p>
      <w:pPr>
        <w:pStyle w:val="ListBullet"/>
      </w:pPr>
      <w:r>
        <w:t>Fields: Title*, Indicator type (IP/domain/URL/SHA-256/CVE), Indicator value, Category, Severity, Confidence, Sharing sector, Source type, Source reliability, Observation date, Description*.</w:t>
      </w:r>
    </w:p>
    <w:p>
      <w:pPr>
        <w:pStyle w:val="ListBullet"/>
      </w:pPr>
      <w:r>
        <w:t>Your organisation is auto-populated from your login.</w:t>
      </w:r>
    </w:p>
    <w:p>
      <w:pPr>
        <w:pStyle w:val="ListBullet"/>
      </w:pPr>
      <w:r>
        <w:t>On submit → record is processed, normalised, STIX bundle generated, risk scored, and stored.</w:t>
      </w:r>
    </w:p>
    <w:p>
      <w:pPr>
        <w:pStyle w:val="Heading3"/>
      </w:pPr>
      <w:r>
        <w:t>3. Organisations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30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organization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Organisations Page</w:t>
      </w:r>
    </w:p>
    <w:p>
      <w:pPr>
        <w:pStyle w:val="ListBullet"/>
      </w:pPr>
      <w:r>
        <w:t>Card grid of all registered organisations.</w:t>
      </w:r>
    </w:p>
    <w:p>
      <w:pPr>
        <w:pStyle w:val="ListBullet"/>
      </w:pPr>
      <w:r>
        <w:t>Each card shows: Name, Sector, Trust Score, Policy Violations count.</w:t>
      </w:r>
    </w:p>
    <w:p>
      <w:pPr>
        <w:pStyle w:val="ListBullet"/>
      </w:pPr>
      <w:r>
        <w:t xml:space="preserve">Click </w:t>
      </w:r>
      <w:r>
        <w:rPr>
          <w:b/>
        </w:rPr>
        <w:t>Add Organisation</w:t>
      </w:r>
      <w:r>
        <w:t xml:space="preserve"> to create a new one.</w:t>
      </w:r>
    </w:p>
    <w:p>
      <w:pPr>
        <w:pStyle w:val="ListBullet"/>
      </w:pPr>
      <w:r/>
      <w:r>
        <w:rPr>
          <w:b/>
        </w:rPr>
        <w:t>Click any org card</w:t>
      </w:r>
      <w:r>
        <w:t xml:space="preserve"> → enters that org's </w:t>
      </w:r>
      <w:r>
        <w:rPr>
          <w:b/>
        </w:rPr>
        <w:t>Workspace</w:t>
      </w:r>
      <w:r>
        <w:t xml:space="preserve"> (see below).</w:t>
      </w:r>
    </w:p>
    <w:p>
      <w:pPr>
        <w:pStyle w:val="Heading3"/>
      </w:pPr>
      <w:r>
        <w:t>4. Key Ceremony (PR-RABE Setup)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284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key_ceremony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8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Key Ceremony</w:t>
      </w:r>
    </w:p>
    <w:p>
      <w:r>
        <w:rPr>
          <w:b/>
        </w:rPr>
        <w:t>4-step progress bar. Must be completed before encryption/decryption works.</w:t>
      </w:r>
    </w:p>
    <w:p>
      <w:pPr>
        <w:pStyle w:val="ListNumber"/>
      </w:pPr>
      <w:r/>
      <w:r>
        <w:rPr>
          <w:b/>
        </w:rPr>
        <w:t>Initialise CRS</w:t>
      </w:r>
      <w:r>
        <w:t xml:space="preserve"> — Generates Common Reference String using bilinear pairings (SS512, Type-A). Setup secrets discarded (no trapdoor).</w:t>
      </w:r>
    </w:p>
    <w:p>
      <w:pPr>
        <w:pStyle w:val="ListNumber"/>
      </w:pPr>
      <w:r/>
      <w:r>
        <w:rPr>
          <w:b/>
        </w:rPr>
        <w:t>Org Key Generation</w:t>
      </w:r>
      <w:r>
        <w:t xml:space="preserve"> — Each org generates (pk, sk). Secret key never leaves the org. Attributes assigned: SECTOR:{sector} + TRUST:{HIGH|MEDIUM|LOW} based on dynamic trust score.</w:t>
      </w:r>
    </w:p>
    <w:p>
      <w:pPr>
        <w:pStyle w:val="ListNumber"/>
      </w:pPr>
      <w:r/>
      <w:r>
        <w:rPr>
          <w:b/>
        </w:rPr>
        <w:t>Aggregate</w:t>
      </w:r>
      <w:r>
        <w:t xml:space="preserve"> — Key Curator combines all public keys into Master Public Key (mpk). Deterministic — curator holds no secrets.</w:t>
      </w:r>
    </w:p>
    <w:p>
      <w:pPr>
        <w:pStyle w:val="ListNumber"/>
      </w:pPr>
      <w:r/>
      <w:r>
        <w:rPr>
          <w:b/>
        </w:rPr>
        <w:t>Ready</w:t>
      </w:r>
      <w:r>
        <w:t xml:space="preserve"> — System can now encrypt/decrypt using PR-RABE.</w:t>
      </w:r>
    </w:p>
    <w:p>
      <w:r>
        <w:rPr>
          <w:b w:val="0"/>
        </w:rPr>
        <w:t>(You) label shows next to your org. All orgs must register keys before aggregation.</w:t>
      </w:r>
    </w:p>
    <w:p>
      <w:pPr>
        <w:pStyle w:val="Heading3"/>
      </w:pPr>
      <w:r>
        <w:t>5. Crypto Sharing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30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rypto_sharing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Crypto Sharing</w:t>
      </w:r>
    </w:p>
    <w:p>
      <w:pPr>
        <w:pStyle w:val="ListBullet"/>
      </w:pPr>
      <w:r>
        <w:t>Status bar: PR-RABE state (Ready/Not initialised), registered orgs count, your org info.</w:t>
      </w:r>
    </w:p>
    <w:p>
      <w:pPr>
        <w:pStyle w:val="ListBullet"/>
      </w:pPr>
      <w:r/>
      <w:r>
        <w:rPr>
          <w:b/>
        </w:rPr>
        <w:t>Encrypt</w:t>
      </w:r>
      <w:r>
        <w:t>: Select a CTI record → policy auto-generated from severity+sector (e.g., SECTOR:FINANCE AND TRUST:HIGH) → encrypted using PR-RABE with policy hiding.</w:t>
      </w:r>
    </w:p>
    <w:p>
      <w:pPr>
        <w:pStyle w:val="ListBullet"/>
      </w:pPr>
      <w:r/>
      <w:r>
        <w:rPr>
          <w:b/>
        </w:rPr>
        <w:t>Decrypt</w:t>
      </w:r>
      <w:r>
        <w:t>: Select an encrypted record → attempts decryption with your org's attributes. Shows success/failure + timing.</w:t>
      </w:r>
    </w:p>
    <w:p>
      <w:pPr>
        <w:pStyle w:val="ListBullet"/>
      </w:pPr>
      <w:r/>
      <w:r>
        <w:rPr>
          <w:b/>
        </w:rPr>
        <w:t>Revoke</w:t>
      </w:r>
      <w:r>
        <w:t>: Revoke an attribute from your org (triggers AGK rotation).</w:t>
      </w:r>
    </w:p>
    <w:p>
      <w:r>
        <w:rPr>
          <w:b w:val="0"/>
        </w:rPr>
        <w:t>Only organisations whose attributes satisfy the LSSS policy can decrypt. The policy is hidden — unauthorised orgs cannot even see what attributes are required.</w:t>
      </w:r>
    </w:p>
    <w:p>
      <w:pPr>
        <w:pStyle w:val="Heading3"/>
      </w:pPr>
      <w:r>
        <w:t>6. Revocation Demo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30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vocation_demo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Revocation Demo</w:t>
      </w:r>
    </w:p>
    <w:p>
      <w:r>
        <w:rPr>
          <w:b w:val="0"/>
        </w:rPr>
        <w:t>Interactive 3-step demo showing PR-RABE revocation in action.</w:t>
      </w:r>
    </w:p>
    <w:p>
      <w:pPr>
        <w:pStyle w:val="ListNumber"/>
      </w:pPr>
      <w:r/>
      <w:r>
        <w:rPr>
          <w:b/>
        </w:rPr>
        <w:t>Encrypt</w:t>
      </w:r>
      <w:r>
        <w:t xml:space="preserve"> a record with a chosen policy.</w:t>
      </w:r>
    </w:p>
    <w:p>
      <w:pPr>
        <w:pStyle w:val="ListNumber"/>
      </w:pPr>
      <w:r/>
      <w:r>
        <w:rPr>
          <w:b/>
        </w:rPr>
        <w:t>Decrypt from each org</w:t>
      </w:r>
      <w:r>
        <w:t xml:space="preserve"> — see who has access and who is blocked.</w:t>
      </w:r>
    </w:p>
    <w:p>
      <w:pPr>
        <w:pStyle w:val="ListNumber"/>
      </w:pPr>
      <w:r/>
      <w:r>
        <w:rPr>
          <w:b/>
        </w:rPr>
        <w:t>Revoke</w:t>
      </w:r>
      <w:r>
        <w:t xml:space="preserve"> an attribute (e.g., TRUST:HIGH from an org) → AGK rotates → re-encrypt → that org loses access without changing their private key.</w:t>
      </w:r>
    </w:p>
    <w:p>
      <w:r>
        <w:rPr>
          <w:b w:val="0"/>
        </w:rPr>
        <w:t>Shows AGK Group Status table with version numbers and member counts. Uses demo-specific endpoints so it can test decryption as any org.</w:t>
      </w:r>
    </w:p>
    <w:p>
      <w:pPr>
        <w:pStyle w:val="Heading3"/>
      </w:pPr>
      <w:r>
        <w:t>7. Wallet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30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walle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Incentive Wallet</w:t>
      </w:r>
    </w:p>
    <w:p>
      <w:pPr>
        <w:pStyle w:val="ListBullet"/>
      </w:pPr>
      <w:r/>
      <w:r>
        <w:rPr>
          <w:b/>
        </w:rPr>
        <w:t>Token Balance</w:t>
      </w:r>
      <w:r>
        <w:t>: Your org's incentive wallet.</w:t>
      </w:r>
    </w:p>
    <w:p>
      <w:pPr>
        <w:pStyle w:val="ListBullet"/>
      </w:pPr>
      <w:r/>
      <w:r>
        <w:rPr>
          <w:b/>
        </w:rPr>
        <w:t>Tier</w:t>
      </w:r>
      <w:r>
        <w:t>: Basic (&lt;50) / Standard (50–99) / Premium (100+).</w:t>
      </w:r>
    </w:p>
    <w:p>
      <w:pPr>
        <w:pStyle w:val="ListBullet"/>
      </w:pPr>
      <w:r/>
      <w:r>
        <w:rPr>
          <w:b/>
        </w:rPr>
        <w:t>Transaction History</w:t>
      </w:r>
      <w:r>
        <w:t>: Sharing rewards (+10), high-confidence bonuses (+5), cross-sector bonuses (+3), violation penalties (−20), revocation penalties (−50).</w:t>
      </w:r>
    </w:p>
    <w:p>
      <w:pPr>
        <w:pStyle w:val="ListBullet"/>
      </w:pPr>
      <w:r/>
      <w:r>
        <w:rPr>
          <w:b/>
        </w:rPr>
        <w:t>Leaderboard tab</w:t>
      </w:r>
      <w:r>
        <w:t>: All orgs ranked by token balance.</w:t>
      </w:r>
    </w:p>
    <w:p>
      <w:pPr>
        <w:pStyle w:val="Heading3"/>
      </w:pPr>
      <w:r>
        <w:t>8. Access Control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301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ccess_control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Access Control</w:t>
      </w:r>
    </w:p>
    <w:p>
      <w:pPr>
        <w:pStyle w:val="ListBullet"/>
      </w:pPr>
      <w:r/>
      <w:r>
        <w:rPr>
          <w:b/>
        </w:rPr>
        <w:t>Policy Decision Engine</w:t>
      </w:r>
      <w:r>
        <w:t>: Select a requesting org + a threat record → evaluate access.</w:t>
      </w:r>
    </w:p>
    <w:p>
      <w:pPr>
        <w:pStyle w:val="ListBullet"/>
      </w:pPr>
      <w:r>
        <w:t>Decision shows: GRANTED or DENIED, with context — FIPS 199 sensitivity, required LSSS policy, org trust score, org attributes, missing attributes, risk level.</w:t>
      </w:r>
    </w:p>
    <w:p>
      <w:pPr>
        <w:pStyle w:val="ListBullet"/>
      </w:pPr>
      <w:r/>
      <w:r>
        <w:rPr>
          <w:b/>
        </w:rPr>
        <w:t>Security Audit Trail</w:t>
      </w:r>
      <w:r>
        <w:t>: Log of all access decisions with timestamps.</w:t>
      </w:r>
    </w:p>
    <w:p>
      <w:pPr>
        <w:pStyle w:val="Heading2"/>
      </w:pPr>
      <w:r>
        <w:t>Organisation Workspace</w:t>
      </w:r>
    </w:p>
    <w:p>
      <w:r>
        <w:rPr>
          <w:b w:val="0"/>
        </w:rPr>
        <w:t>Click any org on the Organisations page → enters that org's workspace with 4 dedicated pages.</w:t>
      </w:r>
    </w:p>
    <w:p>
      <w:pPr>
        <w:pStyle w:val="Heading3"/>
      </w:pPr>
      <w:r>
        <w:t>PDF Intelligence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30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org_pdf_intelligenc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PDF Intelligence</w:t>
      </w:r>
    </w:p>
    <w:p>
      <w:pPr>
        <w:pStyle w:val="ListBullet"/>
      </w:pPr>
      <w:r>
        <w:t>Upload threat PDF reports (e.g., APT analysis papers).</w:t>
      </w:r>
    </w:p>
    <w:p>
      <w:pPr>
        <w:pStyle w:val="ListBullet"/>
      </w:pPr>
      <w:r>
        <w:t>AI extracts IOCs (IPs, domains, hashes, CVEs) from the PDF.</w:t>
      </w:r>
    </w:p>
    <w:p>
      <w:pPr>
        <w:pStyle w:val="ListBullet"/>
      </w:pPr>
      <w:r>
        <w:t>Extracted indicators are automatically added as CTI records for that org.</w:t>
      </w:r>
    </w:p>
    <w:p>
      <w:pPr>
        <w:pStyle w:val="ListBullet"/>
      </w:pPr>
      <w:r>
        <w:t>Shows already-submitted indicators for that org.</w:t>
      </w:r>
    </w:p>
    <w:p>
      <w:pPr>
        <w:pStyle w:val="Heading3"/>
      </w:pPr>
      <w:r>
        <w:t>Knowledge Graph</w:t>
      </w:r>
    </w:p>
    <w:p>
      <w:pPr>
        <w:pStyle w:val="ListBullet"/>
      </w:pPr>
      <w:r>
        <w:t>Interactive force-directed graph visualisation.</w:t>
      </w:r>
    </w:p>
    <w:p>
      <w:pPr>
        <w:pStyle w:val="ListBullet"/>
      </w:pPr>
      <w:r>
        <w:t>Nodes = Organisations + IOCs. Links = 'submitted' relationships.</w:t>
      </w:r>
    </w:p>
    <w:p>
      <w:pPr>
        <w:pStyle w:val="ListBullet"/>
      </w:pPr>
      <w:r>
        <w:t>See which orgs share common indicators (overlap = potential correlation).</w:t>
      </w:r>
    </w:p>
    <w:p>
      <w:pPr>
        <w:pStyle w:val="Heading3"/>
      </w:pPr>
      <w:r>
        <w:t>Temporal Intelligence</w:t>
      </w:r>
    </w:p>
    <w:p>
      <w:pPr>
        <w:pStyle w:val="ListBullet"/>
      </w:pPr>
      <w:r>
        <w:t>Timeline view of how indicators evolve over time.</w:t>
      </w:r>
    </w:p>
    <w:p>
      <w:pPr>
        <w:pStyle w:val="ListBullet"/>
      </w:pPr>
      <w:r>
        <w:t>Risk score with time-decay: recent activity scores higher.</w:t>
      </w:r>
    </w:p>
    <w:p>
      <w:pPr>
        <w:pStyle w:val="ListBullet"/>
      </w:pPr>
      <w:r>
        <w:t>Cross-sector impact tracking.</w:t>
      </w:r>
    </w:p>
    <w:p>
      <w:pPr>
        <w:pStyle w:val="ListBullet"/>
      </w:pPr>
      <w:r>
        <w:t>Contradiction detection: flags when orgs disagree on severity.</w:t>
      </w:r>
    </w:p>
    <w:p>
      <w:pPr>
        <w:pStyle w:val="Heading3"/>
      </w:pPr>
      <w:r>
        <w:t>ATT&amp;CK Matrix</w:t>
      </w:r>
    </w:p>
    <w:p>
      <w:pPr>
        <w:pStyle w:val="ListBullet"/>
      </w:pPr>
      <w:r>
        <w:t>Maps org-submitted indicators to MITRE ATT&amp;CK techniques.</w:t>
      </w:r>
    </w:p>
    <w:p>
      <w:pPr>
        <w:pStyle w:val="ListBullet"/>
      </w:pPr>
      <w:r>
        <w:t>Collaborative filtering: suggests techniques an org hasn't seen yet, based on what similar orgs report.</w:t>
      </w:r>
    </w:p>
    <w:p>
      <w:pPr>
        <w:pStyle w:val="ListBullet"/>
      </w:pPr>
      <w:r>
        <w:t>Global frequency heatmap across all orgs.</w:t>
      </w:r>
    </w:p>
    <w:p>
      <w:pPr>
        <w:pStyle w:val="Heading2"/>
      </w:pPr>
      <w:r>
        <w:t>PR-RABE Cryptography Flow</w:t>
      </w:r>
    </w:p>
    <w:p>
      <w:pPr>
        <w:pStyle w:val="ListNumber"/>
      </w:pPr>
      <w:r/>
      <w:r>
        <w:rPr>
          <w:b/>
        </w:rPr>
        <w:t>Setup (Key Ceremony)</w:t>
      </w:r>
      <w:r>
        <w:t xml:space="preserve"> — CRS generated from bilinear pairing params. Setup secrets discarded (no trapdoor).</w:t>
      </w:r>
    </w:p>
    <w:p>
      <w:pPr>
        <w:pStyle w:val="ListNumber"/>
      </w:pPr>
      <w:r/>
      <w:r>
        <w:rPr>
          <w:b/>
        </w:rPr>
        <w:t>KeyGen (Per Org)</w:t>
      </w:r>
      <w:r>
        <w:t xml:space="preserve"> — Each org → (pk, sk) pair. Attributes: SECTOR:X + TRUST:Y. IsValid check proves key correctness.</w:t>
      </w:r>
    </w:p>
    <w:p>
      <w:pPr>
        <w:pStyle w:val="ListNumber"/>
      </w:pPr>
      <w:r/>
      <w:r>
        <w:rPr>
          <w:b/>
        </w:rPr>
        <w:t>Aggregate</w:t>
      </w:r>
      <w:r>
        <w:t xml:space="preserve"> — Key Curator combines all pk → Master PK (mpk). Distributes helper keys (hk) to each org. Curator holds NO secrets.</w:t>
      </w:r>
    </w:p>
    <w:p>
      <w:pPr>
        <w:pStyle w:val="ListNumber"/>
      </w:pPr>
      <w:r/>
      <w:r>
        <w:rPr>
          <w:b/>
        </w:rPr>
        <w:t>Encrypt (KEM-DEM Hybrid)</w:t>
      </w:r>
      <w:r>
        <w:t xml:space="preserve"> — Policy e.g. (SECTOR:FINANCE AND TRUST:HIGH). KEM: PR-RABE encrypts symmetric key under policy. DEM: AES-GCM encrypts the actual CTI data. Policy hiding: attribute names visible, values hidden from unauthorised.</w:t>
      </w:r>
    </w:p>
    <w:p>
      <w:pPr>
        <w:pStyle w:val="ListNumber"/>
      </w:pPr>
      <w:r/>
      <w:r>
        <w:rPr>
          <w:b/>
        </w:rPr>
        <w:t>Decrypt</w:t>
      </w:r>
      <w:r>
        <w:t xml:space="preserve"> — Org uses sk + hk + mpk. If attributes satisfy policy → symmetric key → AES-GCM decrypts data. If not → DecryptionFailed (no information leak).</w:t>
      </w:r>
    </w:p>
    <w:p>
      <w:pPr>
        <w:pStyle w:val="ListNumber"/>
      </w:pPr>
      <w:r/>
      <w:r>
        <w:rPr>
          <w:b/>
        </w:rPr>
        <w:t>Revoke</w:t>
      </w:r>
      <w:r>
        <w:t xml:space="preserve"> — Revoke attribute from org. AGK (Attribute Group Key) rotates. All records re-encrypted with new AGK. Org's private key unchanged — they can no longer derive the new AGK → decryption fails.</w:t>
      </w:r>
    </w:p>
    <w:p>
      <w:pPr>
        <w:pStyle w:val="Heading3"/>
      </w:pPr>
      <w:r>
        <w:t>Trust → Attributes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Trust 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Trust 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LSSS Attribute</w:t>
            </w:r>
          </w:p>
        </w:tc>
      </w:tr>
      <w:tr>
        <w:tc>
          <w:tcPr>
            <w:tcW w:type="dxa" w:w="2880"/>
          </w:tcPr>
          <w:p>
            <w:r>
              <w:t>80–100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TRUST:HIGH</w:t>
            </w:r>
          </w:p>
        </w:tc>
      </w:tr>
      <w:tr>
        <w:tc>
          <w:tcPr>
            <w:tcW w:type="dxa" w:w="2880"/>
          </w:tcPr>
          <w:p>
            <w:r>
              <w:t>50–79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TRUST:MEDIUM</w:t>
            </w:r>
          </w:p>
        </w:tc>
      </w:tr>
      <w:tr>
        <w:tc>
          <w:tcPr>
            <w:tcW w:type="dxa" w:w="2880"/>
          </w:tcPr>
          <w:p>
            <w:r>
              <w:t>0–49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TRUST:LOW</w:t>
            </w:r>
          </w:p>
        </w:tc>
      </w:tr>
    </w:tbl>
    <w:p/>
    <w:p>
      <w:pPr>
        <w:pStyle w:val="Heading3"/>
      </w:pPr>
      <w:r>
        <w:t>Auto-Policy Generation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Record Severity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Required Trust</w:t>
            </w:r>
          </w:p>
        </w:tc>
      </w:tr>
      <w:tr>
        <w:tc>
          <w:tcPr>
            <w:tcW w:type="dxa" w:w="4320"/>
          </w:tcPr>
          <w:p>
            <w:r>
              <w:t>Critical / High</w:t>
            </w:r>
          </w:p>
        </w:tc>
        <w:tc>
          <w:tcPr>
            <w:tcW w:type="dxa" w:w="4320"/>
          </w:tcPr>
          <w:p>
            <w:r>
              <w:t>TRUST:HIGH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TRUST:MEDIUM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TRUST:LOW</w:t>
            </w:r>
          </w:p>
        </w:tc>
      </w:tr>
    </w:tbl>
    <w:p/>
    <w:p>
      <w:r>
        <w:rPr>
          <w:b w:val="0"/>
        </w:rPr>
        <w:t>If the record has a specific sharing sector (e.g., Finance), the policy becomes: (SECTOR:FINANCE AND TRUST:HIGH) — both conditions required.</w:t>
      </w:r>
    </w:p>
    <w:p>
      <w:pPr>
        <w:pStyle w:val="Heading3"/>
      </w:pPr>
      <w:r>
        <w:t>Dynamic Trust Score</w:t>
      </w:r>
    </w:p>
    <w:p>
      <w:r>
        <w:rPr>
          <w:b w:val="0"/>
        </w:rPr>
        <w:t>Trust is computed from 4 weighted components (not static):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it works</w:t>
            </w:r>
          </w:p>
        </w:tc>
      </w:tr>
      <w:tr>
        <w:tc>
          <w:tcPr>
            <w:tcW w:type="dxa" w:w="2880"/>
          </w:tcPr>
          <w:p>
            <w:r>
              <w:t>Sharing</w:t>
            </w:r>
          </w:p>
        </w:tc>
        <w:tc>
          <w:tcPr>
            <w:tcW w:type="dxa" w:w="2880"/>
          </w:tcPr>
          <w:p>
            <w:r>
              <w:t>35%</w:t>
            </w:r>
          </w:p>
        </w:tc>
        <w:tc>
          <w:tcPr>
            <w:tcW w:type="dxa" w:w="2880"/>
          </w:tcPr>
          <w:p>
            <w:r>
              <w:t>Log-growth based on CTI submissions (maxes ~20 submissions)</w:t>
            </w:r>
          </w:p>
        </w:tc>
      </w:tr>
      <w:tr>
        <w:tc>
          <w:tcPr>
            <w:tcW w:type="dxa" w:w="2880"/>
          </w:tcPr>
          <w:p>
            <w:r>
              <w:t>Violations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Each violation = −25 points on this component</w:t>
            </w:r>
          </w:p>
        </w:tc>
      </w:tr>
      <w:tr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Ratio of high-confidence submissions</w:t>
            </w:r>
          </w:p>
        </w:tc>
      </w:tr>
      <w:tr>
        <w:tc>
          <w:tcPr>
            <w:tcW w:type="dxa" w:w="2880"/>
          </w:tcPr>
          <w:p>
            <w:r>
              <w:t>Base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Starting score (60 for active orgs)</w:t>
            </w:r>
          </w:p>
        </w:tc>
      </w:tr>
    </w:tbl>
    <w:p/>
    <w:p>
      <w:r>
        <w:rPr>
          <w:b w:val="0"/>
        </w:rPr>
        <w:t>Special cases: Inactive org → trust = 0. Revoked org → trust = 10.</w:t>
      </w:r>
    </w:p>
    <w:p>
      <w:pPr>
        <w:pStyle w:val="Heading2"/>
      </w:pPr>
      <w:r>
        <w:t>Running the Platform</w:t>
      </w:r>
    </w:p>
    <w:p>
      <w:pPr>
        <w:pStyle w:val="Heading3"/>
      </w:pPr>
      <w:r>
        <w:t>Backend (WSL terminal)</w:t>
      </w:r>
    </w:p>
    <w:p>
      <w:r>
        <w:rPr>
          <w:rFonts w:ascii="Consolas" w:hAnsi="Consolas"/>
          <w:sz w:val="20"/>
        </w:rPr>
        <w:t>cd /mnt/c/Users/asus/Desktop/CTI-BTP</w:t>
        <w:br/>
        <w:t>source ~/charm-env/bin/activate</w:t>
        <w:br/>
        <w:t>python -m backend.app</w:t>
      </w:r>
    </w:p>
    <w:p>
      <w:r>
        <w:rPr>
          <w:b w:val="0"/>
        </w:rPr>
        <w:t>Runs on http://127.0.0.1:5000</w:t>
      </w:r>
    </w:p>
    <w:p>
      <w:pPr>
        <w:pStyle w:val="Heading3"/>
      </w:pPr>
      <w:r>
        <w:t>Frontend (Windows terminal)</w:t>
      </w:r>
    </w:p>
    <w:p>
      <w:r>
        <w:rPr>
          <w:rFonts w:ascii="Consolas" w:hAnsi="Consolas"/>
          <w:sz w:val="20"/>
        </w:rPr>
        <w:t>cd C:\Users\asus\Desktop\CTI-BTP\frontend</w:t>
        <w:br/>
        <w:t>npm run dev</w:t>
      </w:r>
    </w:p>
    <w:p>
      <w:r>
        <w:rPr>
          <w:b w:val="0"/>
        </w:rPr>
        <w:t>Runs on http://localhost:5173</w:t>
      </w:r>
    </w:p>
    <w:p>
      <w:pPr>
        <w:pStyle w:val="Heading3"/>
      </w:pPr>
      <w:r>
        <w:t>Seed demo data</w:t>
      </w:r>
    </w:p>
    <w:p>
      <w:r>
        <w:rPr>
          <w:rFonts w:ascii="Consolas" w:hAnsi="Consolas"/>
          <w:sz w:val="20"/>
        </w:rPr>
        <w:t>cd /mnt/c/Users/asus/Desktop/CTI-BTP</w:t>
        <w:br/>
        <w:t>source ~/charm-env/bin/activate</w:t>
        <w:br/>
        <w:t>python -m scripts.seed_demo</w:t>
      </w:r>
    </w:p>
    <w:p>
      <w:r>
        <w:rPr>
          <w:b w:val="0"/>
        </w:rPr>
        <w:t>Creates 3 orgs, 5 users, and sample CTI records.</w:t>
      </w:r>
    </w:p>
    <w:p>
      <w:pPr>
        <w:pStyle w:val="Heading2"/>
      </w:pPr>
      <w:r>
        <w:t>Important Notes</w:t>
      </w:r>
    </w:p>
    <w:p>
      <w:pPr>
        <w:pStyle w:val="ListBullet"/>
      </w:pPr>
      <w:r/>
      <w:r>
        <w:rPr>
          <w:b/>
        </w:rPr>
        <w:t>Key Ceremony is in-memory</w:t>
      </w:r>
      <w:r>
        <w:t>: If the backend restarts, re-run the ceremony (Init → Keygen all orgs → Aggregate).</w:t>
      </w:r>
    </w:p>
    <w:p>
      <w:pPr>
        <w:pStyle w:val="ListBullet"/>
      </w:pPr>
      <w:r/>
      <w:r>
        <w:rPr>
          <w:b/>
        </w:rPr>
        <w:t>charm-crypto requires Linux/WSL</w:t>
      </w:r>
      <w:r>
        <w:t>: Real PR-RABE runs only on Linux. On Windows without WSL, a fallback AES engine is used (not cryptographically meaningful for ABE).</w:t>
      </w:r>
    </w:p>
    <w:p>
      <w:pPr>
        <w:pStyle w:val="ListBullet"/>
      </w:pPr>
      <w:r/>
      <w:r>
        <w:rPr>
          <w:b/>
        </w:rPr>
        <w:t>Session token expires in 1 hour</w:t>
      </w:r>
      <w:r>
        <w:t>: After expiry, UI auto-detects and redirects to login.</w:t>
      </w:r>
    </w:p>
    <w:p>
      <w:pPr>
        <w:pStyle w:val="ListBullet"/>
      </w:pPr>
      <w:r/>
      <w:r>
        <w:rPr>
          <w:b/>
        </w:rPr>
        <w:t>Trust scores are dynamic</w:t>
      </w:r>
      <w:r>
        <w:t>: They recalculate on every query based on current sharing history, violations, and reliability.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