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libri" w:cs="Calibri" w:eastAsia="Calibri" w:hAnsi="Calibri"/>
          <w:b/>
          <w:bCs/>
          <w:color w:val="1F7A8C"/>
          <w:spacing w:val="60"/>
          <w:sz w:val="22"/>
          <w:szCs w:val="22"/>
        </w:rPr>
        <w:t xml:space="preserve">CONTRACLAIM DMS</w:t>
      </w:r>
    </w:p>
    <w:p>
      <w:pPr>
        <w:spacing w:after="100"/>
      </w:pPr>
      <w:r>
        <w:rPr>
          <w:rFonts w:ascii="Calibri" w:cs="Calibri" w:eastAsia="Calibri" w:hAnsi="Calibri"/>
          <w:b/>
          <w:bCs/>
          <w:color w:val="12355B"/>
          <w:sz w:val="52"/>
          <w:szCs w:val="52"/>
        </w:rPr>
        <w:t xml:space="preserve">Subscription Structure &amp;</w:t>
      </w:r>
    </w:p>
    <w:p>
      <w:pPr>
        <w:spacing w:after="240"/>
      </w:pPr>
      <w:r>
        <w:rPr>
          <w:rFonts w:ascii="Calibri" w:cs="Calibri" w:eastAsia="Calibri" w:hAnsi="Calibri"/>
          <w:b/>
          <w:bCs/>
          <w:color w:val="12355B"/>
          <w:sz w:val="52"/>
          <w:szCs w:val="52"/>
        </w:rPr>
        <w:t xml:space="preserve">Pricing Model</w:t>
      </w:r>
    </w:p>
    <w:p>
      <w:pPr>
        <w:pBdr>
          <w:top w:val="single" w:color="1F7A8C" w:sz="12" w:space="10"/>
        </w:pBdr>
        <w:spacing w:after="300"/>
      </w:pPr>
      <w:r>
        <w:rPr>
          <w:rFonts w:ascii="Calibri" w:cs="Calibri" w:eastAsia="Calibri" w:hAnsi="Calibri"/>
          <w:color w:val="5A6672"/>
          <w:sz w:val="22"/>
          <w:szCs w:val="22"/>
        </w:rPr>
        <w:t xml:space="preserve">Client segmentation by annual turnover · Indian construction market · INR</w:t>
      </w:r>
    </w:p>
    <w:p>
      <w:pPr>
        <w:spacing w:after="500"/>
      </w:pP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9"/>
                <w:szCs w:val="19"/>
              </w:rPr>
              <w:t xml:space="preserve">Document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9"/>
                <w:szCs w:val="19"/>
              </w:rPr>
              <w:t xml:space="preserve">Commercial subscription design and codebase gap analysis</w:t>
            </w:r>
          </w:p>
        </w:tc>
      </w:tr>
      <w:tr>
        <w:trPr>
          <w:tblHeader w:val="false"/>
        </w:trPr>
        <w:tc>
          <w:tcPr>
            <w:tcW w:type="dxa" w:w="24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9"/>
                <w:szCs w:val="19"/>
              </w:rPr>
              <w:t xml:space="preserve">Market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9"/>
                <w:szCs w:val="19"/>
              </w:rPr>
              <w:t xml:space="preserve">India — small, mid-sized and large construction contractors</w:t>
            </w:r>
          </w:p>
        </w:tc>
      </w:tr>
      <w:tr>
        <w:trPr>
          <w:tblHeader w:val="false"/>
        </w:trPr>
        <w:tc>
          <w:tcPr>
            <w:tcW w:type="dxa" w:w="24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9"/>
                <w:szCs w:val="19"/>
              </w:rPr>
              <w:t xml:space="preserve">Currency</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9"/>
                <w:szCs w:val="19"/>
              </w:rPr>
              <w:t xml:space="preserve">Indian Rupees (INR). All prices exclusive of GST.</w:t>
            </w:r>
          </w:p>
        </w:tc>
      </w:tr>
      <w:tr>
        <w:trPr>
          <w:tblHeader w:val="false"/>
        </w:trPr>
        <w:tc>
          <w:tcPr>
            <w:tcW w:type="dxa" w:w="24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9"/>
                <w:szCs w:val="19"/>
              </w:rPr>
              <w:t xml:space="preserve">Supersedes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9"/>
                <w:szCs w:val="19"/>
              </w:rPr>
              <w:t xml:space="preserve">ContraClaim DMS Subscription Plan v1 (Basic / Professional / Enterprise)</w:t>
            </w:r>
          </w:p>
        </w:tc>
      </w:tr>
      <w:tr>
        <w:trPr>
          <w:tblHeader w:val="false"/>
        </w:trPr>
        <w:tc>
          <w:tcPr>
            <w:tcW w:type="dxa" w:w="24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9"/>
                <w:szCs w:val="19"/>
              </w:rPr>
              <w:t xml:space="preserve">Basis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9"/>
                <w:szCs w:val="19"/>
              </w:rPr>
              <w:t xml:space="preserve">Review of backend/rbac_backend monetization, entitlement and metering code</w:t>
            </w:r>
          </w:p>
        </w:tc>
      </w:tr>
      <w:tr>
        <w:trPr>
          <w:tblHeader w:val="false"/>
        </w:trPr>
        <w:tc>
          <w:tcPr>
            <w:tcW w:type="dxa" w:w="24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9"/>
                <w:szCs w:val="19"/>
              </w:rPr>
              <w:t xml:space="preserve">Prepared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9"/>
                <w:szCs w:val="19"/>
              </w:rPr>
              <w:t xml:space="preserve">10 August 2026</w:t>
            </w:r>
          </w:p>
        </w:tc>
      </w:tr>
    </w:tbl>
    <w:p>
      <w:pPr>
        <w:spacing w:after="400"/>
      </w:pPr>
    </w:p>
    <w:tbl>
      <w:tblPr>
        <w:tblW w:type="dxa" w:w="10400"/>
        <w:tblBorders>
          <w:top w:val="single" w:color="A62B2B" w:sz="2"/>
          <w:left w:val="single" w:color="A62B2B" w:sz="24"/>
          <w:bottom w:val="single" w:color="A62B2B" w:sz="2"/>
          <w:right w:val="single" w:color="A62B2B" w:sz="2"/>
          <w:insideH w:val="single" w:color="auto" w:sz="4"/>
          <w:insideV w:val="single" w:color="auto" w:sz="4"/>
        </w:tblBorders>
      </w:tblPr>
      <w:tblGrid>
        <w:gridCol w:w="10400"/>
      </w:tblGrid>
      <w:tr>
        <w:tc>
          <w:tcPr>
            <w:tcW w:type="dxa" w:w="10400"/>
            <w:shd w:fill="EEF3F7" w:color="auto" w:val="clear"/>
            <w:tcMar>
              <w:top w:type="dxa" w:w="120"/>
              <w:left w:type="dxa" w:w="160"/>
              <w:bottom w:type="dxa" w:w="120"/>
              <w:right w:type="dxa" w:w="140"/>
            </w:tcMar>
          </w:tcPr>
          <w:p>
            <w:pPr>
              <w:spacing w:after="50"/>
            </w:pPr>
            <w:r>
              <w:rPr>
                <w:rFonts w:ascii="Calibri" w:cs="Calibri" w:eastAsia="Calibri" w:hAnsi="Calibri"/>
                <w:b/>
                <w:bCs/>
                <w:color w:val="A62B2B"/>
                <w:sz w:val="18"/>
                <w:szCs w:val="18"/>
              </w:rPr>
              <w:t xml:space="preserve">READ THIS FIRST</w:t>
            </w:r>
          </w:p>
          <w:p>
            <w:pPr>
              <w:spacing w:after="0" w:line="250"/>
            </w:pPr>
            <w:r>
              <w:rPr>
                <w:rFonts w:ascii="Calibri" w:cs="Calibri" w:eastAsia="Calibri" w:hAnsi="Calibri"/>
                <w:color w:val="2A2A2A"/>
                <w:sz w:val="19"/>
                <w:szCs w:val="19"/>
              </w:rPr>
              <w:t xml:space="preserve">Two defects in the current implementation are billing-affecting and should be fixed before any plan is sold: paying DMS Starter and Professional customers are denied every contract register, and the Extra Drafts add-on grants zero additional capacity. Both are detailed in Part F.</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Contents</w:t>
      </w:r>
    </w:p>
    <w:p>
      <w:pPr>
        <w:spacing w:after="80"/>
      </w:pP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1400"/>
        <w:gridCol w:w="6400"/>
        <w:gridCol w:w="2600"/>
      </w:tblGrid>
      <w:tr>
        <w:trPr>
          <w:tblHeader/>
        </w:trPr>
        <w:tc>
          <w:tcPr>
            <w:tcW w:type="dxa" w:w="14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8"/>
                <w:szCs w:val="18"/>
              </w:rPr>
              <w:t xml:space="preserve">Part</w:t>
            </w:r>
          </w:p>
        </w:tc>
        <w:tc>
          <w:tcPr>
            <w:tcW w:type="dxa" w:w="64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8"/>
                <w:szCs w:val="18"/>
              </w:rPr>
              <w:t xml:space="preserve">Section</w:t>
            </w:r>
          </w:p>
        </w:tc>
        <w:tc>
          <w:tcPr>
            <w:tcW w:type="dxa" w:w="26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8"/>
                <w:szCs w:val="18"/>
              </w:rPr>
              <w:t xml:space="preserve">Covers</w:t>
            </w:r>
          </w:p>
        </w:tc>
      </w:tr>
      <w:tr>
        <w:trPr>
          <w:tblHeader w:val="false"/>
        </w:trPr>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8"/>
                <w:szCs w:val="18"/>
              </w:rPr>
              <w:t xml:space="preserve">—</w:t>
            </w:r>
          </w:p>
        </w:tc>
        <w:tc>
          <w:tcPr>
            <w:tcW w:type="dxa" w:w="6400"/>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Executive Summary</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The four changes that matter</w:t>
            </w:r>
          </w:p>
        </w:tc>
      </w:tr>
      <w:tr>
        <w:trPr>
          <w:tblHeader w:val="false"/>
        </w:trPr>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A</w:t>
            </w:r>
          </w:p>
        </w:tc>
        <w:tc>
          <w:tcPr>
            <w:tcW w:type="dxa" w:w="6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What the Codebase Implements Today</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Architecture · catalogue · what is actually enforced</w:t>
            </w:r>
          </w:p>
        </w:tc>
      </w:tr>
      <w:tr>
        <w:trPr>
          <w:tblHeader w:val="false"/>
        </w:trPr>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B</w:t>
            </w:r>
          </w:p>
        </w:tc>
        <w:tc>
          <w:tcPr>
            <w:tcW w:type="dxa" w:w="6400"/>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Client Segmentation</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Eight segments by annual turnover</w:t>
            </w:r>
          </w:p>
        </w:tc>
      </w:tr>
      <w:tr>
        <w:trPr>
          <w:tblHeader w:val="false"/>
        </w:trPr>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C</w:t>
            </w:r>
          </w:p>
        </w:tc>
        <w:tc>
          <w:tcPr>
            <w:tcW w:type="dxa" w:w="6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Recommended Subscription Structure</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Six-rung ladder · limits · feature matrix</w:t>
            </w:r>
          </w:p>
        </w:tc>
      </w:tr>
      <w:tr>
        <w:trPr>
          <w:tblHeader w:val="false"/>
        </w:trPr>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D</w:t>
            </w:r>
          </w:p>
        </w:tc>
        <w:tc>
          <w:tcPr>
            <w:tcW w:type="dxa" w:w="6400"/>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Segment Recommendations</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One card per segment, S1 to S8</w:t>
            </w:r>
          </w:p>
        </w:tc>
      </w:tr>
      <w:tr>
        <w:trPr>
          <w:tblHeader w:val="false"/>
        </w:trPr>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E</w:t>
            </w:r>
          </w:p>
        </w:tc>
        <w:tc>
          <w:tcPr>
            <w:tcW w:type="dxa" w:w="6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Add-ons, Overage and Managed Services</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Rate card · AI-CATE · arbitration support</w:t>
            </w:r>
          </w:p>
        </w:tc>
      </w:tr>
      <w:tr>
        <w:trPr>
          <w:tblHeader w:val="false"/>
        </w:trPr>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F</w:t>
            </w:r>
          </w:p>
        </w:tc>
        <w:tc>
          <w:tcPr>
            <w:tcW w:type="dxa" w:w="6400"/>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Gap Analysis Against the Codebase</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Fourteen gaps · pricing comparison</w:t>
            </w:r>
          </w:p>
        </w:tc>
      </w:tr>
      <w:tr>
        <w:trPr>
          <w:tblHeader w:val="false"/>
        </w:trPr>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2A2A2A"/>
                <w:sz w:val="18"/>
                <w:szCs w:val="18"/>
              </w:rPr>
              <w:t xml:space="preserve">G</w:t>
            </w:r>
          </w:p>
        </w:tc>
        <w:tc>
          <w:tcPr>
            <w:tcW w:type="dxa" w:w="6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Upgrade Paths and Final Recommendation</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Upgrade ladder · sequenced implementation</w:t>
            </w:r>
          </w:p>
        </w:tc>
      </w:tr>
    </w:tbl>
    <w:p>
      <w:pPr>
        <w:spacing w:after="300"/>
      </w:pPr>
    </w:p>
    <w:tbl>
      <w:tblPr>
        <w:tblW w:type="dxa" w:w="10400"/>
        <w:tblBorders>
          <w:top w:val="single" w:color="1F7A8C" w:sz="2"/>
          <w:left w:val="single" w:color="1F7A8C" w:sz="24"/>
          <w:bottom w:val="single" w:color="1F7A8C" w:sz="2"/>
          <w:right w:val="single" w:color="1F7A8C" w:sz="2"/>
          <w:insideH w:val="single" w:color="auto" w:sz="4"/>
          <w:insideV w:val="single" w:color="auto" w:sz="4"/>
        </w:tblBorders>
      </w:tblPr>
      <w:tblGrid>
        <w:gridCol w:w="10400"/>
      </w:tblGrid>
      <w:tr>
        <w:tc>
          <w:tcPr>
            <w:tcW w:type="dxa" w:w="10400"/>
            <w:shd w:fill="EEF3F7" w:color="auto" w:val="clear"/>
            <w:tcMar>
              <w:top w:type="dxa" w:w="120"/>
              <w:left w:type="dxa" w:w="160"/>
              <w:bottom w:type="dxa" w:w="120"/>
              <w:right w:type="dxa" w:w="140"/>
            </w:tcMar>
          </w:tcPr>
          <w:p>
            <w:pPr>
              <w:spacing w:after="50"/>
            </w:pPr>
            <w:r>
              <w:rPr>
                <w:rFonts w:ascii="Calibri" w:cs="Calibri" w:eastAsia="Calibri" w:hAnsi="Calibri"/>
                <w:b/>
                <w:bCs/>
                <w:color w:val="1F7A8C"/>
                <w:sz w:val="18"/>
                <w:szCs w:val="18"/>
              </w:rPr>
              <w:t xml:space="preserve">HOW TO READ THIS DOCUMENT</w:t>
            </w:r>
          </w:p>
          <w:p>
            <w:pPr>
              <w:spacing w:after="0" w:line="250"/>
            </w:pPr>
            <w:r>
              <w:rPr>
                <w:rFonts w:ascii="Calibri" w:cs="Calibri" w:eastAsia="Calibri" w:hAnsi="Calibri"/>
                <w:color w:val="2A2A2A"/>
                <w:sz w:val="19"/>
                <w:szCs w:val="19"/>
              </w:rPr>
              <w:t xml:space="preserve">Parts B, C, D and E are the commercial proposal and can be read on their own. Part A and Part F are the engineering view — what exists, what is enforced, and what has to be built or fixed before the proposal can be sold. Part G reconciles the two into a sequenced plan.</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Executive Summary</w:t>
      </w:r>
    </w:p>
    <w:p>
      <w:pPr>
        <w:spacing w:after="120" w:before="0" w:line="260"/>
      </w:pPr>
      <w:r>
        <w:rPr>
          <w:rFonts w:ascii="Calibri" w:cs="Calibri" w:eastAsia="Calibri" w:hAnsi="Calibri"/>
          <w:color w:val="2A2A2A"/>
          <w:sz w:val="20"/>
          <w:szCs w:val="20"/>
        </w:rPr>
        <w:t xml:space="preserve">ContraClaim DMS today prices its entry plan at ₹25,000 per month. That single number excludes the large majority of the Indian contracting market — the specialist subcontractors and regional contractors turning over under ₹50 crore who have the most acute contract-administration problem and the least tolerance for a five-figure monthly software line. The catalogue is also split into two parallel plan families that cannot be held simultaneously, which means a customer must choose between managing documents and drafting letters.</w:t>
      </w:r>
    </w:p>
    <w:p>
      <w:pPr>
        <w:spacing w:after="120" w:before="0" w:line="260"/>
      </w:pPr>
      <w:r>
        <w:rPr>
          <w:rFonts w:ascii="Calibri" w:cs="Calibri" w:eastAsia="Calibri" w:hAnsi="Calibri"/>
          <w:color w:val="2A2A2A"/>
          <w:sz w:val="20"/>
          <w:szCs w:val="20"/>
        </w:rPr>
        <w:t xml:space="preserve">This document proposes a single six-rung plan ladder starting at ₹4,999 per month, eight named client segments keyed to annual turnover, a complete add-on rate card for projects, users, storage and AI usage, and a repriced managed-services layer for AI-CATE and arbitration support. It closes with fourteen specific gaps between the proposed model and the code as it stands.</w:t>
      </w:r>
    </w:p>
    <w:p>
      <w:pPr>
        <w:pStyle w:val="Heading3"/>
        <w:spacing w:after="100" w:before="200"/>
      </w:pPr>
      <w:r>
        <w:rPr>
          <w:rFonts w:ascii="Calibri" w:cs="Calibri" w:eastAsia="Calibri" w:hAnsi="Calibri"/>
          <w:b/>
          <w:bCs/>
          <w:color w:val="12355B"/>
          <w:sz w:val="21"/>
          <w:szCs w:val="21"/>
        </w:rPr>
        <w:t xml:space="preserve">The four commercial changes that matter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600"/>
        <w:gridCol w:w="3100"/>
        <w:gridCol w:w="3350"/>
        <w:gridCol w:w="3350"/>
      </w:tblGrid>
      <w:tr>
        <w:trPr>
          <w:tblHeader/>
        </w:trPr>
        <w:tc>
          <w:tcPr>
            <w:tcW w:type="dxa" w:w="6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t>
            </w:r>
          </w:p>
        </w:tc>
        <w:tc>
          <w:tcPr>
            <w:tcW w:type="dxa" w:w="31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Change</w:t>
            </w:r>
          </w:p>
        </w:tc>
        <w:tc>
          <w:tcPr>
            <w:tcW w:type="dxa" w:w="33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Today</w:t>
            </w:r>
          </w:p>
        </w:tc>
        <w:tc>
          <w:tcPr>
            <w:tcW w:type="dxa" w:w="33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Proposed</w:t>
            </w:r>
          </w:p>
        </w:tc>
      </w:tr>
      <w:tr>
        <w:trPr>
          <w:tblHeader w:val="false"/>
        </w:trPr>
        <w:tc>
          <w:tcPr>
            <w:tcW w:type="dxa" w:w="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w:t>
            </w:r>
          </w:p>
        </w:tc>
        <w:tc>
          <w:tcPr>
            <w:tcW w:type="dxa" w:w="31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Entry price</w:t>
            </w:r>
          </w:p>
        </w:tc>
        <w:tc>
          <w:tcPr>
            <w:tcW w:type="dxa" w:w="335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₹25,000/mo — excludes sub-₹50 Cr contractors</w:t>
            </w:r>
          </w:p>
        </w:tc>
        <w:tc>
          <w:tcPr>
            <w:tcW w:type="dxa" w:w="3350"/>
            <w:tcMar>
              <w:top w:type="dxa" w:w="70"/>
              <w:left w:type="dxa" w:w="90"/>
              <w:bottom w:type="dxa" w:w="70"/>
              <w:right w:type="dxa" w:w="90"/>
            </w:tcMar>
            <w:vAlign w:val="center"/>
          </w:tcPr>
          <w:p>
            <w:pPr>
              <w:spacing w:after="0" w:line="240"/>
            </w:pPr>
            <w:r>
              <w:rPr>
                <w:rFonts w:ascii="Calibri" w:cs="Calibri" w:eastAsia="Calibri" w:hAnsi="Calibri"/>
                <w:color w:val="1E6B3A"/>
                <w:sz w:val="17"/>
                <w:szCs w:val="17"/>
              </w:rPr>
              <w:t xml:space="preserve">₹4,999/mo — opens the volume segment</w:t>
            </w:r>
          </w:p>
        </w:tc>
      </w:tr>
      <w:tr>
        <w:trPr>
          <w:tblHeader w:val="false"/>
        </w:trPr>
        <w:tc>
          <w:tcPr>
            <w:tcW w:type="dxa" w:w="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Plan structure</w:t>
            </w:r>
          </w:p>
        </w:tc>
        <w:tc>
          <w:tcPr>
            <w:tcW w:type="dxa" w:w="33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Two families (DMS / Drafting) that cannot coexist</w:t>
            </w:r>
          </w:p>
        </w:tc>
        <w:tc>
          <w:tcPr>
            <w:tcW w:type="dxa" w:w="33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1E6B3A"/>
                <w:sz w:val="17"/>
                <w:szCs w:val="17"/>
              </w:rPr>
              <w:t xml:space="preserve">One ladder; drafting is a tier, not a fork</w:t>
            </w:r>
          </w:p>
        </w:tc>
      </w:tr>
      <w:tr>
        <w:trPr>
          <w:tblHeader w:val="false"/>
        </w:trPr>
        <w:tc>
          <w:tcPr>
            <w:tcW w:type="dxa" w:w="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w:t>
            </w:r>
          </w:p>
        </w:tc>
        <w:tc>
          <w:tcPr>
            <w:tcW w:type="dxa" w:w="31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Scaling axis</w:t>
            </w:r>
          </w:p>
        </w:tc>
        <w:tc>
          <w:tcPr>
            <w:tcW w:type="dxa" w:w="335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Users and storage defined but unenforced; no project entitlement at all</w:t>
            </w:r>
          </w:p>
        </w:tc>
        <w:tc>
          <w:tcPr>
            <w:tcW w:type="dxa" w:w="3350"/>
            <w:tcMar>
              <w:top w:type="dxa" w:w="70"/>
              <w:left w:type="dxa" w:w="90"/>
              <w:bottom w:type="dxa" w:w="70"/>
              <w:right w:type="dxa" w:w="90"/>
            </w:tcMar>
            <w:vAlign w:val="center"/>
          </w:tcPr>
          <w:p>
            <w:pPr>
              <w:spacing w:after="0" w:line="240"/>
            </w:pPr>
            <w:r>
              <w:rPr>
                <w:rFonts w:ascii="Calibri" w:cs="Calibri" w:eastAsia="Calibri" w:hAnsi="Calibri"/>
                <w:color w:val="1E6B3A"/>
                <w:sz w:val="17"/>
                <w:szCs w:val="17"/>
              </w:rPr>
              <w:t xml:space="preserve">Projects first, then users, storage and AI — all enforced</w:t>
            </w:r>
          </w:p>
        </w:tc>
      </w:tr>
      <w:tr>
        <w:trPr>
          <w:tblHeader w:val="false"/>
        </w:trPr>
        <w:tc>
          <w:tcPr>
            <w:tcW w:type="dxa" w:w="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4</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Expert services</w:t>
            </w:r>
          </w:p>
        </w:tc>
        <w:tc>
          <w:tcPr>
            <w:tcW w:type="dxa" w:w="33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Not implemented; one ₹0 placeholder plan</w:t>
            </w:r>
          </w:p>
        </w:tc>
        <w:tc>
          <w:tcPr>
            <w:tcW w:type="dxa" w:w="33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1E6B3A"/>
                <w:sz w:val="17"/>
                <w:szCs w:val="17"/>
              </w:rPr>
              <w:t xml:space="preserve">Add-ons priced at 33–58% gross margin</w:t>
            </w:r>
          </w:p>
        </w:tc>
      </w:tr>
    </w:tbl>
    <w:p>
      <w:pPr>
        <w:spacing w:after="180"/>
      </w:pPr>
    </w:p>
    <w:p>
      <w:pPr>
        <w:pStyle w:val="Heading3"/>
        <w:spacing w:after="100" w:before="200"/>
      </w:pPr>
      <w:r>
        <w:rPr>
          <w:rFonts w:ascii="Calibri" w:cs="Calibri" w:eastAsia="Calibri" w:hAnsi="Calibri"/>
          <w:b/>
          <w:bCs/>
          <w:color w:val="12355B"/>
          <w:sz w:val="21"/>
          <w:szCs w:val="21"/>
        </w:rPr>
        <w:t xml:space="preserve">Proposed plan ladder at a glance</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1900"/>
        <w:gridCol w:w="1350"/>
        <w:gridCol w:w="1550"/>
        <w:gridCol w:w="1050"/>
        <w:gridCol w:w="1050"/>
        <w:gridCol w:w="1050"/>
        <w:gridCol w:w="2450"/>
      </w:tblGrid>
      <w:tr>
        <w:trPr>
          <w:tblHeader/>
        </w:trPr>
        <w:tc>
          <w:tcPr>
            <w:tcW w:type="dxa" w:w="1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Plan</w:t>
            </w:r>
          </w:p>
        </w:tc>
        <w:tc>
          <w:tcPr>
            <w:tcW w:type="dxa" w:w="13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Monthly</w:t>
            </w:r>
          </w:p>
        </w:tc>
        <w:tc>
          <w:tcPr>
            <w:tcW w:type="dxa" w:w="15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Annual</w:t>
            </w:r>
          </w:p>
        </w:tc>
        <w:tc>
          <w:tcPr>
            <w:tcW w:type="dxa" w:w="10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Projects</w:t>
            </w:r>
          </w:p>
        </w:tc>
        <w:tc>
          <w:tcPr>
            <w:tcW w:type="dxa" w:w="10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Users</w:t>
            </w:r>
          </w:p>
        </w:tc>
        <w:tc>
          <w:tcPr>
            <w:tcW w:type="dxa" w:w="10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Storage</w:t>
            </w:r>
          </w:p>
        </w:tc>
        <w:tc>
          <w:tcPr>
            <w:tcW w:type="dxa" w:w="24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Target segment</w:t>
            </w:r>
          </w:p>
        </w:tc>
      </w:tr>
      <w:tr>
        <w:trPr>
          <w:tblHeader w:val="false"/>
        </w:trPr>
        <w:tc>
          <w:tcPr>
            <w:tcW w:type="dxa" w:w="1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DMS Lite</w:t>
            </w:r>
          </w:p>
        </w:tc>
        <w:tc>
          <w:tcPr>
            <w:tcW w:type="dxa" w:w="13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₹4,999</w:t>
            </w:r>
          </w:p>
        </w:tc>
        <w:tc>
          <w:tcPr>
            <w:tcW w:type="dxa" w:w="15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₹49,990</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 GB</w:t>
            </w:r>
          </w:p>
        </w:tc>
        <w:tc>
          <w:tcPr>
            <w:tcW w:type="dxa" w:w="24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Subcontractor · &lt; ₹10 Cr</w:t>
            </w:r>
          </w:p>
        </w:tc>
      </w:tr>
      <w:tr>
        <w:trPr>
          <w:tblHeader w:val="false"/>
        </w:trPr>
        <w:tc>
          <w:tcPr>
            <w:tcW w:type="dxa" w:w="1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DMS Basic</w:t>
            </w:r>
          </w:p>
        </w:tc>
        <w:tc>
          <w:tcPr>
            <w:tcW w:type="dxa" w:w="13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₹11,999</w:t>
            </w:r>
          </w:p>
        </w:tc>
        <w:tc>
          <w:tcPr>
            <w:tcW w:type="dxa" w:w="15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₹1,19,990</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15</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 GB</w:t>
            </w:r>
          </w:p>
        </w:tc>
        <w:tc>
          <w:tcPr>
            <w:tcW w:type="dxa" w:w="24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Regional · ₹10–50 Cr</w:t>
            </w:r>
          </w:p>
        </w:tc>
      </w:tr>
      <w:tr>
        <w:trPr>
          <w:tblHeader w:val="false"/>
        </w:trPr>
        <w:tc>
          <w:tcPr>
            <w:tcW w:type="dxa" w:w="19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DMS Professional</w:t>
            </w:r>
          </w:p>
        </w:tc>
        <w:tc>
          <w:tcPr>
            <w:tcW w:type="dxa" w:w="13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₹29,999</w:t>
            </w:r>
          </w:p>
        </w:tc>
        <w:tc>
          <w:tcPr>
            <w:tcW w:type="dxa" w:w="15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₹2,99,990</w:t>
            </w:r>
          </w:p>
        </w:tc>
        <w:tc>
          <w:tcPr>
            <w:tcW w:type="dxa" w:w="10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w:t>
            </w:r>
          </w:p>
        </w:tc>
        <w:tc>
          <w:tcPr>
            <w:tcW w:type="dxa" w:w="10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40</w:t>
            </w:r>
          </w:p>
        </w:tc>
        <w:tc>
          <w:tcPr>
            <w:tcW w:type="dxa" w:w="10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500 GB</w:t>
            </w:r>
          </w:p>
        </w:tc>
        <w:tc>
          <w:tcPr>
            <w:tcW w:type="dxa" w:w="24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Mid-sized · ₹50–250 Cr</w:t>
            </w:r>
          </w:p>
        </w:tc>
      </w:tr>
      <w:tr>
        <w:trPr>
          <w:tblHeader w:val="false"/>
        </w:trPr>
        <w:tc>
          <w:tcPr>
            <w:tcW w:type="dxa" w:w="1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DMS Business</w:t>
            </w:r>
          </w:p>
        </w:tc>
        <w:tc>
          <w:tcPr>
            <w:tcW w:type="dxa" w:w="13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₹64,999</w:t>
            </w:r>
          </w:p>
        </w:tc>
        <w:tc>
          <w:tcPr>
            <w:tcW w:type="dxa" w:w="15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₹6,49,990</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12</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1.5 TB</w:t>
            </w:r>
          </w:p>
        </w:tc>
        <w:tc>
          <w:tcPr>
            <w:tcW w:type="dxa" w:w="24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Large regional · ₹250–1,000 Cr</w:t>
            </w:r>
          </w:p>
        </w:tc>
      </w:tr>
      <w:tr>
        <w:trPr>
          <w:tblHeader w:val="false"/>
        </w:trPr>
        <w:tc>
          <w:tcPr>
            <w:tcW w:type="dxa" w:w="1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DMS Enterprise</w:t>
            </w:r>
          </w:p>
        </w:tc>
        <w:tc>
          <w:tcPr>
            <w:tcW w:type="dxa" w:w="13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₹1,29,999</w:t>
            </w:r>
          </w:p>
        </w:tc>
        <w:tc>
          <w:tcPr>
            <w:tcW w:type="dxa" w:w="15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₹12,99,990</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250</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 TB</w:t>
            </w:r>
          </w:p>
        </w:tc>
        <w:tc>
          <w:tcPr>
            <w:tcW w:type="dxa" w:w="24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Major EPC · ₹1,000–5,000 Cr</w:t>
            </w:r>
          </w:p>
        </w:tc>
      </w:tr>
      <w:tr>
        <w:trPr>
          <w:tblHeader w:val="false"/>
        </w:trPr>
        <w:tc>
          <w:tcPr>
            <w:tcW w:type="dxa" w:w="1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Enterprise Group</w:t>
            </w:r>
          </w:p>
        </w:tc>
        <w:tc>
          <w:tcPr>
            <w:tcW w:type="dxa" w:w="13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from ₹2,49,999</w:t>
            </w:r>
          </w:p>
        </w:tc>
        <w:tc>
          <w:tcPr>
            <w:tcW w:type="dxa" w:w="15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from ₹24,99,990</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50+</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Unlimited</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15 TB</w:t>
            </w:r>
          </w:p>
        </w:tc>
        <w:tc>
          <w:tcPr>
            <w:tcW w:type="dxa" w:w="24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Tier-1 group · &gt; ₹5,000 Cr</w:t>
            </w:r>
          </w:p>
        </w:tc>
      </w:tr>
    </w:tbl>
    <w:p>
      <w:pPr>
        <w:spacing w:after="100"/>
      </w:pPr>
    </w:p>
    <w:p>
      <w:pPr>
        <w:spacing w:after="120" w:before="0" w:line="260"/>
      </w:pPr>
      <w:r>
        <w:rPr>
          <w:rFonts w:ascii="Calibri" w:cs="Calibri" w:eastAsia="Calibri" w:hAnsi="Calibri"/>
          <w:i/>
          <w:iCs/>
          <w:color w:val="5A6672"/>
          <w:sz w:val="17"/>
          <w:szCs w:val="17"/>
        </w:rPr>
        <w:t xml:space="preserve">Annual billing is priced at ten months (16.7% discount); quarterly at 2.8 months (6.7%). Both ratios match the discount_percentages already seeded in the code, so no billing logic changes.</w:t>
      </w:r>
    </w:p>
    <w:p>
      <w:pPr>
        <w:spacing w:after="160"/>
      </w:pPr>
    </w:p>
    <w:tbl>
      <w:tblPr>
        <w:tblW w:type="dxa" w:w="10400"/>
        <w:tblBorders>
          <w:top w:val="single" w:color="1E6B3A" w:sz="2"/>
          <w:left w:val="single" w:color="1E6B3A" w:sz="24"/>
          <w:bottom w:val="single" w:color="1E6B3A" w:sz="2"/>
          <w:right w:val="single" w:color="1E6B3A" w:sz="2"/>
          <w:insideH w:val="single" w:color="auto" w:sz="4"/>
          <w:insideV w:val="single" w:color="auto" w:sz="4"/>
        </w:tblBorders>
      </w:tblPr>
      <w:tblGrid>
        <w:gridCol w:w="10400"/>
      </w:tblGrid>
      <w:tr>
        <w:tc>
          <w:tcPr>
            <w:tcW w:type="dxa" w:w="10400"/>
            <w:shd w:fill="EEF3F7" w:color="auto" w:val="clear"/>
            <w:tcMar>
              <w:top w:type="dxa" w:w="120"/>
              <w:left w:type="dxa" w:w="160"/>
              <w:bottom w:type="dxa" w:w="120"/>
              <w:right w:type="dxa" w:w="140"/>
            </w:tcMar>
          </w:tcPr>
          <w:p>
            <w:pPr>
              <w:spacing w:after="50"/>
            </w:pPr>
            <w:r>
              <w:rPr>
                <w:rFonts w:ascii="Calibri" w:cs="Calibri" w:eastAsia="Calibri" w:hAnsi="Calibri"/>
                <w:b/>
                <w:bCs/>
                <w:color w:val="1E6B3A"/>
                <w:sz w:val="18"/>
                <w:szCs w:val="18"/>
              </w:rPr>
              <w:t xml:space="preserve">WHY THIS IS COMMERCIALLY SUSTAINABLE</w:t>
            </w:r>
          </w:p>
          <w:p>
            <w:pPr>
              <w:spacing w:after="0" w:line="250"/>
            </w:pPr>
            <w:r>
              <w:rPr>
                <w:rFonts w:ascii="Calibri" w:cs="Calibri" w:eastAsia="Calibri" w:hAnsi="Calibri"/>
                <w:color w:val="2A2A2A"/>
                <w:sz w:val="19"/>
                <w:szCs w:val="19"/>
              </w:rPr>
              <w:t xml:space="preserve">Modelled gross margin runs 77% at DMS Lite down to 44% at Enterprise Group, the decline driven entirely by AI inclusions, which are capped and metered at every tier. Managed services price at 33–58% margin against fully-loaded Indian expert costs of ₹18–40 lakh per year. A 488-customer book on this mix produces roughly ₹18.6 crore ARR — ₹10.5 crore software, ₹8.1 crore services.</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A — What the Codebase Implements Today</w:t>
      </w:r>
    </w:p>
    <w:p>
      <w:pPr>
        <w:spacing w:after="120" w:before="0" w:line="260"/>
      </w:pPr>
      <w:r>
        <w:rPr>
          <w:rFonts w:ascii="Calibri" w:cs="Calibri" w:eastAsia="Calibri" w:hAnsi="Calibri"/>
          <w:color w:val="2A2A2A"/>
          <w:sz w:val="20"/>
          <w:szCs w:val="20"/>
        </w:rPr>
        <w:t xml:space="preserve">Findings below are taken from the working tree, not from documentation. File and line references are given so each can be checked directly.</w:t>
      </w:r>
    </w:p>
    <w:p>
      <w:pPr>
        <w:pStyle w:val="Heading2"/>
        <w:spacing w:after="120" w:before="260"/>
      </w:pPr>
      <w:r>
        <w:rPr>
          <w:rFonts w:ascii="Calibri" w:cs="Calibri" w:eastAsia="Calibri" w:hAnsi="Calibri"/>
          <w:b/>
          <w:bCs/>
          <w:color w:val="1F7A8C"/>
          <w:sz w:val="24"/>
          <w:szCs w:val="24"/>
        </w:rPr>
        <w:t xml:space="preserve">A.1  Architecture in place</w:t>
      </w:r>
    </w:p>
    <w:p>
      <w:pPr>
        <w:spacing w:after="120" w:before="0" w:line="260"/>
      </w:pPr>
      <w:r>
        <w:rPr>
          <w:rFonts w:ascii="Calibri" w:cs="Calibri" w:eastAsia="Calibri" w:hAnsi="Calibri"/>
          <w:color w:val="2A2A2A"/>
          <w:sz w:val="20"/>
          <w:szCs w:val="20"/>
        </w:rPr>
        <w:t xml:space="preserve">The monetization layer is well-built and considerably more capable than the current catalogue uses. The bones of a good subscription business are already there.</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600"/>
        <w:gridCol w:w="7800"/>
      </w:tblGrid>
      <w:tr>
        <w:trPr>
          <w:tblHeader/>
        </w:trPr>
        <w:tc>
          <w:tcPr>
            <w:tcW w:type="dxa" w:w="26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Component</w:t>
            </w:r>
          </w:p>
        </w:tc>
        <w:tc>
          <w:tcPr>
            <w:tcW w:type="dxa" w:w="78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What exists</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Plan model</w:t>
            </w:r>
          </w:p>
        </w:tc>
        <w:tc>
          <w:tcPr>
            <w:tcW w:type="dxa" w:w="7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models/rbac_monetization.py — code, family, tier, per-period pricing_tiers, discount_percentages, features{}, default_limits{}, available_add_ons[], trial_config, max_users, max_storage_gb</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Subscription model</w:t>
            </w:r>
          </w:p>
        </w:tc>
        <w:tc>
          <w:tcPr>
            <w:tcW w:type="dxa" w:w="78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Scoped to organisation / project / package. Statuses: pending, trial, pilot, active, past_due, paused, cancelled, offboarding, archive. Carries active_add_ons[], entitlement_overrides{}, gateway IDs, auto_renew</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Add-on model</w:t>
            </w:r>
          </w:p>
        </w:tc>
        <w:tc>
          <w:tcPr>
            <w:tcW w:type="dxa" w:w="7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Typed feature | capacity | support, with features{}, limits{} and compatible_plans[]</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Scope uniqueness</w:t>
            </w:r>
          </w:p>
        </w:tc>
        <w:tc>
          <w:tcPr>
            <w:tcW w:type="dxa" w:w="78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services/subscription_scope_key.py — one current (trial/pilot/active) subscription per exact (org, project, package) tuple, backed by a unique index</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Entitlement resolution</w:t>
            </w:r>
          </w:p>
        </w:tc>
        <w:tc>
          <w:tcPr>
            <w:tcW w:type="dxa" w:w="7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services/entitlement_service.py — precedence is code fallback &lt; plan features &lt; add-on features &lt; subscription overrides. Project subscription outranks organisation subscription</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Lifecycle</w:t>
            </w:r>
          </w:p>
        </w:tc>
        <w:tc>
          <w:tcPr>
            <w:tcW w:type="dxa" w:w="78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Upgrade, downgrade, period change, trial start/convert/expire, cancel, pause, resume, renewal — each written to subscription history with a typed change reason</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Metering</w:t>
            </w:r>
          </w:p>
        </w:tc>
        <w:tc>
          <w:tcPr>
            <w:tcW w:type="dxa" w:w="7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services/usage_metering_service.py — atomic check_and_record, invoked through PolicyService.authorize()</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Payments</w:t>
            </w:r>
          </w:p>
        </w:tc>
        <w:tc>
          <w:tcPr>
            <w:tcW w:type="dxa" w:w="78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services/payment_gateway.py — Razorpay adapter behind an abstract interface, plus a no-op provider. Currency is INR throughout</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Expert allocation</w:t>
            </w:r>
          </w:p>
        </w:tc>
        <w:tc>
          <w:tcPr>
            <w:tcW w:type="dxa" w:w="7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ExpertAllocation model + AllocationService — assigns ContraClaim staff to an org/project with a role and date window. This is the natural substrate for AI-CATE</w:t>
            </w:r>
          </w:p>
        </w:tc>
      </w:tr>
    </w:tbl>
    <w:p>
      <w:pPr>
        <w:spacing w:after="160"/>
      </w:pPr>
    </w:p>
    <w:p>
      <w:pPr>
        <w:pStyle w:val="Heading2"/>
        <w:spacing w:after="120" w:before="260"/>
      </w:pPr>
      <w:r>
        <w:rPr>
          <w:rFonts w:ascii="Calibri" w:cs="Calibri" w:eastAsia="Calibri" w:hAnsi="Calibri"/>
          <w:b/>
          <w:bCs/>
          <w:color w:val="1F7A8C"/>
          <w:sz w:val="24"/>
          <w:szCs w:val="24"/>
        </w:rPr>
        <w:t xml:space="preserve">A.2  The catalogue as seeded</w:t>
      </w:r>
    </w:p>
    <w:p>
      <w:pPr>
        <w:spacing w:after="120" w:before="0" w:line="260"/>
      </w:pPr>
      <w:r>
        <w:rPr>
          <w:rFonts w:ascii="Calibri" w:cs="Calibri" w:eastAsia="Calibri" w:hAnsi="Calibri"/>
          <w:color w:val="2A2A2A"/>
          <w:sz w:val="20"/>
          <w:szCs w:val="20"/>
        </w:rPr>
        <w:t xml:space="preserve">services/monetization_service.py seeds nine plans and three add-ons. Prices are stored in paise; rupee equivalents are shown.</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900"/>
        <w:gridCol w:w="1500"/>
        <w:gridCol w:w="1500"/>
        <w:gridCol w:w="1300"/>
        <w:gridCol w:w="1300"/>
        <w:gridCol w:w="1900"/>
      </w:tblGrid>
      <w:tr>
        <w:trPr>
          <w:tblHeader/>
        </w:trPr>
        <w:tc>
          <w:tcPr>
            <w:tcW w:type="dxa" w:w="2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Plan code</w:t>
            </w:r>
          </w:p>
        </w:tc>
        <w:tc>
          <w:tcPr>
            <w:tcW w:type="dxa" w:w="15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Family</w:t>
            </w:r>
          </w:p>
        </w:tc>
        <w:tc>
          <w:tcPr>
            <w:tcW w:type="dxa" w:w="15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Monthly</w:t>
            </w:r>
          </w:p>
        </w:tc>
        <w:tc>
          <w:tcPr>
            <w:tcW w:type="dxa" w:w="13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Users</w:t>
            </w:r>
          </w:p>
        </w:tc>
        <w:tc>
          <w:tcPr>
            <w:tcW w:type="dxa" w:w="13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Storage</w:t>
            </w:r>
          </w:p>
        </w:tc>
        <w:tc>
          <w:tcPr>
            <w:tcW w:type="dxa" w:w="1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Metered limit</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dms_starter</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dms_saas</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₹25,000</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50 GB</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dms_professional</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dms_saas</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₹75,000</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30</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200 GB</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dms_enterprise</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dms_saas</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₹2,00,000</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drafting_support_basic</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drafting</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₹1,00,000</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15 drafts/mo</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contract_correspondence_desk</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drafting</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₹2,50,000</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40 drafts/mo</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claims_commercial_desk</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drafting</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₹6,00,000</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dedicated_expert_desk</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drafting</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₹0 (POA)</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archive_read_only</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archive</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₹10,000</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no_service_override</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no_service</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₹0</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3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r>
    </w:tbl>
    <w:p>
      <w:pPr>
        <w:spacing w:after="140"/>
      </w:pP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900"/>
        <w:gridCol w:w="1500"/>
        <w:gridCol w:w="6000"/>
      </w:tblGrid>
      <w:tr>
        <w:trPr>
          <w:tblHeader/>
        </w:trPr>
        <w:tc>
          <w:tcPr>
            <w:tcW w:type="dxa" w:w="2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Add-on code</w:t>
            </w:r>
          </w:p>
        </w:tc>
        <w:tc>
          <w:tcPr>
            <w:tcW w:type="dxa" w:w="1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Monthly</w:t>
            </w:r>
          </w:p>
        </w:tc>
        <w:tc>
          <w:tcPr>
            <w:tcW w:type="dxa" w:w="60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Grants</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addon_api_webhooks</w:t>
            </w:r>
          </w:p>
        </w:tc>
        <w:tc>
          <w:tcPr>
            <w:tcW w:type="dxa" w:w="15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₹20,000</w:t>
            </w:r>
          </w:p>
        </w:tc>
        <w:tc>
          <w:tcPr>
            <w:tcW w:type="dxa" w:w="6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feature.dms.api_webhooks</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addon_priority_support</w:t>
            </w:r>
          </w:p>
        </w:tc>
        <w:tc>
          <w:tcPr>
            <w:tcW w:type="dxa" w:w="15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₹50,000</w:t>
            </w:r>
          </w:p>
        </w:tc>
        <w:tc>
          <w:tcPr>
            <w:tcW w:type="dxa" w:w="60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feature.priority_support</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addon_extra_drafts</w:t>
            </w:r>
          </w:p>
        </w:tc>
        <w:tc>
          <w:tcPr>
            <w:tcW w:type="dxa" w:w="15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₹30,000</w:t>
            </w:r>
          </w:p>
        </w:tc>
        <w:tc>
          <w:tcPr>
            <w:tcW w:type="dxa" w:w="6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limit.drafted_letters_month_addon: 25 — see Gap 2</w:t>
            </w:r>
          </w:p>
        </w:tc>
      </w:tr>
    </w:tbl>
    <w:p>
      <w:pPr>
        <w:spacing w:after="180"/>
      </w:pPr>
    </w:p>
    <w:p>
      <w:pPr>
        <w:pStyle w:val="Heading2"/>
        <w:spacing w:after="120" w:before="260"/>
      </w:pPr>
      <w:r>
        <w:rPr>
          <w:rFonts w:ascii="Calibri" w:cs="Calibri" w:eastAsia="Calibri" w:hAnsi="Calibri"/>
          <w:b/>
          <w:bCs/>
          <w:color w:val="1F7A8C"/>
          <w:sz w:val="24"/>
          <w:szCs w:val="24"/>
        </w:rPr>
        <w:t xml:space="preserve">A.3  What is enforced, and what only looks enforced</w:t>
      </w:r>
    </w:p>
    <w:p>
      <w:pPr>
        <w:spacing w:after="120" w:before="0" w:line="260"/>
      </w:pPr>
      <w:r>
        <w:rPr>
          <w:rFonts w:ascii="Calibri" w:cs="Calibri" w:eastAsia="Calibri" w:hAnsi="Calibri"/>
          <w:color w:val="2A2A2A"/>
          <w:sz w:val="20"/>
          <w:szCs w:val="20"/>
        </w:rPr>
        <w:t xml:space="preserve">This distinction is the most commercially significant finding in the audit. A limit that appears in a plan definition but has no enforcement path is a promise the product cannot keep — and, on the other side, revenue the product cannot defend.</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600"/>
        <w:gridCol w:w="1500"/>
        <w:gridCol w:w="6300"/>
      </w:tblGrid>
      <w:tr>
        <w:trPr>
          <w:tblHeader/>
        </w:trPr>
        <w:tc>
          <w:tcPr>
            <w:tcW w:type="dxa" w:w="26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Limit</w:t>
            </w:r>
          </w:p>
        </w:tc>
        <w:tc>
          <w:tcPr>
            <w:tcW w:type="dxa" w:w="1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Enforced?</w:t>
            </w:r>
          </w:p>
        </w:tc>
        <w:tc>
          <w:tcPr>
            <w:tcW w:type="dxa" w:w="63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Evidence</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Feature gating</w:t>
            </w:r>
          </w:p>
        </w:tc>
        <w:tc>
          <w:tcPr>
            <w:tcW w:type="dxa" w:w="1500"/>
            <w:tcMar>
              <w:top w:type="dxa" w:w="70"/>
              <w:left w:type="dxa" w:w="90"/>
              <w:bottom w:type="dxa" w:w="70"/>
              <w:right w:type="dxa" w:w="90"/>
            </w:tcMar>
            <w:vAlign w:val="center"/>
          </w:tcPr>
          <w:p>
            <w:pPr>
              <w:spacing w:after="0" w:line="240"/>
            </w:pPr>
            <w:r>
              <w:rPr>
                <w:rFonts w:ascii="Calibri" w:cs="Calibri" w:eastAsia="Calibri" w:hAnsi="Calibri"/>
                <w:b/>
                <w:bCs/>
                <w:color w:val="1E6B3A"/>
                <w:sz w:val="17"/>
                <w:szCs w:val="17"/>
              </w:rPr>
              <w:t xml:space="preserve">Yes</w:t>
            </w:r>
          </w:p>
        </w:tc>
        <w:tc>
          <w:tcPr>
            <w:tcW w:type="dxa" w:w="6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check_permission_entitlement() maps every DMS and drafting permission to feature keys; fails closed on inactive, archive and offboarding states</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drafted letters</w:t>
            </w:r>
          </w:p>
        </w:tc>
        <w:tc>
          <w:tcPr>
            <w:tcW w:type="dxa" w:w="1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1E6B3A"/>
                <w:sz w:val="17"/>
                <w:szCs w:val="17"/>
              </w:rPr>
              <w:t xml:space="preserve">Yes</w:t>
            </w:r>
          </w:p>
        </w:tc>
        <w:tc>
          <w:tcPr>
            <w:tcW w:type="dxa" w:w="6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limit.drafted_letters_month metered via PolicyService on AI assistant routes</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Document uploads</w:t>
            </w:r>
          </w:p>
        </w:tc>
        <w:tc>
          <w:tcPr>
            <w:tcW w:type="dxa" w:w="1500"/>
            <w:tcMar>
              <w:top w:type="dxa" w:w="70"/>
              <w:left w:type="dxa" w:w="90"/>
              <w:bottom w:type="dxa" w:w="70"/>
              <w:right w:type="dxa" w:w="90"/>
            </w:tcMar>
            <w:vAlign w:val="center"/>
          </w:tcPr>
          <w:p>
            <w:pPr>
              <w:spacing w:after="0" w:line="240"/>
            </w:pPr>
            <w:r>
              <w:rPr>
                <w:rFonts w:ascii="Calibri" w:cs="Calibri" w:eastAsia="Calibri" w:hAnsi="Calibri"/>
                <w:b/>
                <w:bCs/>
                <w:color w:val="B25E00"/>
                <w:sz w:val="17"/>
                <w:szCs w:val="17"/>
              </w:rPr>
              <w:t xml:space="preserve">Partly</w:t>
            </w:r>
          </w:p>
        </w:tc>
        <w:tc>
          <w:tcPr>
            <w:tcW w:type="dxa" w:w="6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Event wired, but no plan defines limit.document_uploads_month, so the check returns quota_unlimited</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OCR pages</w:t>
            </w:r>
          </w:p>
        </w:tc>
        <w:tc>
          <w:tcPr>
            <w:tcW w:type="dxa" w:w="1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B25E00"/>
                <w:sz w:val="17"/>
                <w:szCs w:val="17"/>
              </w:rPr>
              <w:t xml:space="preserve">Partly</w:t>
            </w:r>
          </w:p>
        </w:tc>
        <w:tc>
          <w:tcPr>
            <w:tcW w:type="dxa" w:w="6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Wired in contracts_ingest, no plan limit defined</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Advanced search / RAG</w:t>
            </w:r>
          </w:p>
        </w:tc>
        <w:tc>
          <w:tcPr>
            <w:tcW w:type="dxa" w:w="1500"/>
            <w:tcMar>
              <w:top w:type="dxa" w:w="70"/>
              <w:left w:type="dxa" w:w="90"/>
              <w:bottom w:type="dxa" w:w="70"/>
              <w:right w:type="dxa" w:w="90"/>
            </w:tcMar>
            <w:vAlign w:val="center"/>
          </w:tcPr>
          <w:p>
            <w:pPr>
              <w:spacing w:after="0" w:line="240"/>
            </w:pPr>
            <w:r>
              <w:rPr>
                <w:rFonts w:ascii="Calibri" w:cs="Calibri" w:eastAsia="Calibri" w:hAnsi="Calibri"/>
                <w:b/>
                <w:bCs/>
                <w:color w:val="B25E00"/>
                <w:sz w:val="17"/>
                <w:szCs w:val="17"/>
              </w:rPr>
              <w:t xml:space="preserve">Partly</w:t>
            </w:r>
          </w:p>
        </w:tc>
        <w:tc>
          <w:tcPr>
            <w:tcW w:type="dxa" w:w="6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Wired in AI assistant and document search, no plan limit defined</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reviews</w:t>
            </w:r>
          </w:p>
        </w:tc>
        <w:tc>
          <w:tcPr>
            <w:tcW w:type="dxa" w:w="1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B25E00"/>
                <w:sz w:val="17"/>
                <w:szCs w:val="17"/>
              </w:rPr>
              <w:t xml:space="preserve">Partly</w:t>
            </w:r>
          </w:p>
        </w:tc>
        <w:tc>
          <w:tcPr>
            <w:tcW w:type="dxa" w:w="6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Wired, no plan limit defined</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User seats</w:t>
            </w:r>
          </w:p>
        </w:tc>
        <w:tc>
          <w:tcPr>
            <w:tcW w:type="dxa" w:w="1500"/>
            <w:tcMar>
              <w:top w:type="dxa" w:w="70"/>
              <w:left w:type="dxa" w:w="90"/>
              <w:bottom w:type="dxa" w:w="70"/>
              <w:right w:type="dxa" w:w="90"/>
            </w:tcMar>
            <w:vAlign w:val="center"/>
          </w:tcPr>
          <w:p>
            <w:pPr>
              <w:spacing w:after="0" w:line="240"/>
            </w:pPr>
            <w:r>
              <w:rPr>
                <w:rFonts w:ascii="Calibri" w:cs="Calibri" w:eastAsia="Calibri" w:hAnsi="Calibri"/>
                <w:b/>
                <w:bCs/>
                <w:color w:val="A62B2B"/>
                <w:sz w:val="17"/>
                <w:szCs w:val="17"/>
              </w:rPr>
              <w:t xml:space="preserve">No</w:t>
            </w:r>
          </w:p>
        </w:tc>
        <w:tc>
          <w:tcPr>
            <w:tcW w:type="dxa" w:w="6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max_users and limit.users are stored on plans and surfaced in the dashboard, but no code path blocks a user being added</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Storage</w:t>
            </w:r>
          </w:p>
        </w:tc>
        <w:tc>
          <w:tcPr>
            <w:tcW w:type="dxa" w:w="1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A62B2B"/>
                <w:sz w:val="17"/>
                <w:szCs w:val="17"/>
              </w:rPr>
              <w:t xml:space="preserve">No</w:t>
            </w:r>
          </w:p>
        </w:tc>
        <w:tc>
          <w:tcPr>
            <w:tcW w:type="dxa" w:w="6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max_storage_gb is stored and displayed; no aggregation of FileObject.size exists per org or project</w:t>
            </w:r>
          </w:p>
        </w:tc>
      </w:tr>
      <w:tr>
        <w:trPr>
          <w:tblHeader w:val="false"/>
        </w:trPr>
        <w:tc>
          <w:tcPr>
            <w:tcW w:type="dxa" w:w="26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Projects</w:t>
            </w:r>
          </w:p>
        </w:tc>
        <w:tc>
          <w:tcPr>
            <w:tcW w:type="dxa" w:w="1500"/>
            <w:tcMar>
              <w:top w:type="dxa" w:w="70"/>
              <w:left w:type="dxa" w:w="90"/>
              <w:bottom w:type="dxa" w:w="70"/>
              <w:right w:type="dxa" w:w="90"/>
            </w:tcMar>
            <w:vAlign w:val="center"/>
          </w:tcPr>
          <w:p>
            <w:pPr>
              <w:spacing w:after="0" w:line="240"/>
            </w:pPr>
            <w:r>
              <w:rPr>
                <w:rFonts w:ascii="Calibri" w:cs="Calibri" w:eastAsia="Calibri" w:hAnsi="Calibri"/>
                <w:b/>
                <w:bCs/>
                <w:color w:val="A62B2B"/>
                <w:sz w:val="17"/>
                <w:szCs w:val="17"/>
              </w:rPr>
              <w:t xml:space="preserve">No</w:t>
            </w:r>
          </w:p>
        </w:tc>
        <w:tc>
          <w:tcPr>
            <w:tcW w:type="dxa" w:w="6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limit.projects does not exist anywhere in the codebase — plans, add-ons or enforcement</w:t>
            </w:r>
          </w:p>
        </w:tc>
      </w:tr>
      <w:tr>
        <w:trPr>
          <w:tblHeader w:val="false"/>
        </w:trPr>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Organisations</w:t>
            </w:r>
          </w:p>
        </w:tc>
        <w:tc>
          <w:tcPr>
            <w:tcW w:type="dxa" w:w="1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A62B2B"/>
                <w:sz w:val="17"/>
                <w:szCs w:val="17"/>
              </w:rPr>
              <w:t xml:space="preserve">No</w:t>
            </w:r>
          </w:p>
        </w:tc>
        <w:tc>
          <w:tcPr>
            <w:tcW w:type="dxa" w:w="6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 concept of an organisation-count entitlement</w:t>
            </w:r>
          </w:p>
        </w:tc>
      </w:tr>
    </w:tbl>
    <w:p>
      <w:pPr>
        <w:spacing w:after="140"/>
      </w:pPr>
    </w:p>
    <w:p>
      <w:pPr>
        <w:spacing w:after="120" w:before="0" w:line="260"/>
      </w:pPr>
      <w:r>
        <w:rPr>
          <w:rFonts w:ascii="Calibri" w:cs="Calibri" w:eastAsia="Calibri" w:hAnsi="Calibri"/>
          <w:b/>
          <w:bCs/>
          <w:color w:val="12355B"/>
          <w:sz w:val="19"/>
          <w:szCs w:val="19"/>
        </w:rPr>
        <w:t xml:space="preserve">Net effect: of the ten commercial dimensions a subscription business normally sells on, two are fully enforced, four are wired but uncapped, and four have no enforcement at all. Six of the ten cannot currently be billed with confidence.</w:t>
      </w:r>
    </w:p>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B — Client Segmentation</w:t>
      </w:r>
    </w:p>
    <w:p>
      <w:pPr>
        <w:spacing w:after="120" w:before="0" w:line="260"/>
      </w:pPr>
      <w:r>
        <w:rPr>
          <w:rFonts w:ascii="Calibri" w:cs="Calibri" w:eastAsia="Calibri" w:hAnsi="Calibri"/>
          <w:color w:val="2A2A2A"/>
          <w:sz w:val="20"/>
          <w:szCs w:val="20"/>
        </w:rPr>
        <w:t xml:space="preserve">Segments are keyed primarily to annual turnover, because turnover is the one figure a construction company will state early in a sales conversation and the one that correlates most reliably with project count, team size and dispute exposure. Turnover alone is not sufficient, so each segment is qualified by the operational signals that actually drive consumption.</w:t>
      </w:r>
    </w:p>
    <w:p>
      <w:pPr>
        <w:pStyle w:val="Heading2"/>
        <w:spacing w:after="120" w:before="260"/>
      </w:pPr>
      <w:r>
        <w:rPr>
          <w:rFonts w:ascii="Calibri" w:cs="Calibri" w:eastAsia="Calibri" w:hAnsi="Calibri"/>
          <w:b/>
          <w:bCs/>
          <w:color w:val="1F7A8C"/>
          <w:sz w:val="24"/>
          <w:szCs w:val="24"/>
        </w:rPr>
        <w:t xml:space="preserve">B.1  Segment map</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500"/>
        <w:gridCol w:w="2250"/>
        <w:gridCol w:w="1700"/>
        <w:gridCol w:w="900"/>
        <w:gridCol w:w="900"/>
        <w:gridCol w:w="1200"/>
        <w:gridCol w:w="2950"/>
      </w:tblGrid>
      <w:tr>
        <w:trPr>
          <w:tblHeader/>
        </w:trPr>
        <w:tc>
          <w:tcPr>
            <w:tcW w:type="dxa" w:w="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w:t>
            </w:r>
          </w:p>
        </w:tc>
        <w:tc>
          <w:tcPr>
            <w:tcW w:type="dxa" w:w="22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Segment</w:t>
            </w:r>
          </w:p>
        </w:tc>
        <w:tc>
          <w:tcPr>
            <w:tcW w:type="dxa" w:w="17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Annual turnover</w:t>
            </w:r>
          </w:p>
        </w:tc>
        <w:tc>
          <w:tcPr>
            <w:tcW w:type="dxa" w:w="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Live projects</w:t>
            </w:r>
          </w:p>
        </w:tc>
        <w:tc>
          <w:tcPr>
            <w:tcW w:type="dxa" w:w="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DMS users</w:t>
            </w:r>
          </w:p>
        </w:tc>
        <w:tc>
          <w:tcPr>
            <w:tcW w:type="dxa" w:w="12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Doc volume p.a.</w:t>
            </w:r>
          </w:p>
        </w:tc>
        <w:tc>
          <w:tcPr>
            <w:tcW w:type="dxa" w:w="29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Contractual support profile</w:t>
            </w:r>
          </w:p>
        </w:tc>
      </w:tr>
      <w:tr>
        <w:trPr>
          <w:tblHeader w:val="false"/>
        </w:trPr>
        <w:tc>
          <w:tcPr>
            <w:tcW w:type="dxa" w:w="5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S1</w:t>
            </w:r>
          </w:p>
        </w:tc>
        <w:tc>
          <w:tcPr>
            <w:tcW w:type="dxa" w:w="22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Specialist subcontractor / small contractor</w:t>
            </w:r>
          </w:p>
        </w:tc>
        <w:tc>
          <w:tcPr>
            <w:tcW w:type="dxa" w:w="17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&lt; ₹10 Cr</w:t>
            </w:r>
          </w:p>
        </w:tc>
        <w:tc>
          <w:tcPr>
            <w:tcW w:type="dxa" w:w="9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1–2</w:t>
            </w:r>
          </w:p>
        </w:tc>
        <w:tc>
          <w:tcPr>
            <w:tcW w:type="dxa" w:w="9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3–5</w:t>
            </w:r>
          </w:p>
        </w:tc>
        <w:tc>
          <w:tcPr>
            <w:tcW w:type="dxa" w:w="12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1–3k pages</w:t>
            </w:r>
          </w:p>
        </w:tc>
        <w:tc>
          <w:tcPr>
            <w:tcW w:type="dxa" w:w="29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Reactive. Needs a defensible record; rarely drafts formal notices</w:t>
            </w:r>
          </w:p>
        </w:tc>
      </w:tr>
      <w:tr>
        <w:trPr>
          <w:tblHeader w:val="false"/>
        </w:trPr>
        <w:tc>
          <w:tcPr>
            <w:tcW w:type="dxa" w:w="5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S2</w:t>
            </w:r>
          </w:p>
        </w:tc>
        <w:tc>
          <w:tcPr>
            <w:tcW w:type="dxa" w:w="22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Growing regional contractor</w:t>
            </w:r>
          </w:p>
        </w:tc>
        <w:tc>
          <w:tcPr>
            <w:tcW w:type="dxa" w:w="1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₹10–50 Cr</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2–4</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8–15</w:t>
            </w:r>
          </w:p>
        </w:tc>
        <w:tc>
          <w:tcPr>
            <w:tcW w:type="dxa" w:w="1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5–15k pages</w:t>
            </w:r>
          </w:p>
        </w:tc>
        <w:tc>
          <w:tcPr>
            <w:tcW w:type="dxa" w:w="29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Emerging. First EOT and variation claims; no in-house contracts function</w:t>
            </w:r>
          </w:p>
        </w:tc>
      </w:tr>
      <w:tr>
        <w:trPr>
          <w:tblHeader w:val="false"/>
        </w:trPr>
        <w:tc>
          <w:tcPr>
            <w:tcW w:type="dxa" w:w="5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S3</w:t>
            </w:r>
          </w:p>
        </w:tc>
        <w:tc>
          <w:tcPr>
            <w:tcW w:type="dxa" w:w="225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Established mid-sized contractor</w:t>
            </w:r>
          </w:p>
        </w:tc>
        <w:tc>
          <w:tcPr>
            <w:tcW w:type="dxa" w:w="1700"/>
            <w:shd w:fill="EEF3F7"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₹50–250 Cr</w:t>
            </w:r>
          </w:p>
        </w:tc>
        <w:tc>
          <w:tcPr>
            <w:tcW w:type="dxa" w:w="900"/>
            <w:shd w:fill="EEF3F7"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4–8</w:t>
            </w:r>
          </w:p>
        </w:tc>
        <w:tc>
          <w:tcPr>
            <w:tcW w:type="dxa" w:w="900"/>
            <w:shd w:fill="EEF3F7"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20–40</w:t>
            </w:r>
          </w:p>
        </w:tc>
        <w:tc>
          <w:tcPr>
            <w:tcW w:type="dxa" w:w="1200"/>
            <w:shd w:fill="EEF3F7"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25–60k pages</w:t>
            </w:r>
          </w:p>
        </w:tc>
        <w:tc>
          <w:tcPr>
            <w:tcW w:type="dxa" w:w="2950"/>
            <w:shd w:fill="EEF3F7"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Active. One or two commercial managers; regular notices and claims</w:t>
            </w:r>
          </w:p>
        </w:tc>
      </w:tr>
      <w:tr>
        <w:trPr>
          <w:tblHeader w:val="false"/>
        </w:trPr>
        <w:tc>
          <w:tcPr>
            <w:tcW w:type="dxa" w:w="5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S4</w:t>
            </w:r>
          </w:p>
        </w:tc>
        <w:tc>
          <w:tcPr>
            <w:tcW w:type="dxa" w:w="22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Large regional / infrastructure contractor</w:t>
            </w:r>
          </w:p>
        </w:tc>
        <w:tc>
          <w:tcPr>
            <w:tcW w:type="dxa" w:w="1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₹250–1,000 Cr</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8–15</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50–100</w:t>
            </w:r>
          </w:p>
        </w:tc>
        <w:tc>
          <w:tcPr>
            <w:tcW w:type="dxa" w:w="1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80–200k pages</w:t>
            </w:r>
          </w:p>
        </w:tc>
        <w:tc>
          <w:tcPr>
            <w:tcW w:type="dxa" w:w="29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Structured. Contracts cell exists; occasional arbitration</w:t>
            </w:r>
          </w:p>
        </w:tc>
      </w:tr>
      <w:tr>
        <w:trPr>
          <w:tblHeader w:val="false"/>
        </w:trPr>
        <w:tc>
          <w:tcPr>
            <w:tcW w:type="dxa" w:w="5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S5</w:t>
            </w:r>
          </w:p>
        </w:tc>
        <w:tc>
          <w:tcPr>
            <w:tcW w:type="dxa" w:w="22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Major EPC / national contractor</w:t>
            </w:r>
          </w:p>
        </w:tc>
        <w:tc>
          <w:tcPr>
            <w:tcW w:type="dxa" w:w="17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₹1,000–5,000 Cr</w:t>
            </w:r>
          </w:p>
        </w:tc>
        <w:tc>
          <w:tcPr>
            <w:tcW w:type="dxa" w:w="9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15–30</w:t>
            </w:r>
          </w:p>
        </w:tc>
        <w:tc>
          <w:tcPr>
            <w:tcW w:type="dxa" w:w="9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120–250</w:t>
            </w:r>
          </w:p>
        </w:tc>
        <w:tc>
          <w:tcPr>
            <w:tcW w:type="dxa" w:w="12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250–600k pages</w:t>
            </w:r>
          </w:p>
        </w:tc>
        <w:tc>
          <w:tcPr>
            <w:tcW w:type="dxa" w:w="29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Institutional. Dedicated claims team; multiple concurrent disputes</w:t>
            </w:r>
          </w:p>
        </w:tc>
      </w:tr>
      <w:tr>
        <w:trPr>
          <w:tblHeader w:val="false"/>
        </w:trPr>
        <w:tc>
          <w:tcPr>
            <w:tcW w:type="dxa" w:w="5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S6</w:t>
            </w:r>
          </w:p>
        </w:tc>
        <w:tc>
          <w:tcPr>
            <w:tcW w:type="dxa" w:w="22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Tier-1 EPC group</w:t>
            </w:r>
          </w:p>
        </w:tc>
        <w:tc>
          <w:tcPr>
            <w:tcW w:type="dxa" w:w="1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&gt; ₹5,000 Cr</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30+</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250+</w:t>
            </w:r>
          </w:p>
        </w:tc>
        <w:tc>
          <w:tcPr>
            <w:tcW w:type="dxa" w:w="1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1M+ pages</w:t>
            </w:r>
          </w:p>
        </w:tc>
        <w:tc>
          <w:tcPr>
            <w:tcW w:type="dxa" w:w="29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Group-level. Legal and claims directorate; standing arbitration panel</w:t>
            </w:r>
          </w:p>
        </w:tc>
      </w:tr>
      <w:tr>
        <w:trPr>
          <w:tblHeader w:val="false"/>
        </w:trPr>
        <w:tc>
          <w:tcPr>
            <w:tcW w:type="dxa" w:w="5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S7</w:t>
            </w:r>
          </w:p>
        </w:tc>
        <w:tc>
          <w:tcPr>
            <w:tcW w:type="dxa" w:w="22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Project SPV / joint venture</w:t>
            </w:r>
          </w:p>
        </w:tc>
        <w:tc>
          <w:tcPr>
            <w:tcW w:type="dxa" w:w="17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n/a — project value ₹100 Cr+</w:t>
            </w:r>
          </w:p>
        </w:tc>
        <w:tc>
          <w:tcPr>
            <w:tcW w:type="dxa" w:w="9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w:t>
            </w:r>
          </w:p>
        </w:tc>
        <w:tc>
          <w:tcPr>
            <w:tcW w:type="dxa" w:w="9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15–60</w:t>
            </w:r>
          </w:p>
        </w:tc>
        <w:tc>
          <w:tcPr>
            <w:tcW w:type="dxa" w:w="120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40–150k pages</w:t>
            </w:r>
          </w:p>
        </w:tc>
        <w:tc>
          <w:tcPr>
            <w:tcW w:type="dxa" w:w="29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Concentrated on one contract. High dispute probability</w:t>
            </w:r>
          </w:p>
        </w:tc>
      </w:tr>
      <w:tr>
        <w:trPr>
          <w:tblHeader w:val="false"/>
        </w:trPr>
        <w:tc>
          <w:tcPr>
            <w:tcW w:type="dxa" w:w="5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S8</w:t>
            </w:r>
          </w:p>
        </w:tc>
        <w:tc>
          <w:tcPr>
            <w:tcW w:type="dxa" w:w="22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PMC / consultant / claims practice</w:t>
            </w:r>
          </w:p>
        </w:tc>
        <w:tc>
          <w:tcPr>
            <w:tcW w:type="dxa" w:w="1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₹1–50 Cr fee income</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5–20 matters</w:t>
            </w:r>
          </w:p>
        </w:tc>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10–40</w:t>
            </w:r>
          </w:p>
        </w:tc>
        <w:tc>
          <w:tcPr>
            <w:tcW w:type="dxa" w:w="1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30–100k pages</w:t>
            </w:r>
          </w:p>
        </w:tc>
        <w:tc>
          <w:tcPr>
            <w:tcW w:type="dxa" w:w="29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Advisory. Acts for others; needs client confidentiality separation</w:t>
            </w:r>
          </w:p>
        </w:tc>
      </w:tr>
    </w:tbl>
    <w:p>
      <w:pPr>
        <w:spacing w:after="180"/>
      </w:pPr>
    </w:p>
    <w:p>
      <w:pPr>
        <w:pStyle w:val="Heading2"/>
        <w:spacing w:after="120" w:before="260"/>
      </w:pPr>
      <w:r>
        <w:rPr>
          <w:rFonts w:ascii="Calibri" w:cs="Calibri" w:eastAsia="Calibri" w:hAnsi="Calibri"/>
          <w:b/>
          <w:bCs/>
          <w:color w:val="1F7A8C"/>
          <w:sz w:val="24"/>
          <w:szCs w:val="24"/>
        </w:rPr>
        <w:t xml:space="preserve">B.2  Why turnover alone does not decide the plan</w:t>
      </w:r>
    </w:p>
    <w:p>
      <w:pPr>
        <w:spacing w:after="120" w:before="0" w:line="260"/>
      </w:pPr>
      <w:r>
        <w:rPr>
          <w:rFonts w:ascii="Calibri" w:cs="Calibri" w:eastAsia="Calibri" w:hAnsi="Calibri"/>
          <w:color w:val="2A2A2A"/>
          <w:sz w:val="20"/>
          <w:szCs w:val="20"/>
        </w:rPr>
        <w:t xml:space="preserve">Three qualifiers override the turnover band in practice, and the sales motion should test for them explicitly.</w:t>
      </w:r>
    </w:p>
    <w:p>
      <w:pPr>
        <w:pStyle w:val="ListParagraph"/>
        <w:numPr>
          <w:ilvl w:val="0"/>
          <w:numId w:val="2"/>
        </w:numPr>
        <w:spacing w:after="60" w:line="250"/>
      </w:pPr>
      <w:r>
        <w:rPr>
          <w:rFonts w:ascii="Calibri" w:cs="Calibri" w:eastAsia="Calibri" w:hAnsi="Calibri"/>
          <w:b/>
          <w:bCs/>
          <w:sz w:val="19"/>
          <w:szCs w:val="19"/>
        </w:rPr>
        <w:t xml:space="preserve">Project concentration. </w:t>
      </w:r>
      <w:r>
        <w:rPr>
          <w:rFonts w:ascii="Calibri" w:cs="Calibri" w:eastAsia="Calibri" w:hAnsi="Calibri"/>
          <w:sz w:val="19"/>
          <w:szCs w:val="19"/>
        </w:rPr>
        <w:t xml:space="preserve">A ₹40 crore contractor running one ₹35 crore metro package has the document volume and dispute exposure of a much larger firm. Sell to project count and contract value, not turnover.</w:t>
      </w:r>
    </w:p>
    <w:p>
      <w:pPr>
        <w:pStyle w:val="ListParagraph"/>
        <w:numPr>
          <w:ilvl w:val="0"/>
          <w:numId w:val="2"/>
        </w:numPr>
        <w:spacing w:after="60" w:line="250"/>
      </w:pPr>
      <w:r>
        <w:rPr>
          <w:rFonts w:ascii="Calibri" w:cs="Calibri" w:eastAsia="Calibri" w:hAnsi="Calibri"/>
          <w:b/>
          <w:bCs/>
          <w:sz w:val="19"/>
          <w:szCs w:val="19"/>
        </w:rPr>
        <w:t xml:space="preserve">Contract form. </w:t>
      </w:r>
      <w:r>
        <w:rPr>
          <w:rFonts w:ascii="Calibri" w:cs="Calibri" w:eastAsia="Calibri" w:hAnsi="Calibri"/>
          <w:sz w:val="19"/>
          <w:szCs w:val="19"/>
        </w:rPr>
        <w:t xml:space="preserve">FIDIC, NHAI, metro-authority and international EPC forms carry notice regimes with hard time bars. A contractor on those forms needs drafting support one full tier earlier than a contractor on a simple item-rate municipal contract.</w:t>
      </w:r>
    </w:p>
    <w:p>
      <w:pPr>
        <w:pStyle w:val="ListParagraph"/>
        <w:numPr>
          <w:ilvl w:val="0"/>
          <w:numId w:val="2"/>
        </w:numPr>
        <w:spacing w:after="60" w:line="250"/>
      </w:pPr>
      <w:r>
        <w:rPr>
          <w:rFonts w:ascii="Calibri" w:cs="Calibri" w:eastAsia="Calibri" w:hAnsi="Calibri"/>
          <w:b/>
          <w:bCs/>
          <w:sz w:val="19"/>
          <w:szCs w:val="19"/>
        </w:rPr>
        <w:t xml:space="preserve">Live dispute. </w:t>
      </w:r>
      <w:r>
        <w:rPr>
          <w:rFonts w:ascii="Calibri" w:cs="Calibri" w:eastAsia="Calibri" w:hAnsi="Calibri"/>
          <w:sz w:val="19"/>
          <w:szCs w:val="19"/>
        </w:rPr>
        <w:t xml:space="preserve">Any company with a matter in arbitration or DAB, regardless of size, needs Enterprise-grade arbitration technology on that project. This is the strongest case for project-level subscription rather than an organisation-wide upgrade.</w:t>
      </w:r>
    </w:p>
    <w:p>
      <w:pPr>
        <w:spacing w:after="120"/>
      </w:pPr>
    </w:p>
    <w:tbl>
      <w:tblPr>
        <w:tblW w:type="dxa" w:w="10400"/>
        <w:tblBorders>
          <w:top w:val="single" w:color="1F7A8C" w:sz="2"/>
          <w:left w:val="single" w:color="1F7A8C" w:sz="24"/>
          <w:bottom w:val="single" w:color="1F7A8C" w:sz="2"/>
          <w:right w:val="single" w:color="1F7A8C" w:sz="2"/>
          <w:insideH w:val="single" w:color="auto" w:sz="4"/>
          <w:insideV w:val="single" w:color="auto" w:sz="4"/>
        </w:tblBorders>
      </w:tblPr>
      <w:tblGrid>
        <w:gridCol w:w="10400"/>
      </w:tblGrid>
      <w:tr>
        <w:tc>
          <w:tcPr>
            <w:tcW w:type="dxa" w:w="10400"/>
            <w:shd w:fill="EEF3F7" w:color="auto" w:val="clear"/>
            <w:tcMar>
              <w:top w:type="dxa" w:w="120"/>
              <w:left w:type="dxa" w:w="160"/>
              <w:bottom w:type="dxa" w:w="120"/>
              <w:right w:type="dxa" w:w="140"/>
            </w:tcMar>
          </w:tcPr>
          <w:p>
            <w:pPr>
              <w:spacing w:after="50"/>
            </w:pPr>
            <w:r>
              <w:rPr>
                <w:rFonts w:ascii="Calibri" w:cs="Calibri" w:eastAsia="Calibri" w:hAnsi="Calibri"/>
                <w:b/>
                <w:bCs/>
                <w:color w:val="1F7A8C"/>
                <w:sz w:val="18"/>
                <w:szCs w:val="18"/>
              </w:rPr>
              <w:t xml:space="preserve">SEGMENT PRIORITY FOR GO-TO-MARKET</w:t>
            </w:r>
          </w:p>
          <w:p>
            <w:pPr>
              <w:spacing w:after="0" w:line="250"/>
            </w:pPr>
            <w:r>
              <w:rPr>
                <w:rFonts w:ascii="Calibri" w:cs="Calibri" w:eastAsia="Calibri" w:hAnsi="Calibri"/>
                <w:color w:val="2A2A2A"/>
                <w:sz w:val="19"/>
                <w:szCs w:val="19"/>
              </w:rPr>
              <w:t xml:space="preserve">S2 and S3 (₹10 Cr to ₹250 Cr) are the commercial centre of gravity: large enough to feel contractual pain and to pay, numerous enough to build volume, and currently unserved by the ₹25,000 entry price. S5 and S6 are where services revenue concentrates but the sales cycle is long. S1 exists to build the funnel and should be sold self-service.</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C — Recommended Subscription Structure</w:t>
      </w:r>
    </w:p>
    <w:p>
      <w:pPr>
        <w:pStyle w:val="Heading2"/>
        <w:spacing w:after="120" w:before="260"/>
      </w:pPr>
      <w:r>
        <w:rPr>
          <w:rFonts w:ascii="Calibri" w:cs="Calibri" w:eastAsia="Calibri" w:hAnsi="Calibri"/>
          <w:b/>
          <w:bCs/>
          <w:color w:val="1F7A8C"/>
          <w:sz w:val="24"/>
          <w:szCs w:val="24"/>
        </w:rPr>
        <w:t xml:space="preserve">C.1  Design principles</w:t>
      </w:r>
    </w:p>
    <w:p>
      <w:pPr>
        <w:pStyle w:val="ListParagraph"/>
        <w:numPr>
          <w:ilvl w:val="0"/>
          <w:numId w:val="2"/>
        </w:numPr>
        <w:spacing w:after="60" w:line="250"/>
      </w:pPr>
      <w:r>
        <w:rPr>
          <w:rFonts w:ascii="Calibri" w:cs="Calibri" w:eastAsia="Calibri" w:hAnsi="Calibri"/>
          <w:b/>
          <w:bCs/>
          <w:sz w:val="19"/>
          <w:szCs w:val="19"/>
        </w:rPr>
        <w:t xml:space="preserve">One ladder, not two families. </w:t>
      </w:r>
      <w:r>
        <w:rPr>
          <w:rFonts w:ascii="Calibri" w:cs="Calibri" w:eastAsia="Calibri" w:hAnsi="Calibri"/>
          <w:sz w:val="19"/>
          <w:szCs w:val="19"/>
        </w:rPr>
        <w:t xml:space="preserve">Drafting becomes a tier of the same ladder rather than a parallel product. A customer never has to choose between managing records and drafting letters.</w:t>
      </w:r>
    </w:p>
    <w:p>
      <w:pPr>
        <w:pStyle w:val="ListParagraph"/>
        <w:numPr>
          <w:ilvl w:val="0"/>
          <w:numId w:val="2"/>
        </w:numPr>
        <w:spacing w:after="60" w:line="250"/>
      </w:pPr>
      <w:r>
        <w:rPr>
          <w:rFonts w:ascii="Calibri" w:cs="Calibri" w:eastAsia="Calibri" w:hAnsi="Calibri"/>
          <w:b/>
          <w:bCs/>
          <w:sz w:val="19"/>
          <w:szCs w:val="19"/>
        </w:rPr>
        <w:t xml:space="preserve">Projects are the primary scaling axis. </w:t>
      </w:r>
      <w:r>
        <w:rPr>
          <w:rFonts w:ascii="Calibri" w:cs="Calibri" w:eastAsia="Calibri" w:hAnsi="Calibri"/>
          <w:sz w:val="19"/>
          <w:szCs w:val="19"/>
        </w:rPr>
        <w:t xml:space="preserve">Construction companies grow by winning work, not by hiring administrators. Pricing that scales on projects tracks customer value; pricing that scales only on seats invites password sharing.</w:t>
      </w:r>
    </w:p>
    <w:p>
      <w:pPr>
        <w:pStyle w:val="ListParagraph"/>
        <w:numPr>
          <w:ilvl w:val="0"/>
          <w:numId w:val="2"/>
        </w:numPr>
        <w:spacing w:after="60" w:line="250"/>
      </w:pPr>
      <w:r>
        <w:rPr>
          <w:rFonts w:ascii="Calibri" w:cs="Calibri" w:eastAsia="Calibri" w:hAnsi="Calibri"/>
          <w:b/>
          <w:bCs/>
          <w:sz w:val="19"/>
          <w:szCs w:val="19"/>
        </w:rPr>
        <w:t xml:space="preserve">AI is metered at every tier. </w:t>
      </w:r>
      <w:r>
        <w:rPr>
          <w:rFonts w:ascii="Calibri" w:cs="Calibri" w:eastAsia="Calibri" w:hAnsi="Calibri"/>
          <w:sz w:val="19"/>
          <w:szCs w:val="19"/>
        </w:rPr>
        <w:t xml:space="preserve">Contract Q&amp;A, drafting and OCR carry real marginal cost. Every tier has a stated inclusion and a published overage rate, so margin is defended without surprising the customer.</w:t>
      </w:r>
    </w:p>
    <w:p>
      <w:pPr>
        <w:pStyle w:val="ListParagraph"/>
        <w:numPr>
          <w:ilvl w:val="0"/>
          <w:numId w:val="2"/>
        </w:numPr>
        <w:spacing w:after="60" w:line="250"/>
      </w:pPr>
      <w:r>
        <w:rPr>
          <w:rFonts w:ascii="Calibri" w:cs="Calibri" w:eastAsia="Calibri" w:hAnsi="Calibri"/>
          <w:b/>
          <w:bCs/>
          <w:sz w:val="19"/>
          <w:szCs w:val="19"/>
        </w:rPr>
        <w:t xml:space="preserve">Platform and people are priced separately. </w:t>
      </w:r>
      <w:r>
        <w:rPr>
          <w:rFonts w:ascii="Calibri" w:cs="Calibri" w:eastAsia="Calibri" w:hAnsi="Calibri"/>
          <w:sz w:val="19"/>
          <w:szCs w:val="19"/>
        </w:rPr>
        <w:t xml:space="preserve">Core plans buy software capability. AI-CATE and Dedicated Arbitration Support buy expert labour. Blending them destroys software margin and hides service cost.</w:t>
      </w:r>
    </w:p>
    <w:p>
      <w:pPr>
        <w:pStyle w:val="ListParagraph"/>
        <w:numPr>
          <w:ilvl w:val="0"/>
          <w:numId w:val="2"/>
        </w:numPr>
        <w:spacing w:after="60" w:line="250"/>
      </w:pPr>
      <w:r>
        <w:rPr>
          <w:rFonts w:ascii="Calibri" w:cs="Calibri" w:eastAsia="Calibri" w:hAnsi="Calibri"/>
          <w:b/>
          <w:bCs/>
          <w:sz w:val="19"/>
          <w:szCs w:val="19"/>
        </w:rPr>
        <w:t xml:space="preserve">Both scopes stay available. </w:t>
      </w:r>
      <w:r>
        <w:rPr>
          <w:rFonts w:ascii="Calibri" w:cs="Calibri" w:eastAsia="Calibri" w:hAnsi="Calibri"/>
          <w:sz w:val="19"/>
          <w:szCs w:val="19"/>
        </w:rPr>
        <w:t xml:space="preserve">Every plan can be bought at organisation level or project level, which the entitlement service already resolves correctly.</w:t>
      </w:r>
    </w:p>
    <w:p>
      <w:pPr>
        <w:spacing w:after="140"/>
      </w:pPr>
    </w:p>
    <w:p>
      <w:pPr>
        <w:pStyle w:val="Heading2"/>
        <w:spacing w:after="120" w:before="260"/>
      </w:pPr>
      <w:r>
        <w:rPr>
          <w:rFonts w:ascii="Calibri" w:cs="Calibri" w:eastAsia="Calibri" w:hAnsi="Calibri"/>
          <w:b/>
          <w:bCs/>
          <w:color w:val="1F7A8C"/>
          <w:sz w:val="24"/>
          <w:szCs w:val="24"/>
        </w:rPr>
        <w:t xml:space="preserve">C.2  Plan ladder and included entitlements</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1750"/>
        <w:gridCol w:w="1000"/>
        <w:gridCol w:w="1250"/>
        <w:gridCol w:w="780"/>
        <w:gridCol w:w="780"/>
        <w:gridCol w:w="780"/>
        <w:gridCol w:w="950"/>
        <w:gridCol w:w="900"/>
        <w:gridCol w:w="900"/>
        <w:gridCol w:w="1310"/>
      </w:tblGrid>
      <w:tr>
        <w:trPr>
          <w:tblHeader/>
        </w:trPr>
        <w:tc>
          <w:tcPr>
            <w:tcW w:type="dxa" w:w="17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Plan</w:t>
            </w:r>
          </w:p>
        </w:tc>
        <w:tc>
          <w:tcPr>
            <w:tcW w:type="dxa" w:w="10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Monthly</w:t>
            </w:r>
          </w:p>
        </w:tc>
        <w:tc>
          <w:tcPr>
            <w:tcW w:type="dxa" w:w="12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Annual</w:t>
            </w:r>
          </w:p>
        </w:tc>
        <w:tc>
          <w:tcPr>
            <w:tcW w:type="dxa" w:w="78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Orgs</w:t>
            </w:r>
          </w:p>
        </w:tc>
        <w:tc>
          <w:tcPr>
            <w:tcW w:type="dxa" w:w="78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Proj</w:t>
            </w:r>
          </w:p>
        </w:tc>
        <w:tc>
          <w:tcPr>
            <w:tcW w:type="dxa" w:w="78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Users</w:t>
            </w:r>
          </w:p>
        </w:tc>
        <w:tc>
          <w:tcPr>
            <w:tcW w:type="dxa" w:w="9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Storage</w:t>
            </w:r>
          </w:p>
        </w:tc>
        <w:tc>
          <w:tcPr>
            <w:tcW w:type="dxa" w:w="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AI Q&amp;A</w:t>
            </w:r>
          </w:p>
        </w:tc>
        <w:tc>
          <w:tcPr>
            <w:tcW w:type="dxa" w:w="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Drafts</w:t>
            </w:r>
          </w:p>
        </w:tc>
        <w:tc>
          <w:tcPr>
            <w:tcW w:type="dxa" w:w="131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OCR pages</w:t>
            </w:r>
          </w:p>
        </w:tc>
      </w:tr>
      <w:tr>
        <w:trPr>
          <w:tblHeader w:val="false"/>
        </w:trPr>
        <w:tc>
          <w:tcPr>
            <w:tcW w:type="dxa" w:w="17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DMS Lite</w:t>
            </w:r>
          </w:p>
        </w:tc>
        <w:tc>
          <w:tcPr>
            <w:tcW w:type="dxa" w:w="10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₹4,999</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₹49,990</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w:t>
            </w:r>
          </w:p>
        </w:tc>
        <w:tc>
          <w:tcPr>
            <w:tcW w:type="dxa" w:w="9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25 GB</w:t>
            </w:r>
          </w:p>
        </w:tc>
        <w:tc>
          <w:tcPr>
            <w:tcW w:type="dxa" w:w="9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150/mo</w:t>
            </w:r>
          </w:p>
        </w:tc>
        <w:tc>
          <w:tcPr>
            <w:tcW w:type="dxa" w:w="9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31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400/mo</w:t>
            </w:r>
          </w:p>
        </w:tc>
      </w:tr>
      <w:tr>
        <w:trPr>
          <w:tblHeader w:val="false"/>
        </w:trPr>
        <w:tc>
          <w:tcPr>
            <w:tcW w:type="dxa" w:w="17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DMS Basic</w:t>
            </w:r>
          </w:p>
        </w:tc>
        <w:tc>
          <w:tcPr>
            <w:tcW w:type="dxa" w:w="1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₹11,999</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₹1,19,990</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3</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15</w:t>
            </w:r>
          </w:p>
        </w:tc>
        <w:tc>
          <w:tcPr>
            <w:tcW w:type="dxa" w:w="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100 GB</w:t>
            </w:r>
          </w:p>
        </w:tc>
        <w:tc>
          <w:tcPr>
            <w:tcW w:type="dxa" w:w="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400/mo</w:t>
            </w:r>
          </w:p>
        </w:tc>
        <w:tc>
          <w:tcPr>
            <w:tcW w:type="dxa" w:w="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31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1,500/mo</w:t>
            </w:r>
          </w:p>
        </w:tc>
      </w:tr>
      <w:tr>
        <w:trPr>
          <w:tblHeader w:val="false"/>
        </w:trPr>
        <w:tc>
          <w:tcPr>
            <w:tcW w:type="dxa" w:w="175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DMS Professional</w:t>
            </w:r>
          </w:p>
        </w:tc>
        <w:tc>
          <w:tcPr>
            <w:tcW w:type="dxa" w:w="10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₹29,999</w:t>
            </w:r>
          </w:p>
        </w:tc>
        <w:tc>
          <w:tcPr>
            <w:tcW w:type="dxa" w:w="12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₹2,99,990</w:t>
            </w:r>
          </w:p>
        </w:tc>
        <w:tc>
          <w:tcPr>
            <w:tcW w:type="dxa" w:w="78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w:t>
            </w:r>
          </w:p>
        </w:tc>
        <w:tc>
          <w:tcPr>
            <w:tcW w:type="dxa" w:w="78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6</w:t>
            </w:r>
          </w:p>
        </w:tc>
        <w:tc>
          <w:tcPr>
            <w:tcW w:type="dxa" w:w="78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40</w:t>
            </w:r>
          </w:p>
        </w:tc>
        <w:tc>
          <w:tcPr>
            <w:tcW w:type="dxa" w:w="9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500 GB</w:t>
            </w:r>
          </w:p>
        </w:tc>
        <w:tc>
          <w:tcPr>
            <w:tcW w:type="dxa" w:w="9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1,000/mo</w:t>
            </w:r>
          </w:p>
        </w:tc>
        <w:tc>
          <w:tcPr>
            <w:tcW w:type="dxa" w:w="9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20/mo</w:t>
            </w:r>
          </w:p>
        </w:tc>
        <w:tc>
          <w:tcPr>
            <w:tcW w:type="dxa" w:w="131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5,000/mo</w:t>
            </w:r>
          </w:p>
        </w:tc>
      </w:tr>
      <w:tr>
        <w:trPr>
          <w:tblHeader w:val="false"/>
        </w:trPr>
        <w:tc>
          <w:tcPr>
            <w:tcW w:type="dxa" w:w="17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DMS Business</w:t>
            </w:r>
          </w:p>
        </w:tc>
        <w:tc>
          <w:tcPr>
            <w:tcW w:type="dxa" w:w="1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₹64,999</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₹6,49,990</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12</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100</w:t>
            </w:r>
          </w:p>
        </w:tc>
        <w:tc>
          <w:tcPr>
            <w:tcW w:type="dxa" w:w="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1.5 TB</w:t>
            </w:r>
          </w:p>
        </w:tc>
        <w:tc>
          <w:tcPr>
            <w:tcW w:type="dxa" w:w="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2,500/mo</w:t>
            </w:r>
          </w:p>
        </w:tc>
        <w:tc>
          <w:tcPr>
            <w:tcW w:type="dxa" w:w="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50/mo</w:t>
            </w:r>
          </w:p>
        </w:tc>
        <w:tc>
          <w:tcPr>
            <w:tcW w:type="dxa" w:w="131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12,000/mo</w:t>
            </w:r>
          </w:p>
        </w:tc>
      </w:tr>
      <w:tr>
        <w:trPr>
          <w:tblHeader w:val="false"/>
        </w:trPr>
        <w:tc>
          <w:tcPr>
            <w:tcW w:type="dxa" w:w="17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DMS Enterprise</w:t>
            </w:r>
          </w:p>
        </w:tc>
        <w:tc>
          <w:tcPr>
            <w:tcW w:type="dxa" w:w="10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₹1,29,999</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₹12,99,990</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3</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25</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250</w:t>
            </w:r>
          </w:p>
        </w:tc>
        <w:tc>
          <w:tcPr>
            <w:tcW w:type="dxa" w:w="9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 TB</w:t>
            </w:r>
          </w:p>
        </w:tc>
        <w:tc>
          <w:tcPr>
            <w:tcW w:type="dxa" w:w="9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5,000/mo</w:t>
            </w:r>
          </w:p>
        </w:tc>
        <w:tc>
          <w:tcPr>
            <w:tcW w:type="dxa" w:w="9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100/mo</w:t>
            </w:r>
          </w:p>
        </w:tc>
        <w:tc>
          <w:tcPr>
            <w:tcW w:type="dxa" w:w="131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25,000/mo</w:t>
            </w:r>
          </w:p>
        </w:tc>
      </w:tr>
      <w:tr>
        <w:trPr>
          <w:tblHeader w:val="false"/>
        </w:trPr>
        <w:tc>
          <w:tcPr>
            <w:tcW w:type="dxa" w:w="17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Enterprise Group</w:t>
            </w:r>
          </w:p>
        </w:tc>
        <w:tc>
          <w:tcPr>
            <w:tcW w:type="dxa" w:w="1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from ₹2,49,999</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from ₹24,99,990</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50+</w:t>
            </w:r>
          </w:p>
        </w:tc>
        <w:tc>
          <w:tcPr>
            <w:tcW w:type="dxa" w:w="78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15 TB</w:t>
            </w:r>
          </w:p>
        </w:tc>
        <w:tc>
          <w:tcPr>
            <w:tcW w:type="dxa" w:w="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12,000/mo</w:t>
            </w:r>
          </w:p>
        </w:tc>
        <w:tc>
          <w:tcPr>
            <w:tcW w:type="dxa" w:w="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250/mo</w:t>
            </w:r>
          </w:p>
        </w:tc>
        <w:tc>
          <w:tcPr>
            <w:tcW w:type="dxa" w:w="131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60,000/mo</w:t>
            </w:r>
          </w:p>
        </w:tc>
      </w:tr>
      <w:tr>
        <w:trPr>
          <w:tblHeader w:val="false"/>
        </w:trPr>
        <w:tc>
          <w:tcPr>
            <w:tcW w:type="dxa" w:w="17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Archive (read-only)</w:t>
            </w:r>
          </w:p>
        </w:tc>
        <w:tc>
          <w:tcPr>
            <w:tcW w:type="dxa" w:w="10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₹2,999</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₹29,990</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per proj</w:t>
            </w:r>
          </w:p>
        </w:tc>
        <w:tc>
          <w:tcPr>
            <w:tcW w:type="dxa" w:w="78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w:t>
            </w:r>
          </w:p>
        </w:tc>
        <w:tc>
          <w:tcPr>
            <w:tcW w:type="dxa" w:w="9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Retains</w:t>
            </w:r>
          </w:p>
        </w:tc>
        <w:tc>
          <w:tcPr>
            <w:tcW w:type="dxa" w:w="9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9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31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bl>
    <w:p>
      <w:pPr>
        <w:spacing w:after="100"/>
      </w:pPr>
    </w:p>
    <w:p>
      <w:pPr>
        <w:spacing w:after="120" w:before="0" w:line="260"/>
      </w:pPr>
      <w:r>
        <w:rPr>
          <w:rFonts w:ascii="Calibri" w:cs="Calibri" w:eastAsia="Calibri" w:hAnsi="Calibri"/>
          <w:i/>
          <w:iCs/>
          <w:color w:val="5A6672"/>
          <w:sz w:val="17"/>
          <w:szCs w:val="17"/>
        </w:rPr>
        <w:t xml:space="preserve">Archive is repriced from ₹10,000 to ₹2,999. At the old price a customer closing a project is better off exporting and leaving; at ₹2,999 the record stays in the system, and with it the renewal relationship and the evidence trail for any claim that surfaces after completion.</w:t>
      </w:r>
    </w:p>
    <w:p>
      <w:pPr>
        <w:spacing w:after="160"/>
      </w:pPr>
    </w:p>
    <w:p>
      <w:pPr>
        <w:pStyle w:val="Heading2"/>
        <w:spacing w:after="120" w:before="260"/>
      </w:pPr>
      <w:r>
        <w:rPr>
          <w:rFonts w:ascii="Calibri" w:cs="Calibri" w:eastAsia="Calibri" w:hAnsi="Calibri"/>
          <w:b/>
          <w:bCs/>
          <w:color w:val="1F7A8C"/>
          <w:sz w:val="24"/>
          <w:szCs w:val="24"/>
        </w:rPr>
        <w:t xml:space="preserve">C.3  Feature entitlement matrix</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3250"/>
        <w:gridCol w:w="1050"/>
        <w:gridCol w:w="1050"/>
        <w:gridCol w:w="1400"/>
        <w:gridCol w:w="1200"/>
        <w:gridCol w:w="1250"/>
        <w:gridCol w:w="1200"/>
      </w:tblGrid>
      <w:tr>
        <w:trPr>
          <w:tblHeader/>
        </w:trPr>
        <w:tc>
          <w:tcPr>
            <w:tcW w:type="dxa" w:w="32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6"/>
                <w:szCs w:val="16"/>
              </w:rPr>
              <w:t xml:space="preserve">Capability</w:t>
            </w:r>
          </w:p>
        </w:tc>
        <w:tc>
          <w:tcPr>
            <w:tcW w:type="dxa" w:w="10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Lite</w:t>
            </w:r>
          </w:p>
        </w:tc>
        <w:tc>
          <w:tcPr>
            <w:tcW w:type="dxa" w:w="10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Basic</w:t>
            </w:r>
          </w:p>
        </w:tc>
        <w:tc>
          <w:tcPr>
            <w:tcW w:type="dxa" w:w="14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Professional</w:t>
            </w:r>
          </w:p>
        </w:tc>
        <w:tc>
          <w:tcPr>
            <w:tcW w:type="dxa" w:w="12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Business</w:t>
            </w:r>
          </w:p>
        </w:tc>
        <w:tc>
          <w:tcPr>
            <w:tcW w:type="dxa" w:w="12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Enterprise</w:t>
            </w:r>
          </w:p>
        </w:tc>
        <w:tc>
          <w:tcPr>
            <w:tcW w:type="dxa" w:w="12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6"/>
                <w:szCs w:val="16"/>
              </w:rPr>
              <w:t xml:space="preserve">Group</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Document library, upload, OCR, full-text search</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Incoming / outgoing classification, duplicate detection</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Reference letter linking, stakeholders, email groups</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Bank guarantee register + expiry alerts</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Key dates / milestone register</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Project chronology</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Basic</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Basic</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Variation register</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Claim / notice register</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IPC / bill register, multi-currency</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Insurance register, contract master</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Contract Q&amp;A / semantic search</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Basic</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Standard</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Enhanced</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Enhanced</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AI drafting — letters, notices, replies</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Clause-assisted drafting, draft quality review</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Contract appraisal, clause index</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Delay / event organisation, claim preparation</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Evidence mapping</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Limited</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Advanced</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Evidence graph</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Advanced analytics</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Arbitration workspace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SoC / SoD / counterclaim / rejoinder workflows</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Arbitration chronology, pleading validation</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6"/>
                <w:szCs w:val="16"/>
              </w:rPr>
              <w:t xml:space="preserve">API / integration</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SSO / SCIM, enterprise governance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Audit trail</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Standard</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Standard</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Enhanced</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Enhanced</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Enterprise</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Enterprise</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Custom workflow configuration</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Add-on</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w:t>
            </w:r>
          </w:p>
        </w:tc>
      </w:tr>
      <w:tr>
        <w:trPr>
          <w:tblHeader w:val="false"/>
        </w:trPr>
        <w:tc>
          <w:tcPr>
            <w:tcW w:type="dxa" w:w="325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Support</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Email</w:t>
            </w:r>
          </w:p>
        </w:tc>
        <w:tc>
          <w:tcPr>
            <w:tcW w:type="dxa" w:w="10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Email</w:t>
            </w:r>
          </w:p>
        </w:tc>
        <w:tc>
          <w:tcPr>
            <w:tcW w:type="dxa" w:w="14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Priority</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Priority</w:t>
            </w:r>
          </w:p>
        </w:tc>
        <w:tc>
          <w:tcPr>
            <w:tcW w:type="dxa" w:w="12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Priority+</w:t>
            </w:r>
          </w:p>
        </w:tc>
        <w:tc>
          <w:tcPr>
            <w:tcW w:type="dxa" w:w="12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Dedicated</w:t>
            </w:r>
          </w:p>
        </w:tc>
      </w:tr>
      <w:tr>
        <w:trPr>
          <w:tblHeader w:val="false"/>
        </w:trPr>
        <w:tc>
          <w:tcPr>
            <w:tcW w:type="dxa" w:w="3250"/>
            <w:tcMar>
              <w:top w:type="dxa" w:w="70"/>
              <w:left w:type="dxa" w:w="90"/>
              <w:bottom w:type="dxa" w:w="70"/>
              <w:right w:type="dxa" w:w="90"/>
            </w:tcMar>
            <w:vAlign w:val="center"/>
          </w:tcPr>
          <w:p>
            <w:pPr>
              <w:spacing w:after="0" w:line="240"/>
            </w:pPr>
            <w:r>
              <w:rPr>
                <w:rFonts w:ascii="Calibri" w:cs="Calibri" w:eastAsia="Calibri" w:hAnsi="Calibri"/>
                <w:color w:val="2A2A2A"/>
                <w:sz w:val="16"/>
                <w:szCs w:val="16"/>
              </w:rPr>
              <w:t xml:space="preserve">Target platform response</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15 days</w:t>
            </w:r>
          </w:p>
        </w:tc>
        <w:tc>
          <w:tcPr>
            <w:tcW w:type="dxa" w:w="10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10 days</w:t>
            </w:r>
          </w:p>
        </w:tc>
        <w:tc>
          <w:tcPr>
            <w:tcW w:type="dxa" w:w="14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7 days</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5 days</w:t>
            </w:r>
          </w:p>
        </w:tc>
        <w:tc>
          <w:tcPr>
            <w:tcW w:type="dxa" w:w="125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3 days</w:t>
            </w:r>
          </w:p>
        </w:tc>
        <w:tc>
          <w:tcPr>
            <w:tcW w:type="dxa" w:w="1200"/>
            <w:tcMar>
              <w:top w:type="dxa" w:w="70"/>
              <w:left w:type="dxa" w:w="90"/>
              <w:bottom w:type="dxa" w:w="70"/>
              <w:right w:type="dxa" w:w="90"/>
            </w:tcMar>
            <w:vAlign w:val="center"/>
          </w:tcPr>
          <w:p>
            <w:pPr>
              <w:spacing w:after="0" w:line="240"/>
              <w:jc w:val="center"/>
            </w:pPr>
            <w:r>
              <w:rPr>
                <w:rFonts w:ascii="Calibri" w:cs="Calibri" w:eastAsia="Calibri" w:hAnsi="Calibri"/>
                <w:color w:val="2A2A2A"/>
                <w:sz w:val="16"/>
                <w:szCs w:val="16"/>
              </w:rPr>
              <w:t xml:space="preserve">1 day</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D — Segment Recommendations</w:t>
      </w:r>
    </w:p>
    <w:p>
      <w:pPr>
        <w:spacing w:after="120" w:before="0" w:line="260"/>
      </w:pPr>
      <w:r>
        <w:rPr>
          <w:rFonts w:ascii="Calibri" w:cs="Calibri" w:eastAsia="Calibri" w:hAnsi="Calibri"/>
          <w:color w:val="2A2A2A"/>
          <w:sz w:val="20"/>
          <w:szCs w:val="20"/>
        </w:rPr>
        <w:t xml:space="preserve">One card per segment. Each states the turnover range, the recommended plan, pricing, included entitlements, the add-ons that segment typically buys, the expert-service position, and the trigger that moves the customer up a tier.</w:t>
      </w:r>
    </w:p>
    <w:p>
      <w:pPr>
        <w:pStyle w:val="Heading2"/>
        <w:spacing w:after="120" w:before="260"/>
      </w:pPr>
      <w:r>
        <w:rPr>
          <w:rFonts w:ascii="Calibri" w:cs="Calibri" w:eastAsia="Calibri" w:hAnsi="Calibri"/>
          <w:b/>
          <w:bCs/>
          <w:color w:val="1F7A8C"/>
          <w:sz w:val="24"/>
          <w:szCs w:val="24"/>
        </w:rPr>
        <w:t xml:space="preserve">S1 · Specialist Subcontractor / Small Contractor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Annual turnover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Under ₹10 crore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Piling, formwork, MEP, façade, finishing or a small civil contractor. One or two live sites, an owner-manager and a site engineer. Correspondence lives in email and WhatsApp</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Lite — organisation level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₹4,999 / month · ₹49,990 / year (2 months free) · ₹13,999 / quarter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 organisation · 1 project · 5 users · 25 GB · 150 Contract Q&amp;A queries/mo · 400 OCR pages/mo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Document library with OCR and full-text search, incoming/outgoing classification, duplicate detection, reference letter linking, stakeholder register, email groups, basic chronology, bank guarantee register with expiry alerts, key dates register, standard reports and export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Contract Q&amp;A with source-linked answers, 150 queries/mo. Basic semantic search. No AI drafting</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₹1,999 / month each</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users / storage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₹1,499 per 5 users/mo · ₹799 per 100 GB/mo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Not typically required. AI-CATE Lite (₹34,999/mo) available if a live dispute emerges</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Not applicable at this tier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DMS Basic on the second concurrent project, the sixth user, or the first formal variation claim</w:t>
            </w:r>
          </w:p>
        </w:tc>
      </w:tr>
    </w:tbl>
    <w:p>
      <w:pPr>
        <w:spacing w:after="200"/>
      </w:pPr>
    </w:p>
    <w:p>
      <w:pPr>
        <w:pStyle w:val="Heading2"/>
        <w:spacing w:after="120" w:before="260"/>
      </w:pPr>
      <w:r>
        <w:rPr>
          <w:rFonts w:ascii="Calibri" w:cs="Calibri" w:eastAsia="Calibri" w:hAnsi="Calibri"/>
          <w:b/>
          <w:bCs/>
          <w:color w:val="1F7A8C"/>
          <w:sz w:val="24"/>
          <w:szCs w:val="24"/>
        </w:rPr>
        <w:t xml:space="preserve">S2 · Growing Regional Contractor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Annual turnover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₹10–50 crore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Two to four live sites across a state or region. A planning engineer and a billing engineer, no dedicated contracts function. First encounters with EOT and variation claims</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Basic — organisation level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₹11,999 / month · ₹1,19,990 / year · ₹33,599 / quarter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 organisation · 3 projects · 15 users · 100 GB · 400 Q&amp;A queries/mo · 1,500 OCR pages/mo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Everything in Lite plus the full register set — variation register, claim and notice register, IPC/bill register, insurance register, contract master, multi-currency contract records — with standard reporting and export across all of them</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Contract Q&amp;A 400 queries/mo, semantic search across the project record. No AI drafting</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₹1,999 / month each</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users / storage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₹1,499 per 5 users/mo · ₹799 per 100 GB/mo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AI-CATE Lite (₹34,999/mo) — shared expert pool, 8 expert-hours/month. The usual first expert purchase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Not typical. Arbitration Retainer (₹74,999/mo) if a matter is referred</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DMS Professional when the team starts drafting notices under a time-barred regime, or on the fourth project</w:t>
            </w:r>
          </w:p>
        </w:tc>
      </w:tr>
    </w:tbl>
    <w:p>
      <w:r>
        <w:br w:type="page"/>
      </w:r>
    </w:p>
    <w:p>
      <w:pPr>
        <w:pStyle w:val="Heading2"/>
        <w:spacing w:after="120" w:before="260"/>
      </w:pPr>
      <w:r>
        <w:rPr>
          <w:rFonts w:ascii="Calibri" w:cs="Calibri" w:eastAsia="Calibri" w:hAnsi="Calibri"/>
          <w:b/>
          <w:bCs/>
          <w:color w:val="1F7A8C"/>
          <w:sz w:val="24"/>
          <w:szCs w:val="24"/>
        </w:rPr>
        <w:t xml:space="preserve">S3 · Established Mid-Sized Contractor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Annual turnover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₹50–250 crore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Four to eight live projects, often on NHAI, metro-authority or FIDIC-derived forms. One or two commercial managers. Notices and claims are routine and time bars are real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Professional — organisation level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₹29,999 / month · ₹2,99,990 / year · ₹83,999 / quarter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 organisation · 6 projects · 40 users · 500 GB · 1,000 Q&amp;A queries/mo · 20 AI drafts/mo · 5,000 OCR pages/mo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Everything in Basic plus advanced chronology, contract appraisal and clause index, delay and event organisation, claim preparation tools, limited evidence mapping, advanced analytics, enhanced review and approval workflow, enhanced audit trail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AI-assisted drafting of contractual letters, notices and replies (20/mo), clause-assisted drafting, draft quality review, enhanced RAG with source-linked answers</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₹3,499 / month each</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users / storage / AI</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₹2,499 per 5 users/mo · ₹799 per 100 GB/mo · ₹2,499 per 10 drafts/mo · ₹999 per 500 Q&amp;A queries/mo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AI-CATE Project (₹99,999/mo) on the one project carrying the exposure. AI-CATE Lite for general cover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Arbitration Module add-on (₹14,999/mo per project) unlocks Enterprise arbitration technology without upgrading the organisation. Dedicated Arbitration Support per matter if referred</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DMS Business on the seventh project, past 40 users, or when a second project needs the arbitration module</w:t>
            </w:r>
          </w:p>
        </w:tc>
      </w:tr>
    </w:tbl>
    <w:p>
      <w:pPr>
        <w:spacing w:after="200"/>
      </w:pPr>
    </w:p>
    <w:p>
      <w:pPr>
        <w:pStyle w:val="Heading2"/>
        <w:spacing w:after="120" w:before="260"/>
      </w:pPr>
      <w:r>
        <w:rPr>
          <w:rFonts w:ascii="Calibri" w:cs="Calibri" w:eastAsia="Calibri" w:hAnsi="Calibri"/>
          <w:b/>
          <w:bCs/>
          <w:color w:val="1F7A8C"/>
          <w:sz w:val="24"/>
          <w:szCs w:val="24"/>
        </w:rPr>
        <w:t xml:space="preserve">S4 · Large Regional / Infrastructure Contractor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Annual turnover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₹250–1,000 crore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Eight to fifteen live projects, a functioning contracts and commercial cell, occasional arbitration. Wants ERP and accounting integration</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Business — organisation level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₹64,999 / month · ₹6,49,990 / year · ₹1,81,999 / quarter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 organisation · 12 projects · 100 users · 1.5 TB · 2,500 Q&amp;A queries/mo · 50 AI drafts/mo · 12,000 OCR pages/mo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Everything in Professional plus full evidence mapping, evidence graph, API and integration access included, priority support, enhanced governance and audit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50 AI drafts/mo, evidence-aware drafting, legal and contract consistency review, advanced analytics</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₹3,499 / month each</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users / storage / AI</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₹2,499 per 5 users/mo · ₹799 per 100 GB/mo · ₹2,499 per 10 drafts/mo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AI-CATE Organisation (₹2,49,999/mo, up to 3 projects). Each project beyond three at ₹69,999/mo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Arbitration Module per project (₹14,999/mo). Dedicated Arbitration Support (₹1,99,999/mo) on the active matter only — not across the portfolio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DMS Enterprise on the thirteenth project, two or more concurrent disputes, or when SSO and enterprise governance become procurement requirements</w:t>
            </w:r>
          </w:p>
        </w:tc>
      </w:tr>
    </w:tbl>
    <w:p>
      <w:r>
        <w:br w:type="page"/>
      </w:r>
    </w:p>
    <w:p>
      <w:pPr>
        <w:pStyle w:val="Heading2"/>
        <w:spacing w:after="120" w:before="260"/>
      </w:pPr>
      <w:r>
        <w:rPr>
          <w:rFonts w:ascii="Calibri" w:cs="Calibri" w:eastAsia="Calibri" w:hAnsi="Calibri"/>
          <w:b/>
          <w:bCs/>
          <w:color w:val="1F7A8C"/>
          <w:sz w:val="24"/>
          <w:szCs w:val="24"/>
        </w:rPr>
        <w:t xml:space="preserve">S5 · Major EPC / National Contractor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Annual turnover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₹1,000–5,000 crore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Fifteen to thirty live projects nationally, a dedicated claims and contracts team, multiple concurrent disputes, formal IT security review before purchase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Enterprise — organisation level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₹1,29,999 / month · ₹12,99,990 / year · ₹3,63,999 / quarter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 organisations · 25 projects · 250 users · 5 TB · 5,000 Q&amp;A queries/mo · 100 AI drafts/mo · 25,000 OCR pages/mo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Everything in Business plus the full arbitration workspace — Statement of Claim, Statement of Defence, counterclaim and rejoinder workflows, arbitration evidence mapping, arbitration chronology, pleading validation — with enterprise governance, SSO/SCIM, advanced security controls and enterprise audit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100 AI drafts/mo, advanced evidence-aware drafting, advanced claim intelligence, advanced consistency review</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₹4,999 / month each</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users / storage / AI</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₹3,499 per 5 users/mo · ₹699 per 100 GB/mo · ₹2,199 per 10 drafts/mo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AI-CATE Organisation (₹2,49,999/mo) plus additional projects at ₹69,999/mo. Multiple org packages where the group runs separate verticals</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Dedicated Arbitration Support per active matter (₹1,99,999/mo, 3-month minimum). Major submissions scoped separately from ₹2,50,000</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Enterprise Group for multi-entity consolidation, dedicated tenancy, or a negotiated master agreement</w:t>
            </w:r>
          </w:p>
        </w:tc>
      </w:tr>
    </w:tbl>
    <w:p>
      <w:pPr>
        <w:spacing w:after="200"/>
      </w:pPr>
    </w:p>
    <w:p>
      <w:pPr>
        <w:pStyle w:val="Heading2"/>
        <w:spacing w:after="120" w:before="260"/>
      </w:pPr>
      <w:r>
        <w:rPr>
          <w:rFonts w:ascii="Calibri" w:cs="Calibri" w:eastAsia="Calibri" w:hAnsi="Calibri"/>
          <w:b/>
          <w:bCs/>
          <w:color w:val="1F7A8C"/>
          <w:sz w:val="24"/>
          <w:szCs w:val="24"/>
        </w:rPr>
        <w:t xml:space="preserve">S6 · Tier-1 EPC Group</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Annual turnover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Above ₹5,000 crore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Multiple legal entities and business verticals, thirty-plus live projects, a legal and claims directorate, a standing arbitration panel, and procurement that will negotiate every clause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Enterprise Group — negotiated master agreement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From ₹2,49,999 / month · from ₹24,99,990 / year. Priced on entity count, project count and deployment model</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Unlimited organisations · 50+ projects · unlimited users · 15 TB · 12,000 Q&amp;A queries/mo · 250 AI drafts/mo (fair use) · 60,000 OCR pages/mo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Everything in Enterprise plus custom workflow configuration, group-level consolidated reporting, dedicated tenancy option, VPC or on-premises deployment, and a negotiated SLA</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250 drafts/mo under fair use, with a contractually agreed ceiling and a published overage rate above it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 / org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Negotiated within the master agreement; indicative ₹4,999 per project/mo, ₹7,999 per organisation/mo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Multiple AI-CATE Organisation packages, typically one per vertical, with named experts written into the agreement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Standing arbitration panel arrangement; Dedicated Arbitration Support activated per matter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Terminal tier. Expansion is by entity, project volume and services attach</w:t>
            </w:r>
          </w:p>
        </w:tc>
      </w:tr>
    </w:tbl>
    <w:p>
      <w:r>
        <w:br w:type="page"/>
      </w:r>
    </w:p>
    <w:p>
      <w:pPr>
        <w:pStyle w:val="Heading2"/>
        <w:spacing w:after="120" w:before="260"/>
      </w:pPr>
      <w:r>
        <w:rPr>
          <w:rFonts w:ascii="Calibri" w:cs="Calibri" w:eastAsia="Calibri" w:hAnsi="Calibri"/>
          <w:b/>
          <w:bCs/>
          <w:color w:val="1F7A8C"/>
          <w:sz w:val="24"/>
          <w:szCs w:val="24"/>
        </w:rPr>
        <w:t xml:space="preserve">S7 · Project SPV / Joint Venture (single mega-project)</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Turnover basis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Not applicable — price on contract value. Typically ₹100 crore and above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 special-purpose vehicle or JV formed for one contract — metro package, expressway section, port, power plant. High correspondence volume, a demanding notice regime, and a materially elevated probability of arbitration. This pattern already appears in the ContraClaim data set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Professional or DMS Enterprise — project-level subscription</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Professional at project scope ₹29,999/mo (₹2,99,990/yr). Enterprise at project scope ₹1,29,999/mo (₹12,99,990/yr) where arbitration technology is needed from day one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 project · users and storage per the chosen plan · AI inclusions per the chosen plan</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Per the chosen plan, scoped to the single project. Entitlements do not leak to the JV partners' own organisations, which the entitlement service already enforces correctly</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Why project scope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The JV is a distinct commercial entity with its own budget and its own document set. Billing the parent contractor's organisation subscription would both misallocate cost and over-share data</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users / storage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₹2,499 per 5 users/mo · ₹799 per 100 GB/mo. Storage packs are commonly needed here — drawings and site records dominate</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AI-CATE Project (₹99,999/mo) is the natural fit and attaches at a high rate in this segment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Dedicated Arbitration Support per matter (₹1,99,999/mo). Highest attach rate of any segment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Enterprise project upgrade on referral to arbitration. On completion, move to Archive (₹2,999/mo) to retain the record</w:t>
            </w:r>
          </w:p>
        </w:tc>
      </w:tr>
    </w:tbl>
    <w:p>
      <w:pPr>
        <w:spacing w:after="200"/>
      </w:pPr>
    </w:p>
    <w:p>
      <w:pPr>
        <w:pStyle w:val="Heading2"/>
        <w:spacing w:after="120" w:before="260"/>
      </w:pPr>
      <w:r>
        <w:rPr>
          <w:rFonts w:ascii="Calibri" w:cs="Calibri" w:eastAsia="Calibri" w:hAnsi="Calibri"/>
          <w:b/>
          <w:bCs/>
          <w:color w:val="1F7A8C"/>
          <w:sz w:val="24"/>
          <w:szCs w:val="24"/>
        </w:rPr>
        <w:t xml:space="preserve">S8 · PMC / Consultant / Claims &amp; Arbitration Practice</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400"/>
        <w:gridCol w:w="8000"/>
      </w:tblGrid>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Fee income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₹1–50 crore. Turnover is a weak signal here; matter count is the right axis</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Profile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Project management consultants, quantity surveyors, claims consultants and arbitration practices acting for contractors or employers. Five to twenty concurrent matters, each belonging to a different client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Recommended plan</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2355B"/>
                <w:sz w:val="17"/>
                <w:szCs w:val="17"/>
              </w:rPr>
              <w:t xml:space="preserve">DMS Professional — advisory configuration</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Pricing</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₹29,999 / month · ₹2,99,990 / year. Each matter consumes one project entitlement</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Included</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6 matters · 40 users · 500 GB · 1,000 Q&amp;A queries/mo · 20 AI drafts/mo</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Core features</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Full Professional feature set plus per-matter data separation, so one client's record is never visible from another matter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usage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Drafting and Q&amp;A are used far more intensively than in a contractor account. Expect this segment to buy AI packs routinely — model 40–60 drafts/mo against a 20-draft inclusion</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matter</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₹3,499 / month each</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Rarely purchased — this segment is the expert. They are a channel partner, not an AI-CATE customer</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support</w:t>
            </w:r>
          </w:p>
        </w:tc>
        <w:tc>
          <w:tcPr>
            <w:tcW w:type="dxa" w:w="80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Not sold to them. Sell the Arbitration Module (₹14,999/mo per matter) as technology instead</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Implementation note</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B25E00"/>
                <w:sz w:val="17"/>
                <w:szCs w:val="17"/>
              </w:rPr>
              <w:t xml:space="preserve">Requires a matter-level scope that the codebase does not have today. See Gap 8</w:t>
            </w:r>
          </w:p>
        </w:tc>
      </w:tr>
      <w:tr>
        <w:trPr>
          <w:tblHeader w:val="false"/>
        </w:trPr>
        <w:tc>
          <w:tcPr>
            <w:tcW w:type="dxa" w:w="24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Upgrade trigger</w:t>
            </w:r>
          </w:p>
        </w:tc>
        <w:tc>
          <w:tcPr>
            <w:tcW w:type="dxa" w:w="8000"/>
            <w:tcMar>
              <w:top w:type="dxa" w:w="70"/>
              <w:left w:type="dxa" w:w="90"/>
              <w:bottom w:type="dxa" w:w="70"/>
              <w:right w:type="dxa" w:w="90"/>
            </w:tcMar>
            <w:vAlign w:val="center"/>
          </w:tcPr>
          <w:p>
            <w:pPr>
              <w:spacing w:after="0" w:line="240"/>
            </w:pPr>
            <w:r>
              <w:rPr>
                <w:rFonts w:ascii="Calibri" w:cs="Calibri" w:eastAsia="Calibri" w:hAnsi="Calibri"/>
                <w:b/>
                <w:bCs/>
                <w:color w:val="1F7A8C"/>
                <w:sz w:val="17"/>
                <w:szCs w:val="17"/>
              </w:rPr>
              <w:t xml:space="preserve">→ DMS Business past six concurrent matters, which is the common steady state for an established practice</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E — Add-ons, Overage and Managed Services</w:t>
      </w:r>
    </w:p>
    <w:p>
      <w:pPr>
        <w:pStyle w:val="Heading2"/>
        <w:spacing w:after="120" w:before="260"/>
      </w:pPr>
      <w:r>
        <w:rPr>
          <w:rFonts w:ascii="Calibri" w:cs="Calibri" w:eastAsia="Calibri" w:hAnsi="Calibri"/>
          <w:b/>
          <w:bCs/>
          <w:color w:val="1F7A8C"/>
          <w:sz w:val="24"/>
          <w:szCs w:val="24"/>
        </w:rPr>
        <w:t xml:space="preserve">E.1  Capacity and feature add-ons</w:t>
      </w:r>
    </w:p>
    <w:p>
      <w:pPr>
        <w:spacing w:after="120" w:before="0" w:line="260"/>
      </w:pPr>
      <w:r>
        <w:rPr>
          <w:rFonts w:ascii="Calibri" w:cs="Calibri" w:eastAsia="Calibri" w:hAnsi="Calibri"/>
          <w:color w:val="2A2A2A"/>
          <w:sz w:val="20"/>
          <w:szCs w:val="20"/>
        </w:rPr>
        <w:t xml:space="preserve">All add-ons are billed monthly and follow the billing cadence of the parent subscription. Capacity add-ons must support a quantity — a customer buying three storage packs should receive three, which the current data model does not allow (Gap 11).</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650"/>
        <w:gridCol w:w="2000"/>
        <w:gridCol w:w="1900"/>
        <w:gridCol w:w="1900"/>
        <w:gridCol w:w="1950"/>
      </w:tblGrid>
      <w:tr>
        <w:trPr>
          <w:tblHeader/>
        </w:trPr>
        <w:tc>
          <w:tcPr>
            <w:tcW w:type="dxa" w:w="265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Add-on</w:t>
            </w:r>
          </w:p>
        </w:tc>
        <w:tc>
          <w:tcPr>
            <w:tcW w:type="dxa" w:w="20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Grants</w:t>
            </w:r>
          </w:p>
        </w:tc>
        <w:tc>
          <w:tcPr>
            <w:tcW w:type="dxa" w:w="1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Lite / Basic</w:t>
            </w:r>
          </w:p>
        </w:tc>
        <w:tc>
          <w:tcPr>
            <w:tcW w:type="dxa" w:w="1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Prof / Business</w:t>
            </w:r>
          </w:p>
        </w:tc>
        <w:tc>
          <w:tcPr>
            <w:tcW w:type="dxa" w:w="19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Enterprise +</w:t>
            </w:r>
          </w:p>
        </w:tc>
      </w:tr>
      <w:tr>
        <w:trPr>
          <w:tblHeader w:val="false"/>
        </w:trPr>
        <w:tc>
          <w:tcPr>
            <w:tcW w:type="dxa" w:w="265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project</w:t>
            </w:r>
          </w:p>
        </w:tc>
        <w:tc>
          <w:tcPr>
            <w:tcW w:type="dxa" w:w="20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 project</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₹1,999/mo</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₹3,499/mo</w:t>
            </w:r>
          </w:p>
        </w:tc>
        <w:tc>
          <w:tcPr>
            <w:tcW w:type="dxa" w:w="19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₹4,999/mo</w:t>
            </w:r>
          </w:p>
        </w:tc>
      </w:tr>
      <w:tr>
        <w:trPr>
          <w:tblHeader w:val="false"/>
        </w:trPr>
        <w:tc>
          <w:tcPr>
            <w:tcW w:type="dxa" w:w="26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Additional organisation</w:t>
            </w:r>
          </w:p>
        </w:tc>
        <w:tc>
          <w:tcPr>
            <w:tcW w:type="dxa" w:w="2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 organisation</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₹9,999/mo</w:t>
            </w:r>
          </w:p>
        </w:tc>
        <w:tc>
          <w:tcPr>
            <w:tcW w:type="dxa" w:w="1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₹7,999/mo</w:t>
            </w:r>
          </w:p>
        </w:tc>
      </w:tr>
      <w:tr>
        <w:trPr>
          <w:tblHeader w:val="false"/>
        </w:trPr>
        <w:tc>
          <w:tcPr>
            <w:tcW w:type="dxa" w:w="265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User pack</w:t>
            </w:r>
          </w:p>
        </w:tc>
        <w:tc>
          <w:tcPr>
            <w:tcW w:type="dxa" w:w="20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 users</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₹1,499/mo</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₹2,499/mo</w:t>
            </w:r>
          </w:p>
        </w:tc>
        <w:tc>
          <w:tcPr>
            <w:tcW w:type="dxa" w:w="19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₹3,499/mo</w:t>
            </w:r>
          </w:p>
        </w:tc>
      </w:tr>
      <w:tr>
        <w:trPr>
          <w:tblHeader w:val="false"/>
        </w:trPr>
        <w:tc>
          <w:tcPr>
            <w:tcW w:type="dxa" w:w="26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Storage pack</w:t>
            </w:r>
          </w:p>
        </w:tc>
        <w:tc>
          <w:tcPr>
            <w:tcW w:type="dxa" w:w="2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 GB</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₹799/mo</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₹799/mo</w:t>
            </w:r>
          </w:p>
        </w:tc>
        <w:tc>
          <w:tcPr>
            <w:tcW w:type="dxa" w:w="1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₹699/mo</w:t>
            </w:r>
          </w:p>
        </w:tc>
      </w:tr>
      <w:tr>
        <w:trPr>
          <w:tblHeader w:val="false"/>
        </w:trPr>
        <w:tc>
          <w:tcPr>
            <w:tcW w:type="dxa" w:w="265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drafting pack</w:t>
            </w:r>
          </w:p>
        </w:tc>
        <w:tc>
          <w:tcPr>
            <w:tcW w:type="dxa" w:w="20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 drafts/mo</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₹2,499/mo</w:t>
            </w:r>
          </w:p>
        </w:tc>
        <w:tc>
          <w:tcPr>
            <w:tcW w:type="dxa" w:w="19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₹2,199/mo</w:t>
            </w:r>
          </w:p>
        </w:tc>
      </w:tr>
      <w:tr>
        <w:trPr>
          <w:tblHeader w:val="false"/>
        </w:trPr>
        <w:tc>
          <w:tcPr>
            <w:tcW w:type="dxa" w:w="26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Contract Q&amp;A pack</w:t>
            </w:r>
          </w:p>
        </w:tc>
        <w:tc>
          <w:tcPr>
            <w:tcW w:type="dxa" w:w="2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+500 queries/mo</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₹999/mo</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₹999/mo</w:t>
            </w:r>
          </w:p>
        </w:tc>
        <w:tc>
          <w:tcPr>
            <w:tcW w:type="dxa" w:w="1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₹899/mo</w:t>
            </w:r>
          </w:p>
        </w:tc>
      </w:tr>
      <w:tr>
        <w:trPr>
          <w:tblHeader w:val="false"/>
        </w:trPr>
        <w:tc>
          <w:tcPr>
            <w:tcW w:type="dxa" w:w="265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OCR pack</w:t>
            </w:r>
          </w:p>
        </w:tc>
        <w:tc>
          <w:tcPr>
            <w:tcW w:type="dxa" w:w="20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+2,500 pages/mo</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₹899/mo</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₹899/mo</w:t>
            </w:r>
          </w:p>
        </w:tc>
        <w:tc>
          <w:tcPr>
            <w:tcW w:type="dxa" w:w="19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₹799/mo</w:t>
            </w:r>
          </w:p>
        </w:tc>
      </w:tr>
      <w:tr>
        <w:trPr>
          <w:tblHeader w:val="false"/>
        </w:trPr>
        <w:tc>
          <w:tcPr>
            <w:tcW w:type="dxa" w:w="26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Module</w:t>
            </w:r>
          </w:p>
        </w:tc>
        <w:tc>
          <w:tcPr>
            <w:tcW w:type="dxa" w:w="2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Enterprise arbitration technology on one project</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₹14,999/mo</w:t>
            </w:r>
          </w:p>
        </w:tc>
        <w:tc>
          <w:tcPr>
            <w:tcW w:type="dxa" w:w="1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Included</w:t>
            </w:r>
          </w:p>
        </w:tc>
      </w:tr>
      <w:tr>
        <w:trPr>
          <w:tblHeader w:val="false"/>
        </w:trPr>
        <w:tc>
          <w:tcPr>
            <w:tcW w:type="dxa" w:w="265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API &amp; Integration</w:t>
            </w:r>
          </w:p>
        </w:tc>
        <w:tc>
          <w:tcPr>
            <w:tcW w:type="dxa" w:w="20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REST API, webhooks, ERP connectors</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₹7,999/mo (incl. in Business)</w:t>
            </w:r>
          </w:p>
        </w:tc>
        <w:tc>
          <w:tcPr>
            <w:tcW w:type="dxa" w:w="19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Included</w:t>
            </w:r>
          </w:p>
        </w:tc>
      </w:tr>
      <w:tr>
        <w:trPr>
          <w:tblHeader w:val="false"/>
        </w:trPr>
        <w:tc>
          <w:tcPr>
            <w:tcW w:type="dxa" w:w="265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Priority Support</w:t>
            </w:r>
          </w:p>
        </w:tc>
        <w:tc>
          <w:tcPr>
            <w:tcW w:type="dxa" w:w="20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Priority queue and faster target response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₹2,999/mo</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₹4,999/mo</w:t>
            </w:r>
          </w:p>
        </w:tc>
        <w:tc>
          <w:tcPr>
            <w:tcW w:type="dxa" w:w="19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Included</w:t>
            </w:r>
          </w:p>
        </w:tc>
      </w:tr>
    </w:tbl>
    <w:p>
      <w:pPr>
        <w:spacing w:after="140"/>
      </w:pPr>
    </w:p>
    <w:p>
      <w:pPr>
        <w:pStyle w:val="Heading3"/>
        <w:spacing w:after="100" w:before="200"/>
      </w:pPr>
      <w:r>
        <w:rPr>
          <w:rFonts w:ascii="Calibri" w:cs="Calibri" w:eastAsia="Calibri" w:hAnsi="Calibri"/>
          <w:b/>
          <w:bCs/>
          <w:color w:val="12355B"/>
          <w:sz w:val="21"/>
          <w:szCs w:val="21"/>
        </w:rPr>
        <w:t xml:space="preserve">One-time professional services</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3800"/>
        <w:gridCol w:w="3300"/>
        <w:gridCol w:w="3300"/>
      </w:tblGrid>
      <w:tr>
        <w:trPr>
          <w:tblHeader/>
        </w:trPr>
        <w:tc>
          <w:tcPr>
            <w:tcW w:type="dxa" w:w="38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Service</w:t>
            </w:r>
          </w:p>
        </w:tc>
        <w:tc>
          <w:tcPr>
            <w:tcW w:type="dxa" w:w="33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Scope</w:t>
            </w:r>
          </w:p>
        </w:tc>
        <w:tc>
          <w:tcPr>
            <w:tcW w:type="dxa" w:w="33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Price</w:t>
            </w:r>
          </w:p>
        </w:tc>
      </w:tr>
      <w:tr>
        <w:trPr>
          <w:tblHeader w:val="false"/>
        </w:trPr>
        <w:tc>
          <w:tcPr>
            <w:tcW w:type="dxa" w:w="3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Onboarding and data migration</w:t>
            </w:r>
          </w:p>
        </w:tc>
        <w:tc>
          <w:tcPr>
            <w:tcW w:type="dxa" w:w="3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Lite / Basic</w:t>
            </w:r>
          </w:p>
        </w:tc>
        <w:tc>
          <w:tcPr>
            <w:tcW w:type="dxa" w:w="3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₹25,000</w:t>
            </w:r>
          </w:p>
        </w:tc>
      </w:tr>
      <w:tr>
        <w:trPr>
          <w:tblHeader w:val="false"/>
        </w:trPr>
        <w:tc>
          <w:tcPr>
            <w:tcW w:type="dxa" w:w="38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Onboarding and data migration</w:t>
            </w:r>
          </w:p>
        </w:tc>
        <w:tc>
          <w:tcPr>
            <w:tcW w:type="dxa" w:w="3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Professional / Business</w:t>
            </w:r>
          </w:p>
        </w:tc>
        <w:tc>
          <w:tcPr>
            <w:tcW w:type="dxa" w:w="3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₹75,000</w:t>
            </w:r>
          </w:p>
        </w:tc>
      </w:tr>
      <w:tr>
        <w:trPr>
          <w:tblHeader w:val="false"/>
        </w:trPr>
        <w:tc>
          <w:tcPr>
            <w:tcW w:type="dxa" w:w="3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Onboarding and data migration</w:t>
            </w:r>
          </w:p>
        </w:tc>
        <w:tc>
          <w:tcPr>
            <w:tcW w:type="dxa" w:w="3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Enterprise / Group</w:t>
            </w:r>
          </w:p>
        </w:tc>
        <w:tc>
          <w:tcPr>
            <w:tcW w:type="dxa" w:w="3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₹1,50,000</w:t>
            </w:r>
          </w:p>
        </w:tc>
      </w:tr>
      <w:tr>
        <w:trPr>
          <w:tblHeader w:val="false"/>
        </w:trPr>
        <w:tc>
          <w:tcPr>
            <w:tcW w:type="dxa" w:w="38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Role-based training</w:t>
            </w:r>
          </w:p>
        </w:tc>
        <w:tc>
          <w:tcPr>
            <w:tcW w:type="dxa" w:w="3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Per day, on-site or remote</w:t>
            </w:r>
          </w:p>
        </w:tc>
        <w:tc>
          <w:tcPr>
            <w:tcW w:type="dxa" w:w="33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₹15,000/day</w:t>
            </w:r>
          </w:p>
        </w:tc>
      </w:tr>
      <w:tr>
        <w:trPr>
          <w:tblHeader w:val="false"/>
        </w:trPr>
        <w:tc>
          <w:tcPr>
            <w:tcW w:type="dxa" w:w="38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Custom workflow configuration</w:t>
            </w:r>
          </w:p>
        </w:tc>
        <w:tc>
          <w:tcPr>
            <w:tcW w:type="dxa" w:w="3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Enterprise and above</w:t>
            </w:r>
          </w:p>
        </w:tc>
        <w:tc>
          <w:tcPr>
            <w:tcW w:type="dxa" w:w="33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From ₹1,00,000</w:t>
            </w:r>
          </w:p>
        </w:tc>
      </w:tr>
    </w:tbl>
    <w:p>
      <w:pPr>
        <w:spacing w:after="180"/>
      </w:pPr>
    </w:p>
    <w:p>
      <w:pPr>
        <w:pStyle w:val="Heading2"/>
        <w:spacing w:after="120" w:before="260"/>
      </w:pPr>
      <w:r>
        <w:rPr>
          <w:rFonts w:ascii="Calibri" w:cs="Calibri" w:eastAsia="Calibri" w:hAnsi="Calibri"/>
          <w:b/>
          <w:bCs/>
          <w:color w:val="1F7A8C"/>
          <w:sz w:val="24"/>
          <w:szCs w:val="24"/>
        </w:rPr>
        <w:t xml:space="preserve">E.2  AI-CATE — Dedicated Contract Expert</w:t>
      </w:r>
    </w:p>
    <w:p>
      <w:pPr>
        <w:spacing w:after="120" w:before="0" w:line="260"/>
      </w:pPr>
      <w:r>
        <w:rPr>
          <w:rFonts w:ascii="Calibri" w:cs="Calibri" w:eastAsia="Calibri" w:hAnsi="Calibri"/>
          <w:color w:val="2A2A2A"/>
          <w:sz w:val="20"/>
          <w:szCs w:val="20"/>
        </w:rPr>
        <w:t xml:space="preserve">AI-CATE is expert labour, not software. It is priced against the fully-loaded cost of an Indian contracts professional — ₹18 lakh per year at mid level, ₹30 lakh at senior level — and against how many accounts one expert can realistically carry. The tiers below deliver 46–50% gross margin at the stated coverage ratios.</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500"/>
        <w:gridCol w:w="1750"/>
        <w:gridCol w:w="1750"/>
        <w:gridCol w:w="1500"/>
        <w:gridCol w:w="2900"/>
      </w:tblGrid>
      <w:tr>
        <w:trPr>
          <w:tblHeader/>
        </w:trPr>
        <w:tc>
          <w:tcPr>
            <w:tcW w:type="dxa" w:w="2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Service</w:t>
            </w:r>
          </w:p>
        </w:tc>
        <w:tc>
          <w:tcPr>
            <w:tcW w:type="dxa" w:w="17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Scope</w:t>
            </w:r>
          </w:p>
        </w:tc>
        <w:tc>
          <w:tcPr>
            <w:tcW w:type="dxa" w:w="17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Monthly</w:t>
            </w:r>
          </w:p>
        </w:tc>
        <w:tc>
          <w:tcPr>
            <w:tcW w:type="dxa" w:w="15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Annual</w:t>
            </w:r>
          </w:p>
        </w:tc>
        <w:tc>
          <w:tcPr>
            <w:tcW w:type="dxa" w:w="2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Target response</w:t>
            </w:r>
          </w:p>
        </w:tc>
      </w:tr>
      <w:tr>
        <w:trPr>
          <w:tblHeader w:val="false"/>
        </w:trPr>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 Lite</w:t>
            </w:r>
          </w:p>
        </w:tc>
        <w:tc>
          <w:tcPr>
            <w:tcW w:type="dxa" w:w="17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Organisation, shared expert pool, 8 expert-hours/mo</w:t>
            </w:r>
          </w:p>
        </w:tc>
        <w:tc>
          <w:tcPr>
            <w:tcW w:type="dxa" w:w="17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₹34,999</w:t>
            </w:r>
          </w:p>
        </w:tc>
        <w:tc>
          <w:tcPr>
            <w:tcW w:type="dxa" w:w="15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₹3,49,990</w:t>
            </w:r>
          </w:p>
        </w:tc>
        <w:tc>
          <w:tcPr>
            <w:tcW w:type="dxa" w:w="2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5 working days</w:t>
            </w:r>
          </w:p>
        </w:tc>
      </w:tr>
      <w:tr>
        <w:trPr>
          <w:tblHeader w:val="false"/>
        </w:trPr>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 Project</w:t>
            </w:r>
          </w:p>
        </w:tc>
        <w:tc>
          <w:tcPr>
            <w:tcW w:type="dxa" w:w="17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One named project, dedicated expert</w:t>
            </w:r>
          </w:p>
        </w:tc>
        <w:tc>
          <w:tcPr>
            <w:tcW w:type="dxa" w:w="17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₹99,999</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₹9,99,990</w:t>
            </w:r>
          </w:p>
        </w:tc>
        <w:tc>
          <w:tcPr>
            <w:tcW w:type="dxa" w:w="2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2–3 working days</w:t>
            </w:r>
          </w:p>
        </w:tc>
      </w:tr>
      <w:tr>
        <w:trPr>
          <w:tblHeader w:val="false"/>
        </w:trPr>
        <w:tc>
          <w:tcPr>
            <w:tcW w:type="dxa" w:w="25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 Organisation</w:t>
            </w:r>
          </w:p>
        </w:tc>
        <w:tc>
          <w:tcPr>
            <w:tcW w:type="dxa" w:w="17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Up to 3 named projects</w:t>
            </w:r>
          </w:p>
        </w:tc>
        <w:tc>
          <w:tcPr>
            <w:tcW w:type="dxa" w:w="17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₹2,49,999</w:t>
            </w:r>
          </w:p>
        </w:tc>
        <w:tc>
          <w:tcPr>
            <w:tcW w:type="dxa" w:w="15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₹24,99,990</w:t>
            </w:r>
          </w:p>
        </w:tc>
        <w:tc>
          <w:tcPr>
            <w:tcW w:type="dxa" w:w="29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2–3 working days</w:t>
            </w:r>
          </w:p>
        </w:tc>
      </w:tr>
      <w:tr>
        <w:trPr>
          <w:tblHeader w:val="false"/>
        </w:trPr>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 additional project</w:t>
            </w:r>
          </w:p>
        </w:tc>
        <w:tc>
          <w:tcPr>
            <w:tcW w:type="dxa" w:w="17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Each project beyond the first three</w:t>
            </w:r>
          </w:p>
        </w:tc>
        <w:tc>
          <w:tcPr>
            <w:tcW w:type="dxa" w:w="175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₹69,999</w:t>
            </w:r>
          </w:p>
        </w:tc>
        <w:tc>
          <w:tcPr>
            <w:tcW w:type="dxa" w:w="15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₹6,99,990</w:t>
            </w:r>
          </w:p>
        </w:tc>
        <w:tc>
          <w:tcPr>
            <w:tcW w:type="dxa" w:w="2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2–3 working days</w:t>
            </w:r>
          </w:p>
        </w:tc>
      </w:tr>
    </w:tbl>
    <w:p>
      <w:pPr>
        <w:spacing w:after="100"/>
      </w:pPr>
    </w:p>
    <w:p>
      <w:pPr>
        <w:spacing w:after="120" w:before="0" w:line="260"/>
      </w:pPr>
      <w:r>
        <w:rPr>
          <w:rFonts w:ascii="Calibri" w:cs="Calibri" w:eastAsia="Calibri" w:hAnsi="Calibri"/>
          <w:color w:val="5A6672"/>
          <w:sz w:val="17"/>
          <w:szCs w:val="17"/>
        </w:rPr>
        <w:t xml:space="preserve">The organisation package at ₹2,49,999 is roughly 17% below three project packages bought separately, which is the intended incentive to consolidate. Minimum term is six months. Coverage must be recorded against named projects, and the additional-project count must be auditable — neither structure exists today (Gap 7).</w:t>
      </w:r>
    </w:p>
    <w:p>
      <w:pPr>
        <w:spacing w:after="120"/>
      </w:pPr>
    </w:p>
    <w:p>
      <w:pPr>
        <w:pStyle w:val="Heading3"/>
        <w:spacing w:after="100" w:before="200"/>
      </w:pPr>
      <w:r>
        <w:rPr>
          <w:rFonts w:ascii="Calibri" w:cs="Calibri" w:eastAsia="Calibri" w:hAnsi="Calibri"/>
          <w:b/>
          <w:bCs/>
          <w:color w:val="12355B"/>
          <w:sz w:val="21"/>
          <w:szCs w:val="21"/>
        </w:rPr>
        <w:t xml:space="preserve">What AI-CATE includes</w:t>
      </w:r>
    </w:p>
    <w:p>
      <w:pPr>
        <w:pStyle w:val="ListParagraph"/>
        <w:numPr>
          <w:ilvl w:val="0"/>
          <w:numId w:val="2"/>
        </w:numPr>
        <w:spacing w:after="60" w:line="250"/>
      </w:pPr>
      <w:r>
        <w:rPr>
          <w:rFonts w:ascii="Calibri" w:cs="Calibri" w:eastAsia="Calibri" w:hAnsi="Calibri"/>
          <w:color w:val="2A2A2A"/>
          <w:sz w:val="19"/>
          <w:szCs w:val="19"/>
        </w:rPr>
        <w:t xml:space="preserve">A named contract expert who carries project familiarity across the engagement</w:t>
      </w:r>
    </w:p>
    <w:p>
      <w:pPr>
        <w:pStyle w:val="ListParagraph"/>
        <w:numPr>
          <w:ilvl w:val="0"/>
          <w:numId w:val="2"/>
        </w:numPr>
        <w:spacing w:after="60" w:line="250"/>
      </w:pPr>
      <w:r>
        <w:rPr>
          <w:rFonts w:ascii="Calibri" w:cs="Calibri" w:eastAsia="Calibri" w:hAnsi="Calibri"/>
          <w:color w:val="2A2A2A"/>
          <w:sz w:val="19"/>
          <w:szCs w:val="19"/>
        </w:rPr>
        <w:t xml:space="preserve">Drafting and review of contractual correspondence, notices and replies</w:t>
      </w:r>
    </w:p>
    <w:p>
      <w:pPr>
        <w:pStyle w:val="ListParagraph"/>
        <w:numPr>
          <w:ilvl w:val="0"/>
          <w:numId w:val="2"/>
        </w:numPr>
        <w:spacing w:after="60" w:line="250"/>
      </w:pPr>
      <w:r>
        <w:rPr>
          <w:rFonts w:ascii="Calibri" w:cs="Calibri" w:eastAsia="Calibri" w:hAnsi="Calibri"/>
          <w:color w:val="2A2A2A"/>
          <w:sz w:val="19"/>
          <w:szCs w:val="19"/>
        </w:rPr>
        <w:t xml:space="preserve">Claim-support drafting, contract clause review, contract administration guidance</w:t>
      </w:r>
    </w:p>
    <w:p>
      <w:pPr>
        <w:pStyle w:val="ListParagraph"/>
        <w:numPr>
          <w:ilvl w:val="0"/>
          <w:numId w:val="2"/>
        </w:numPr>
        <w:spacing w:after="60" w:line="250"/>
      </w:pPr>
      <w:r>
        <w:rPr>
          <w:rFonts w:ascii="Calibri" w:cs="Calibri" w:eastAsia="Calibri" w:hAnsi="Calibri"/>
          <w:color w:val="2A2A2A"/>
          <w:sz w:val="19"/>
          <w:szCs w:val="19"/>
        </w:rPr>
        <w:t xml:space="preserve">Evidence and document review, chronology review, contractual issue analysis</w:t>
      </w:r>
    </w:p>
    <w:p>
      <w:pPr>
        <w:pStyle w:val="ListParagraph"/>
        <w:numPr>
          <w:ilvl w:val="0"/>
          <w:numId w:val="2"/>
        </w:numPr>
        <w:spacing w:after="60" w:line="250"/>
      </w:pPr>
      <w:r>
        <w:rPr>
          <w:rFonts w:ascii="Calibri" w:cs="Calibri" w:eastAsia="Calibri" w:hAnsi="Calibri"/>
          <w:color w:val="2A2A2A"/>
          <w:sz w:val="19"/>
          <w:szCs w:val="19"/>
        </w:rPr>
        <w:t xml:space="preserve">Draft consistency review and coordination with project personnel</w:t>
      </w:r>
    </w:p>
    <w:p>
      <w:pPr>
        <w:pStyle w:val="ListParagraph"/>
        <w:numPr>
          <w:ilvl w:val="0"/>
          <w:numId w:val="2"/>
        </w:numPr>
        <w:spacing w:after="60" w:line="250"/>
      </w:pPr>
      <w:r>
        <w:rPr>
          <w:rFonts w:ascii="Calibri" w:cs="Calibri" w:eastAsia="Calibri" w:hAnsi="Calibri"/>
          <w:color w:val="2A2A2A"/>
          <w:sz w:val="19"/>
          <w:szCs w:val="19"/>
        </w:rPr>
        <w:t xml:space="preserve">Priority queue ahead of standard platform support</w:t>
      </w:r>
    </w:p>
    <w:p>
      <w:pPr>
        <w:spacing w:after="160"/>
      </w:pPr>
    </w:p>
    <w:p>
      <w:pPr>
        <w:pStyle w:val="Heading2"/>
        <w:spacing w:after="120" w:before="260"/>
      </w:pPr>
      <w:r>
        <w:rPr>
          <w:rFonts w:ascii="Calibri" w:cs="Calibri" w:eastAsia="Calibri" w:hAnsi="Calibri"/>
          <w:b/>
          <w:bCs/>
          <w:color w:val="1F7A8C"/>
          <w:sz w:val="24"/>
          <w:szCs w:val="24"/>
        </w:rPr>
        <w:t xml:space="preserve">E.3  Dedicated Arbitration Support</w:t>
      </w:r>
    </w:p>
    <w:p>
      <w:pPr>
        <w:spacing w:after="120" w:before="0" w:line="260"/>
      </w:pPr>
      <w:r>
        <w:rPr>
          <w:rFonts w:ascii="Calibri" w:cs="Calibri" w:eastAsia="Calibri" w:hAnsi="Calibri"/>
          <w:color w:val="2A2A2A"/>
          <w:sz w:val="20"/>
          <w:szCs w:val="20"/>
        </w:rPr>
        <w:t xml:space="preserve">Arbitration specialists cost more and carry fewer concurrent matters. Pricing reflects both. This is sold per matter, never per portfolio — an organisation with one project in arbitration should never be asked to buy arbitration support for the other four.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900"/>
        <w:gridCol w:w="2400"/>
        <w:gridCol w:w="1750"/>
        <w:gridCol w:w="1750"/>
        <w:gridCol w:w="1600"/>
      </w:tblGrid>
      <w:tr>
        <w:trPr>
          <w:tblHeader/>
        </w:trPr>
        <w:tc>
          <w:tcPr>
            <w:tcW w:type="dxa" w:w="2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Service</w:t>
            </w:r>
          </w:p>
        </w:tc>
        <w:tc>
          <w:tcPr>
            <w:tcW w:type="dxa" w:w="24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Scope</w:t>
            </w:r>
          </w:p>
        </w:tc>
        <w:tc>
          <w:tcPr>
            <w:tcW w:type="dxa" w:w="17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Monthly</w:t>
            </w:r>
          </w:p>
        </w:tc>
        <w:tc>
          <w:tcPr>
            <w:tcW w:type="dxa" w:w="175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Minimum term</w:t>
            </w:r>
          </w:p>
        </w:tc>
        <w:tc>
          <w:tcPr>
            <w:tcW w:type="dxa" w:w="16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Target response</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Arbitration Retainer</w:t>
            </w:r>
          </w:p>
        </w:tc>
        <w:tc>
          <w:tcPr>
            <w:tcW w:type="dxa" w:w="24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One matter, low intensity — monitoring, review, advice</w:t>
            </w:r>
          </w:p>
        </w:tc>
        <w:tc>
          <w:tcPr>
            <w:tcW w:type="dxa" w:w="17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₹74,999</w:t>
            </w:r>
          </w:p>
        </w:tc>
        <w:tc>
          <w:tcPr>
            <w:tcW w:type="dxa" w:w="17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 months</w:t>
            </w:r>
          </w:p>
        </w:tc>
        <w:tc>
          <w:tcPr>
            <w:tcW w:type="dxa" w:w="16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3–5 days</w:t>
            </w:r>
          </w:p>
        </w:tc>
      </w:tr>
      <w:tr>
        <w:trPr>
          <w:tblHeader w:val="false"/>
        </w:trPr>
        <w:tc>
          <w:tcPr>
            <w:tcW w:type="dxa" w:w="29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Dedicated Arbitration Support</w:t>
            </w:r>
          </w:p>
        </w:tc>
        <w:tc>
          <w:tcPr>
            <w:tcW w:type="dxa" w:w="24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One active matter, dedicated specialist</w:t>
            </w:r>
          </w:p>
        </w:tc>
        <w:tc>
          <w:tcPr>
            <w:tcW w:type="dxa" w:w="17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₹1,99,999</w:t>
            </w:r>
          </w:p>
        </w:tc>
        <w:tc>
          <w:tcPr>
            <w:tcW w:type="dxa" w:w="175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 months</w:t>
            </w:r>
          </w:p>
        </w:tc>
        <w:tc>
          <w:tcPr>
            <w:tcW w:type="dxa" w:w="1600"/>
            <w:shd w:fill="EEF3F7"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2–3 days</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Major submission</w:t>
            </w:r>
          </w:p>
        </w:tc>
        <w:tc>
          <w:tcPr>
            <w:tcW w:type="dxa" w:w="24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SoC, SoD, counterclaim or rejoinder</w:t>
            </w:r>
          </w:p>
        </w:tc>
        <w:tc>
          <w:tcPr>
            <w:tcW w:type="dxa" w:w="17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Scoped, from ₹2,50,000</w:t>
            </w:r>
          </w:p>
        </w:tc>
        <w:tc>
          <w:tcPr>
            <w:tcW w:type="dxa" w:w="175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Per submission</w:t>
            </w:r>
          </w:p>
        </w:tc>
        <w:tc>
          <w:tcPr>
            <w:tcW w:type="dxa" w:w="16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Agreed</w:t>
            </w:r>
          </w:p>
        </w:tc>
      </w:tr>
    </w:tbl>
    <w:p>
      <w:pPr>
        <w:spacing w:after="100"/>
      </w:pPr>
    </w:p>
    <w:p>
      <w:pPr>
        <w:spacing w:after="120" w:before="0" w:line="260"/>
      </w:pPr>
      <w:r>
        <w:rPr>
          <w:rFonts w:ascii="Calibri" w:cs="Calibri" w:eastAsia="Calibri" w:hAnsi="Calibri"/>
          <w:color w:val="5A6672"/>
          <w:sz w:val="17"/>
          <w:szCs w:val="17"/>
        </w:rPr>
        <w:t xml:space="preserve">Major submissions are scoped separately because document volume, evidence complexity and pleading requirements vary by an order of magnitude between matters. Presenting a fixed price for them would either lose money or lose the deal.</w:t>
      </w:r>
    </w:p>
    <w:p>
      <w:pPr>
        <w:spacing w:after="140"/>
      </w:pPr>
    </w:p>
    <w:tbl>
      <w:tblPr>
        <w:tblW w:type="dxa" w:w="10400"/>
        <w:tblBorders>
          <w:top w:val="single" w:color="B25E00" w:sz="2"/>
          <w:left w:val="single" w:color="B25E00" w:sz="24"/>
          <w:bottom w:val="single" w:color="B25E00" w:sz="2"/>
          <w:right w:val="single" w:color="B25E00" w:sz="2"/>
          <w:insideH w:val="single" w:color="auto" w:sz="4"/>
          <w:insideV w:val="single" w:color="auto" w:sz="4"/>
        </w:tblBorders>
      </w:tblPr>
      <w:tblGrid>
        <w:gridCol w:w="10400"/>
      </w:tblGrid>
      <w:tr>
        <w:tc>
          <w:tcPr>
            <w:tcW w:type="dxa" w:w="10400"/>
            <w:shd w:fill="EEF3F7" w:color="auto" w:val="clear"/>
            <w:tcMar>
              <w:top w:type="dxa" w:w="120"/>
              <w:left w:type="dxa" w:w="160"/>
              <w:bottom w:type="dxa" w:w="120"/>
              <w:right w:type="dxa" w:w="140"/>
            </w:tcMar>
          </w:tcPr>
          <w:p>
            <w:pPr>
              <w:spacing w:after="50"/>
            </w:pPr>
            <w:r>
              <w:rPr>
                <w:rFonts w:ascii="Calibri" w:cs="Calibri" w:eastAsia="Calibri" w:hAnsi="Calibri"/>
                <w:b/>
                <w:bCs/>
                <w:color w:val="B25E00"/>
                <w:sz w:val="18"/>
                <w:szCs w:val="18"/>
              </w:rPr>
              <w:t xml:space="preserve">SERVICE RESPONSE TIMES ARE TARGETS, NOT GUARANTEES</w:t>
            </w:r>
          </w:p>
          <w:p>
            <w:pPr>
              <w:spacing w:after="0" w:line="250"/>
            </w:pPr>
            <w:r>
              <w:rPr>
                <w:rFonts w:ascii="Calibri" w:cs="Calibri" w:eastAsia="Calibri" w:hAnsi="Calibri"/>
                <w:color w:val="2A2A2A"/>
                <w:sz w:val="19"/>
                <w:szCs w:val="19"/>
              </w:rPr>
              <w:t xml:space="preserve">Publish the response times in the table as target turnaround, not as contractual commitments, unless a specific SLA is separately signed. Complex claims, pleadings, extensive evidence review and urgent submissions should carry separately agreed timelines. This distinction should appear in the terms and in the product UI.</w:t>
            </w:r>
          </w:p>
        </w:tc>
      </w:tr>
    </w:tbl>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F — Gap Analysis Against the Codebase</w:t>
      </w:r>
    </w:p>
    <w:p>
      <w:pPr>
        <w:spacing w:after="120" w:before="0" w:line="260"/>
      </w:pPr>
      <w:r>
        <w:rPr>
          <w:rFonts w:ascii="Calibri" w:cs="Calibri" w:eastAsia="Calibri" w:hAnsi="Calibri"/>
          <w:color w:val="2A2A2A"/>
          <w:sz w:val="20"/>
          <w:szCs w:val="20"/>
        </w:rPr>
        <w:t xml:space="preserve">Fourteen gaps between the proposed model and the implementation, ordered by severity. Gaps 1 and 2 affect customers who are paying today and should be treated as defects rather than roadmap items.</w:t>
      </w:r>
    </w:p>
    <w:p>
      <w:pPr>
        <w:pStyle w:val="Heading2"/>
        <w:spacing w:after="120" w:before="260"/>
      </w:pPr>
      <w:r>
        <w:rPr>
          <w:rFonts w:ascii="Calibri" w:cs="Calibri" w:eastAsia="Calibri" w:hAnsi="Calibri"/>
          <w:b/>
          <w:bCs/>
          <w:color w:val="1F7A8C"/>
          <w:sz w:val="24"/>
          <w:szCs w:val="24"/>
        </w:rPr>
        <w:t xml:space="preserve">F.1  Critical — affects paying customers now</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700"/>
        <w:gridCol w:w="9700"/>
      </w:tblGrid>
      <w:tr>
        <w:trPr>
          <w:tblHeader w:val="false"/>
        </w:trPr>
        <w:tc>
          <w:tcPr>
            <w:tcW w:type="dxa" w:w="700"/>
            <w:shd w:fill="A62B2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8"/>
                <w:szCs w:val="18"/>
              </w:rPr>
              <w:t xml:space="preserve">GAP 1</w:t>
            </w:r>
          </w:p>
        </w:tc>
        <w:tc>
          <w:tcPr>
            <w:tcW w:type="dxa" w:w="97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A62B2B"/>
                <w:sz w:val="18"/>
                <w:szCs w:val="18"/>
              </w:rPr>
              <w:t xml:space="preserve">DMS Starter and DMS Professional grant no contract registers at all</w:t>
            </w:r>
          </w:p>
        </w:tc>
      </w:tr>
    </w:tbl>
    <w:p>
      <w:pPr>
        <w:spacing w:after="120" w:before="0" w:line="260"/>
      </w:pPr>
      <w:r>
        <w:rPr>
          <w:rFonts w:ascii="Calibri" w:cs="Calibri" w:eastAsia="Calibri" w:hAnsi="Calibri"/>
          <w:color w:val="2A2A2A"/>
          <w:sz w:val="20"/>
          <w:szCs w:val="20"/>
        </w:rPr>
        <w:t xml:space="preserve">Every register in the product — claims, variations, bank guarantees, IPC, key dates, insurance, contract master, chronology, tasks, evidence graph, arbitration — is gated behind a module feature key in PERMISSION_FEATURE_REQUIREMENTS (entitlement_service.py, lines 33–133). Those keys are granted from two places: a plan's features dict, or DEFAULT_PLAN_FEATURE_FALLBACKS.</w:t>
      </w:r>
    </w:p>
    <w:p>
      <w:pPr>
        <w:pStyle w:val="ListParagraph"/>
        <w:numPr>
          <w:ilvl w:val="0"/>
          <w:numId w:val="2"/>
        </w:numPr>
        <w:spacing w:after="60" w:line="250"/>
      </w:pPr>
      <w:r>
        <w:rPr>
          <w:rFonts w:ascii="Calibri" w:cs="Calibri" w:eastAsia="Calibri" w:hAnsi="Calibri"/>
          <w:color w:val="2A2A2A"/>
          <w:sz w:val="19"/>
          <w:szCs w:val="19"/>
        </w:rPr>
        <w:t xml:space="preserve">The seeded features for dms_starter are {feature.dms.enabled} only (monetization_service.py:63).</w:t>
      </w:r>
    </w:p>
    <w:p>
      <w:pPr>
        <w:pStyle w:val="ListParagraph"/>
        <w:numPr>
          <w:ilvl w:val="0"/>
          <w:numId w:val="2"/>
        </w:numPr>
        <w:spacing w:after="60" w:line="250"/>
      </w:pPr>
      <w:r>
        <w:rPr>
          <w:rFonts w:ascii="Calibri" w:cs="Calibri" w:eastAsia="Calibri" w:hAnsi="Calibri"/>
          <w:color w:val="2A2A2A"/>
          <w:sz w:val="19"/>
          <w:szCs w:val="19"/>
        </w:rPr>
        <w:t xml:space="preserve">For dms_professional they are {feature.dms.enabled, feature.dms.ocr, feature.dms.advanced_search} (line 84).</w:t>
      </w:r>
    </w:p>
    <w:p>
      <w:pPr>
        <w:pStyle w:val="ListParagraph"/>
        <w:numPr>
          <w:ilvl w:val="0"/>
          <w:numId w:val="2"/>
        </w:numPr>
        <w:spacing w:after="60" w:line="250"/>
      </w:pPr>
      <w:r>
        <w:rPr>
          <w:rFonts w:ascii="Calibri" w:cs="Calibri" w:eastAsia="Calibri" w:hAnsi="Calibri"/>
          <w:color w:val="2A2A2A"/>
          <w:sz w:val="19"/>
          <w:szCs w:val="19"/>
        </w:rPr>
        <w:t xml:space="preserve">Neither code appears in DEFAULT_PLAN_FEATURE_FALLBACKS, which covers only dms_enterprise and the four drafting plans (entitlement_service.py:163–200).</w:t>
      </w:r>
    </w:p>
    <w:p>
      <w:pPr>
        <w:spacing w:after="120" w:before="0" w:line="260"/>
      </w:pPr>
      <w:r>
        <w:rPr>
          <w:rFonts w:ascii="Calibri" w:cs="Calibri" w:eastAsia="Calibri" w:hAnsi="Calibri"/>
          <w:b/>
          <w:bCs/>
          <w:color w:val="A62B2B"/>
          <w:sz w:val="19"/>
          <w:szCs w:val="19"/>
        </w:rPr>
        <w:t xml:space="preserve">Result: a customer paying ₹75,000 per month for DMS Professional can upload documents, run OCR and search — and is denied every register the product is actually sold on. Fix by adding module feature keys to both plan definitions, or by adding fallback entries for both codes.</w:t>
      </w:r>
    </w:p>
    <w:p>
      <w:pPr>
        <w:spacing w:after="140"/>
      </w:pP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700"/>
        <w:gridCol w:w="9700"/>
      </w:tblGrid>
      <w:tr>
        <w:trPr>
          <w:tblHeader w:val="false"/>
        </w:trPr>
        <w:tc>
          <w:tcPr>
            <w:tcW w:type="dxa" w:w="700"/>
            <w:shd w:fill="A62B2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8"/>
                <w:szCs w:val="18"/>
              </w:rPr>
              <w:t xml:space="preserve">GAP 2</w:t>
            </w:r>
          </w:p>
        </w:tc>
        <w:tc>
          <w:tcPr>
            <w:tcW w:type="dxa" w:w="9700"/>
            <w:shd w:fill="EEF3F7" w:color="auto" w:val="clear"/>
            <w:tcMar>
              <w:top w:type="dxa" w:w="70"/>
              <w:left w:type="dxa" w:w="90"/>
              <w:bottom w:type="dxa" w:w="70"/>
              <w:right w:type="dxa" w:w="90"/>
            </w:tcMar>
            <w:vAlign w:val="center"/>
          </w:tcPr>
          <w:p>
            <w:pPr>
              <w:spacing w:after="0" w:line="240"/>
            </w:pPr>
            <w:r>
              <w:rPr>
                <w:rFonts w:ascii="Calibri" w:cs="Calibri" w:eastAsia="Calibri" w:hAnsi="Calibri"/>
                <w:b/>
                <w:bCs/>
                <w:color w:val="A62B2B"/>
                <w:sz w:val="18"/>
                <w:szCs w:val="18"/>
              </w:rPr>
              <w:t xml:space="preserve">The Extra Drafts add-on is billed at ₹30,000/month and grants zero capacity</w:t>
            </w:r>
          </w:p>
        </w:tc>
      </w:tr>
    </w:tbl>
    <w:p>
      <w:pPr>
        <w:spacing w:after="120" w:before="0" w:line="260"/>
      </w:pPr>
      <w:r>
        <w:rPr>
          <w:rFonts w:ascii="Calibri" w:cs="Calibri" w:eastAsia="Calibri" w:hAnsi="Calibri"/>
          <w:color w:val="2A2A2A"/>
          <w:sz w:val="20"/>
          <w:szCs w:val="20"/>
        </w:rPr>
        <w:t xml:space="preserve">addon_extra_drafts declares its capacity under the key limit.drafted_letters_month_addon (monetization_service.py:279). assert_quota_available reads the add-on boost under the base quota key — addon_limits.get(quota_key, 0) where quota_key is limit.drafted_letters_month (entitlement_service.py:508). The keys never match, so the boost resolves to zero and the customer's quota is unchanged.</w:t>
      </w:r>
    </w:p>
    <w:p>
      <w:pPr>
        <w:spacing w:after="120" w:before="0" w:line="260"/>
      </w:pPr>
      <w:r>
        <w:rPr>
          <w:rFonts w:ascii="Calibri" w:cs="Calibri" w:eastAsia="Calibri" w:hAnsi="Calibri"/>
          <w:b/>
          <w:bCs/>
          <w:color w:val="A62B2B"/>
          <w:sz w:val="19"/>
          <w:szCs w:val="19"/>
        </w:rPr>
        <w:t xml:space="preserve">Fix by renaming the add-on's limit key to limit.drafted_letters_month so _addon_limits and assert_quota_available agree. Add a regression test that buys the add-on and asserts the effective limit rises by 25.</w:t>
      </w:r>
    </w:p>
    <w:p>
      <w:pPr>
        <w:spacing w:after="180"/>
      </w:pPr>
    </w:p>
    <w:p>
      <w:pPr>
        <w:pStyle w:val="Heading2"/>
        <w:spacing w:after="120" w:before="260"/>
      </w:pPr>
      <w:r>
        <w:rPr>
          <w:rFonts w:ascii="Calibri" w:cs="Calibri" w:eastAsia="Calibri" w:hAnsi="Calibri"/>
          <w:b/>
          <w:bCs/>
          <w:color w:val="1F7A8C"/>
          <w:sz w:val="24"/>
          <w:szCs w:val="24"/>
        </w:rPr>
        <w:t xml:space="preserve">F.2  High — blocks the proposed model</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700"/>
        <w:gridCol w:w="2500"/>
        <w:gridCol w:w="7200"/>
      </w:tblGrid>
      <w:tr>
        <w:trPr>
          <w:tblHeader/>
        </w:trPr>
        <w:tc>
          <w:tcPr>
            <w:tcW w:type="dxa" w:w="7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t>
            </w:r>
          </w:p>
        </w:tc>
        <w:tc>
          <w:tcPr>
            <w:tcW w:type="dxa" w:w="2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Gap</w:t>
            </w:r>
          </w:p>
        </w:tc>
        <w:tc>
          <w:tcPr>
            <w:tcW w:type="dxa" w:w="72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Detail and required change</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3</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No project entitlement</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limit.projects does not exist in any plan, add-on or enforcement path. It appears in the Phase-0 baseline document as an intended quota key and was never built. Projects are the primary scaling axis of the proposed model, so this is the single largest piece of work: add limit.projects to every plan, add an addon_extra_project capacity add-on, and enforce at project creation</w:t>
            </w:r>
          </w:p>
        </w:tc>
      </w:tr>
      <w:tr>
        <w:trPr>
          <w:tblHeader w:val="false"/>
        </w:trPr>
        <w:tc>
          <w:tcPr>
            <w:tcW w:type="dxa" w:w="7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4</w:t>
            </w:r>
          </w:p>
        </w:tc>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User seats not enforced</w:t>
            </w:r>
          </w:p>
        </w:tc>
        <w:tc>
          <w:tcPr>
            <w:tcW w:type="dxa" w:w="7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max_users and limit.users are stored on plans and returned by get_subscription_summary for display, but no code path blocks user creation or invitation when the limit is reached. Enforce in the user create/invite flow via assert_quota_available</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5</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Storage not enforced</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max_storage_gb and limit.storage_gb are stored and displayed. No aggregation of FileObject.size exists per organisation or project, so there is nothing to check against. Requires a running storage total maintained on upload and delete, then a quota check before accepting an upload</w:t>
            </w:r>
          </w:p>
        </w:tc>
      </w:tr>
      <w:tr>
        <w:trPr>
          <w:tblHeader w:val="false"/>
        </w:trPr>
        <w:tc>
          <w:tcPr>
            <w:tcW w:type="dxa" w:w="7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6</w:t>
            </w:r>
          </w:p>
        </w:tc>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Two plan families cannot coexist</w:t>
            </w:r>
          </w:p>
        </w:tc>
        <w:tc>
          <w:tcPr>
            <w:tcW w:type="dxa" w:w="7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subscription_scope_key enforces one current subscription per (org, project, package). A customer therefore cannot hold dms_professional and drafting_support_basic together. DMS-family customers can never draft; drafting-family customers get DMS modules only through fallbacks. The Basic/Professional/Enterprise ladder described in the v1 plan document does not exist in code. Collapse to the single ladder in Part C</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7</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AI-CATE and arbitration support unimplemented</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No plan code, add-on code or coverage structure exists for either. dedicated_expert_desk is modelled as a plan, so it cannot be layered on top of a core plan under the one-subscription-per-scope rule. The 'three projects included, extras billed' rule has no data structure. Model both as add-ons, and add an ai_cate_coverage record holding organisation_id, included_project_limit, covered_project_ids and additional_project_count</w:t>
            </w:r>
          </w:p>
        </w:tc>
      </w:tr>
    </w:tbl>
    <w:p>
      <w:pPr>
        <w:spacing w:after="180"/>
      </w:pPr>
    </w:p>
    <w:p>
      <w:pPr>
        <w:pStyle w:val="Heading2"/>
        <w:spacing w:after="120" w:before="260"/>
      </w:pPr>
      <w:r>
        <w:rPr>
          <w:rFonts w:ascii="Calibri" w:cs="Calibri" w:eastAsia="Calibri" w:hAnsi="Calibri"/>
          <w:b/>
          <w:bCs/>
          <w:color w:val="1F7A8C"/>
          <w:sz w:val="24"/>
          <w:szCs w:val="24"/>
        </w:rPr>
        <w:t xml:space="preserve">F.3  Medium — correctness and margin risk</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700"/>
        <w:gridCol w:w="2500"/>
        <w:gridCol w:w="7200"/>
      </w:tblGrid>
      <w:tr>
        <w:trPr>
          <w:tblHeader/>
        </w:trPr>
        <w:tc>
          <w:tcPr>
            <w:tcW w:type="dxa" w:w="7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t>
            </w:r>
          </w:p>
        </w:tc>
        <w:tc>
          <w:tcPr>
            <w:tcW w:type="dxa" w:w="2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Gap</w:t>
            </w:r>
          </w:p>
        </w:tc>
        <w:tc>
          <w:tcPr>
            <w:tcW w:type="dxa" w:w="72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Detail and required change</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8</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No matter or dispute scope</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Section 19 of the v1 plan document specifies scope_type: dispute with a matter_id. SubscriptionBase supports organisation, project and package only. Needed for Dedicated Arbitration Support billed per matter, and for the S8 advisory segment</w:t>
            </w:r>
          </w:p>
        </w:tc>
      </w:tr>
      <w:tr>
        <w:trPr>
          <w:tblHeader w:val="false"/>
        </w:trPr>
        <w:tc>
          <w:tcPr>
            <w:tcW w:type="dxa" w:w="7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9</w:t>
            </w:r>
          </w:p>
        </w:tc>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Quota period is the calendar month</w:t>
            </w:r>
          </w:p>
        </w:tc>
        <w:tc>
          <w:tcPr>
            <w:tcW w:type="dxa" w:w="7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Both entitlement_service.py:514 and usage_metering_service.py:117 compute the period as now.replace(day=1). Annual and quarterly subscribers therefore reset on the calendar month rather than their billing anniversary. Use the subscription's current_period_start</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10</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AI cost is uncapped</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DOCUMENT_UPLOAD, OCR_PAGE, ADVANCED_SEARCH and AI_REVIEW are wired into PolicyService, but no plan defines those keys in default_limits, so assert_quota_available returns quota_unlimited for all four. Every tier in Part C states an inclusion for these; they must be populated in default_limits or the margin model does not hold</w:t>
            </w:r>
          </w:p>
        </w:tc>
      </w:tr>
      <w:tr>
        <w:trPr>
          <w:tblHeader w:val="false"/>
        </w:trPr>
        <w:tc>
          <w:tcPr>
            <w:tcW w:type="dxa" w:w="7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11</w:t>
            </w:r>
          </w:p>
        </w:tc>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Add-ons have no quantity</w:t>
            </w:r>
          </w:p>
        </w:tc>
        <w:tc>
          <w:tcPr>
            <w:tcW w:type="dxa" w:w="7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active_add_ons is a List[str] of codes and _addon_limits sums across distinct codes only, so a customer cannot buy three storage packs. Change to a list of {code, quantity} objects, or introduce a subscription_addons collection</w:t>
            </w:r>
          </w:p>
        </w:tc>
      </w:tr>
    </w:tbl>
    <w:p>
      <w:pPr>
        <w:spacing w:after="180"/>
      </w:pPr>
    </w:p>
    <w:p>
      <w:pPr>
        <w:pStyle w:val="Heading2"/>
        <w:spacing w:after="120" w:before="260"/>
      </w:pPr>
      <w:r>
        <w:rPr>
          <w:rFonts w:ascii="Calibri" w:cs="Calibri" w:eastAsia="Calibri" w:hAnsi="Calibri"/>
          <w:b/>
          <w:bCs/>
          <w:color w:val="1F7A8C"/>
          <w:sz w:val="24"/>
          <w:szCs w:val="24"/>
        </w:rPr>
        <w:t xml:space="preserve">F.4  Low — hygiene and commercial polish</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700"/>
        <w:gridCol w:w="2500"/>
        <w:gridCol w:w="7200"/>
      </w:tblGrid>
      <w:tr>
        <w:trPr>
          <w:tblHeader/>
        </w:trPr>
        <w:tc>
          <w:tcPr>
            <w:tcW w:type="dxa" w:w="7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t>
            </w:r>
          </w:p>
        </w:tc>
        <w:tc>
          <w:tcPr>
            <w:tcW w:type="dxa" w:w="25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Gap</w:t>
            </w:r>
          </w:p>
        </w:tc>
        <w:tc>
          <w:tcPr>
            <w:tcW w:type="dxa" w:w="72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Detail and required change</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12</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Fail-open flag</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RBAC_ENTITLEMENT_FAIL_OPEN grants full access whenever the subscriptions collection is empty. This is a deliberate migration aid, but it must be false in production and should be asserted by a startup check</w:t>
            </w:r>
          </w:p>
        </w:tc>
      </w:tr>
      <w:tr>
        <w:trPr>
          <w:tblHeader w:val="false"/>
        </w:trPr>
        <w:tc>
          <w:tcPr>
            <w:tcW w:type="dxa" w:w="7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13</w:t>
            </w:r>
          </w:p>
        </w:tc>
        <w:tc>
          <w:tcPr>
            <w:tcW w:type="dxa" w:w="25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Archive is overpriced</w:t>
            </w:r>
          </w:p>
        </w:tc>
        <w:tc>
          <w:tcPr>
            <w:tcW w:type="dxa" w:w="7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At ₹10,000/month a customer closing a project is better off exporting and leaving. Reprice to ₹2,999 to retain the record, the renewal relationship, and the evidence trail for post-completion claims</w:t>
            </w:r>
          </w:p>
        </w:tc>
      </w:tr>
      <w:tr>
        <w:trPr>
          <w:tblHeader w:val="false"/>
        </w:trPr>
        <w:tc>
          <w:tcPr>
            <w:tcW w:type="dxa" w:w="7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14</w:t>
            </w:r>
          </w:p>
        </w:tc>
        <w:tc>
          <w:tcPr>
            <w:tcW w:type="dxa" w:w="25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No organisation-count entitlement</w:t>
            </w:r>
          </w:p>
        </w:tc>
        <w:tc>
          <w:tcPr>
            <w:tcW w:type="dxa" w:w="7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Groups with multiple legal entities have no way to buy organisation capacity. Add limit.organisations and an addon_extra_org for the Enterprise and Group tiers</w:t>
            </w:r>
          </w:p>
        </w:tc>
      </w:tr>
    </w:tbl>
    <w:p>
      <w:pPr>
        <w:spacing w:after="180"/>
      </w:pPr>
    </w:p>
    <w:p>
      <w:pPr>
        <w:pStyle w:val="Heading2"/>
        <w:spacing w:after="120" w:before="260"/>
      </w:pPr>
      <w:r>
        <w:rPr>
          <w:rFonts w:ascii="Calibri" w:cs="Calibri" w:eastAsia="Calibri" w:hAnsi="Calibri"/>
          <w:b/>
          <w:bCs/>
          <w:color w:val="1F7A8C"/>
          <w:sz w:val="24"/>
          <w:szCs w:val="24"/>
        </w:rPr>
        <w:t xml:space="preserve">F.5  Pricing comparison — current versus proposed</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900"/>
        <w:gridCol w:w="1900"/>
        <w:gridCol w:w="1900"/>
        <w:gridCol w:w="1900"/>
        <w:gridCol w:w="1800"/>
      </w:tblGrid>
      <w:tr>
        <w:trPr>
          <w:tblHeader/>
        </w:trPr>
        <w:tc>
          <w:tcPr>
            <w:tcW w:type="dxa" w:w="2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Plan (current code)</w:t>
            </w:r>
          </w:p>
        </w:tc>
        <w:tc>
          <w:tcPr>
            <w:tcW w:type="dxa" w:w="1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Current /mo</w:t>
            </w:r>
          </w:p>
        </w:tc>
        <w:tc>
          <w:tcPr>
            <w:tcW w:type="dxa" w:w="1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Nearest proposed</w:t>
            </w:r>
          </w:p>
        </w:tc>
        <w:tc>
          <w:tcPr>
            <w:tcW w:type="dxa" w:w="19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Proposed /mo</w:t>
            </w:r>
          </w:p>
        </w:tc>
        <w:tc>
          <w:tcPr>
            <w:tcW w:type="dxa" w:w="1800"/>
            <w:shd w:fill="12355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FFFFFF"/>
                <w:sz w:val="17"/>
                <w:szCs w:val="17"/>
              </w:rPr>
              <w:t xml:space="preserve">Change</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 none —</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 Lite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₹4,999</w:t>
            </w:r>
          </w:p>
        </w:tc>
        <w:tc>
          <w:tcPr>
            <w:tcW w:type="dxa" w:w="1800"/>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New entry point</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dms_starter</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₹25,000</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 Basic</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₹11,999</w:t>
            </w:r>
          </w:p>
        </w:tc>
        <w:tc>
          <w:tcPr>
            <w:tcW w:type="dxa" w:w="18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−52%</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dms_professional</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₹75,000</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 Professional</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₹29,999</w:t>
            </w:r>
          </w:p>
        </w:tc>
        <w:tc>
          <w:tcPr>
            <w:tcW w:type="dxa" w:w="1800"/>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−60%</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drafting_support_basic</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₹1,00,000</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 Professional</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₹29,999</w:t>
            </w:r>
          </w:p>
        </w:tc>
        <w:tc>
          <w:tcPr>
            <w:tcW w:type="dxa" w:w="18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−70%</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contract_correspondence_desk</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₹2,50,000</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 Business</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₹64,999</w:t>
            </w:r>
          </w:p>
        </w:tc>
        <w:tc>
          <w:tcPr>
            <w:tcW w:type="dxa" w:w="1800"/>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−74%</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dms_enterprise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₹2,00,000</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DMS Enterprise</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₹1,29,999</w:t>
            </w:r>
          </w:p>
        </w:tc>
        <w:tc>
          <w:tcPr>
            <w:tcW w:type="dxa" w:w="18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−35%</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claims_commercial_desk</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₹6,00,000</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Enterprise Group</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₹2,49,999</w:t>
            </w:r>
          </w:p>
        </w:tc>
        <w:tc>
          <w:tcPr>
            <w:tcW w:type="dxa" w:w="1800"/>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−58%</w:t>
            </w:r>
          </w:p>
        </w:tc>
      </w:tr>
      <w:tr>
        <w:trPr>
          <w:tblHeader w:val="false"/>
        </w:trPr>
        <w:tc>
          <w:tcPr>
            <w:tcW w:type="dxa" w:w="29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dedicated_expert_desk</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₹0 (POA)</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AI-CATE add-ons</w:t>
            </w:r>
          </w:p>
        </w:tc>
        <w:tc>
          <w:tcPr>
            <w:tcW w:type="dxa" w:w="19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₹34,999–2,49,999</w:t>
            </w:r>
          </w:p>
        </w:tc>
        <w:tc>
          <w:tcPr>
            <w:tcW w:type="dxa" w:w="1800"/>
            <w:shd w:fill="F7F9FB" w:color="auto" w:val="clear"/>
            <w:tcMar>
              <w:top w:type="dxa" w:w="70"/>
              <w:left w:type="dxa" w:w="90"/>
              <w:bottom w:type="dxa" w:w="70"/>
              <w:right w:type="dxa" w:w="90"/>
            </w:tcMar>
            <w:vAlign w:val="center"/>
          </w:tcPr>
          <w:p>
            <w:pPr>
              <w:spacing w:after="0" w:line="240"/>
              <w:jc w:val="center"/>
            </w:pPr>
            <w:r>
              <w:rPr>
                <w:rFonts w:ascii="Calibri" w:cs="Calibri" w:eastAsia="Calibri" w:hAnsi="Calibri"/>
                <w:b/>
                <w:bCs/>
                <w:color w:val="1F7A8C"/>
                <w:sz w:val="17"/>
                <w:szCs w:val="17"/>
              </w:rPr>
              <w:t xml:space="preserve">Now priced</w:t>
            </w:r>
          </w:p>
        </w:tc>
      </w:tr>
      <w:tr>
        <w:trPr>
          <w:tblHeader w:val="false"/>
        </w:trPr>
        <w:tc>
          <w:tcPr>
            <w:tcW w:type="dxa" w:w="29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archive_read_only</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₹10,000</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Archive</w:t>
            </w:r>
          </w:p>
        </w:tc>
        <w:tc>
          <w:tcPr>
            <w:tcW w:type="dxa" w:w="1900"/>
            <w:tcMar>
              <w:top w:type="dxa" w:w="70"/>
              <w:left w:type="dxa" w:w="90"/>
              <w:bottom w:type="dxa" w:w="70"/>
              <w:right w:type="dxa" w:w="90"/>
            </w:tcMar>
            <w:vAlign w:val="center"/>
          </w:tcPr>
          <w:p>
            <w:pPr>
              <w:spacing w:after="0" w:line="240"/>
              <w:jc w:val="center"/>
            </w:pPr>
            <w:r>
              <w:rPr>
                <w:rFonts w:ascii="Calibri" w:cs="Calibri" w:eastAsia="Calibri" w:hAnsi="Calibri"/>
                <w:color w:val="2A2A2A"/>
                <w:sz w:val="17"/>
                <w:szCs w:val="17"/>
              </w:rPr>
              <w:t xml:space="preserve">₹2,999</w:t>
            </w:r>
          </w:p>
        </w:tc>
        <w:tc>
          <w:tcPr>
            <w:tcW w:type="dxa" w:w="1800"/>
            <w:tcMar>
              <w:top w:type="dxa" w:w="70"/>
              <w:left w:type="dxa" w:w="90"/>
              <w:bottom w:type="dxa" w:w="70"/>
              <w:right w:type="dxa" w:w="90"/>
            </w:tcMar>
            <w:vAlign w:val="center"/>
          </w:tcPr>
          <w:p>
            <w:pPr>
              <w:spacing w:after="0" w:line="240"/>
              <w:jc w:val="center"/>
            </w:pPr>
            <w:r>
              <w:rPr>
                <w:rFonts w:ascii="Calibri" w:cs="Calibri" w:eastAsia="Calibri" w:hAnsi="Calibri"/>
                <w:b/>
                <w:bCs/>
                <w:color w:val="1E6B3A"/>
                <w:sz w:val="17"/>
                <w:szCs w:val="17"/>
              </w:rPr>
              <w:t xml:space="preserve">−70%</w:t>
            </w:r>
          </w:p>
        </w:tc>
      </w:tr>
    </w:tbl>
    <w:p>
      <w:pPr>
        <w:spacing w:after="100"/>
      </w:pPr>
    </w:p>
    <w:p>
      <w:pPr>
        <w:spacing w:after="120" w:before="0" w:line="260"/>
      </w:pPr>
      <w:r>
        <w:rPr>
          <w:rFonts w:ascii="Calibri" w:cs="Calibri" w:eastAsia="Calibri" w:hAnsi="Calibri"/>
          <w:color w:val="5A6672"/>
          <w:sz w:val="17"/>
          <w:szCs w:val="17"/>
        </w:rPr>
        <w:t xml:space="preserve">The reductions look severe but the current prices have no market evidence behind them and the top of the current catalogue — ₹6,00,000 per month, ₹72 lakh a year — sits above what most Indian contractors spend on their entire ERP. Revenue moves from a high price against a small addressable market to a moderate price against a large one, with expert services carrying the high-value end.</w:t>
      </w:r>
    </w:p>
    <w:p>
      <w:r>
        <w:br w:type="page"/>
      </w:r>
    </w:p>
    <w:p>
      <w:pPr>
        <w:pStyle w:val="Heading1"/>
        <w:pBdr>
          <w:bottom w:val="single" w:color="1F7A8C" w:sz="12" w:space="6"/>
        </w:pBdr>
        <w:spacing w:after="180" w:before="320"/>
      </w:pPr>
      <w:r>
        <w:rPr>
          <w:rFonts w:ascii="Calibri" w:cs="Calibri" w:eastAsia="Calibri" w:hAnsi="Calibri"/>
          <w:b/>
          <w:bCs/>
          <w:color w:val="12355B"/>
          <w:sz w:val="30"/>
          <w:szCs w:val="30"/>
        </w:rPr>
        <w:t xml:space="preserve">Part G — Upgrade Paths and Final Recommendation</w:t>
      </w:r>
    </w:p>
    <w:p>
      <w:pPr>
        <w:pStyle w:val="Heading2"/>
        <w:spacing w:after="120" w:before="260"/>
      </w:pPr>
      <w:r>
        <w:rPr>
          <w:rFonts w:ascii="Calibri" w:cs="Calibri" w:eastAsia="Calibri" w:hAnsi="Calibri"/>
          <w:b/>
          <w:bCs/>
          <w:color w:val="1F7A8C"/>
          <w:sz w:val="24"/>
          <w:szCs w:val="24"/>
        </w:rPr>
        <w:t xml:space="preserve">G.1  The upgrade ladder</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100"/>
        <w:gridCol w:w="2100"/>
        <w:gridCol w:w="3100"/>
        <w:gridCol w:w="3100"/>
      </w:tblGrid>
      <w:tr>
        <w:trPr>
          <w:tblHeader/>
        </w:trPr>
        <w:tc>
          <w:tcPr>
            <w:tcW w:type="dxa" w:w="21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From</w:t>
            </w:r>
          </w:p>
        </w:tc>
        <w:tc>
          <w:tcPr>
            <w:tcW w:type="dxa" w:w="21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To</w:t>
            </w:r>
          </w:p>
        </w:tc>
        <w:tc>
          <w:tcPr>
            <w:tcW w:type="dxa" w:w="31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Trigger</w:t>
            </w:r>
          </w:p>
        </w:tc>
        <w:tc>
          <w:tcPr>
            <w:tcW w:type="dxa" w:w="31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Monthly delta</w:t>
            </w:r>
          </w:p>
        </w:tc>
      </w:tr>
      <w:tr>
        <w:trPr>
          <w:tblHeader w:val="false"/>
        </w:trPr>
        <w:tc>
          <w:tcPr>
            <w:tcW w:type="dxa" w:w="2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Lite</w:t>
            </w:r>
          </w:p>
        </w:tc>
        <w:tc>
          <w:tcPr>
            <w:tcW w:type="dxa" w:w="2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Basic</w:t>
            </w:r>
          </w:p>
        </w:tc>
        <w:tc>
          <w:tcPr>
            <w:tcW w:type="dxa" w:w="3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2nd project · 6th user · first variation claim</w:t>
            </w:r>
          </w:p>
        </w:tc>
        <w:tc>
          <w:tcPr>
            <w:tcW w:type="dxa" w:w="3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+₹7,000</w:t>
            </w:r>
          </w:p>
        </w:tc>
      </w:tr>
      <w:tr>
        <w:trPr>
          <w:tblHeader w:val="false"/>
        </w:trPr>
        <w:tc>
          <w:tcPr>
            <w:tcW w:type="dxa" w:w="2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Basic</w:t>
            </w:r>
          </w:p>
        </w:tc>
        <w:tc>
          <w:tcPr>
            <w:tcW w:type="dxa" w:w="2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Professional</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Drafting demand · time-barred notice regime · 4th project</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+₹18,000</w:t>
            </w:r>
          </w:p>
        </w:tc>
      </w:tr>
      <w:tr>
        <w:trPr>
          <w:tblHeader w:val="false"/>
        </w:trPr>
        <w:tc>
          <w:tcPr>
            <w:tcW w:type="dxa" w:w="2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Professional</w:t>
            </w:r>
          </w:p>
        </w:tc>
        <w:tc>
          <w:tcPr>
            <w:tcW w:type="dxa" w:w="2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Business</w:t>
            </w:r>
          </w:p>
        </w:tc>
        <w:tc>
          <w:tcPr>
            <w:tcW w:type="dxa" w:w="3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7th project · 40+ users · 2nd project needing arbitration</w:t>
            </w:r>
          </w:p>
        </w:tc>
        <w:tc>
          <w:tcPr>
            <w:tcW w:type="dxa" w:w="3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+₹35,000</w:t>
            </w:r>
          </w:p>
        </w:tc>
      </w:tr>
      <w:tr>
        <w:trPr>
          <w:tblHeader w:val="false"/>
        </w:trPr>
        <w:tc>
          <w:tcPr>
            <w:tcW w:type="dxa" w:w="2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Business</w:t>
            </w:r>
          </w:p>
        </w:tc>
        <w:tc>
          <w:tcPr>
            <w:tcW w:type="dxa" w:w="2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Enterprise</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13th project · 2+ concurrent disputes · SSO required</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+₹65,000</w:t>
            </w:r>
          </w:p>
        </w:tc>
      </w:tr>
      <w:tr>
        <w:trPr>
          <w:tblHeader w:val="false"/>
        </w:trPr>
        <w:tc>
          <w:tcPr>
            <w:tcW w:type="dxa" w:w="2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Enterprise</w:t>
            </w:r>
          </w:p>
        </w:tc>
        <w:tc>
          <w:tcPr>
            <w:tcW w:type="dxa" w:w="2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Group</w:t>
            </w:r>
          </w:p>
        </w:tc>
        <w:tc>
          <w:tcPr>
            <w:tcW w:type="dxa" w:w="3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Multi-entity · dedicated tenancy · negotiated master agreement</w:t>
            </w:r>
          </w:p>
        </w:tc>
        <w:tc>
          <w:tcPr>
            <w:tcW w:type="dxa" w:w="31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+₹1,20,000</w:t>
            </w:r>
          </w:p>
        </w:tc>
      </w:tr>
      <w:tr>
        <w:trPr>
          <w:tblHeader w:val="false"/>
        </w:trPr>
        <w:tc>
          <w:tcPr>
            <w:tcW w:type="dxa" w:w="2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Any</w:t>
            </w:r>
          </w:p>
        </w:tc>
        <w:tc>
          <w:tcPr>
            <w:tcW w:type="dxa" w:w="2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Archive</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Project completion — retain the record instead of exporting</w:t>
            </w:r>
          </w:p>
        </w:tc>
        <w:tc>
          <w:tcPr>
            <w:tcW w:type="dxa" w:w="31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−(to ₹2,999)</w:t>
            </w:r>
          </w:p>
        </w:tc>
      </w:tr>
    </w:tbl>
    <w:p>
      <w:pPr>
        <w:spacing w:after="140"/>
      </w:pPr>
    </w:p>
    <w:p>
      <w:pPr>
        <w:pStyle w:val="Heading3"/>
        <w:spacing w:after="100" w:before="200"/>
      </w:pPr>
      <w:r>
        <w:rPr>
          <w:rFonts w:ascii="Calibri" w:cs="Calibri" w:eastAsia="Calibri" w:hAnsi="Calibri"/>
          <w:b/>
          <w:bCs/>
          <w:color w:val="12355B"/>
          <w:sz w:val="21"/>
          <w:szCs w:val="21"/>
        </w:rPr>
        <w:t xml:space="preserve">Lateral moves that avoid a full upgrade</w:t>
      </w:r>
    </w:p>
    <w:p>
      <w:pPr>
        <w:spacing w:after="120" w:before="0" w:line="260"/>
      </w:pPr>
      <w:r>
        <w:rPr>
          <w:rFonts w:ascii="Calibri" w:cs="Calibri" w:eastAsia="Calibri" w:hAnsi="Calibri"/>
          <w:color w:val="2A2A2A"/>
          <w:sz w:val="20"/>
          <w:szCs w:val="20"/>
        </w:rPr>
        <w:t xml:space="preserve">Not every need should be met by climbing a tier. Three lateral moves protect the customer's budget and ContraClaim's win rate.</w:t>
      </w:r>
    </w:p>
    <w:p>
      <w:pPr>
        <w:pStyle w:val="ListParagraph"/>
        <w:numPr>
          <w:ilvl w:val="0"/>
          <w:numId w:val="2"/>
        </w:numPr>
        <w:spacing w:after="60" w:line="250"/>
      </w:pPr>
      <w:r>
        <w:rPr>
          <w:rFonts w:ascii="Calibri" w:cs="Calibri" w:eastAsia="Calibri" w:hAnsi="Calibri"/>
          <w:b/>
          <w:bCs/>
          <w:sz w:val="19"/>
          <w:szCs w:val="19"/>
        </w:rPr>
        <w:t xml:space="preserve">Project-level upgrade. </w:t>
      </w:r>
      <w:r>
        <w:rPr>
          <w:rFonts w:ascii="Calibri" w:cs="Calibri" w:eastAsia="Calibri" w:hAnsi="Calibri"/>
          <w:sz w:val="19"/>
          <w:szCs w:val="19"/>
        </w:rPr>
        <w:t xml:space="preserve">One project moves to Enterprise while the organisation stays on Professional. The entitlement service already resolves project subscriptions ahead of organisation subscriptions, so this works today.</w:t>
      </w:r>
    </w:p>
    <w:p>
      <w:pPr>
        <w:pStyle w:val="ListParagraph"/>
        <w:numPr>
          <w:ilvl w:val="0"/>
          <w:numId w:val="2"/>
        </w:numPr>
        <w:spacing w:after="60" w:line="250"/>
      </w:pPr>
      <w:r>
        <w:rPr>
          <w:rFonts w:ascii="Calibri" w:cs="Calibri" w:eastAsia="Calibri" w:hAnsi="Calibri"/>
          <w:b/>
          <w:bCs/>
          <w:sz w:val="19"/>
          <w:szCs w:val="19"/>
        </w:rPr>
        <w:t xml:space="preserve">Arbitration Module add-on. </w:t>
      </w:r>
      <w:r>
        <w:rPr>
          <w:rFonts w:ascii="Calibri" w:cs="Calibri" w:eastAsia="Calibri" w:hAnsi="Calibri"/>
          <w:sz w:val="19"/>
          <w:szCs w:val="19"/>
        </w:rPr>
        <w:t xml:space="preserve">₹14,999/month unlocks Enterprise arbitration technology on one project — far easier to approve than a ₹65,000/month tier jump for a single dispute.</w:t>
      </w:r>
    </w:p>
    <w:p>
      <w:pPr>
        <w:pStyle w:val="ListParagraph"/>
        <w:numPr>
          <w:ilvl w:val="0"/>
          <w:numId w:val="2"/>
        </w:numPr>
        <w:spacing w:after="60" w:line="250"/>
      </w:pPr>
      <w:r>
        <w:rPr>
          <w:rFonts w:ascii="Calibri" w:cs="Calibri" w:eastAsia="Calibri" w:hAnsi="Calibri"/>
          <w:b/>
          <w:bCs/>
          <w:sz w:val="19"/>
          <w:szCs w:val="19"/>
        </w:rPr>
        <w:t xml:space="preserve">Capacity packs. </w:t>
      </w:r>
      <w:r>
        <w:rPr>
          <w:rFonts w:ascii="Calibri" w:cs="Calibri" w:eastAsia="Calibri" w:hAnsi="Calibri"/>
          <w:sz w:val="19"/>
          <w:szCs w:val="19"/>
        </w:rPr>
        <w:t xml:space="preserve">A customer at 7 projects on Professional buys one additional project at ₹3,499 rather than moving to Business at +₹35,000. They will move at 9 or 10 projects when the arithmetic turns, and they will do so willingly.</w:t>
      </w:r>
    </w:p>
    <w:p>
      <w:pPr>
        <w:spacing w:after="160"/>
      </w:pPr>
    </w:p>
    <w:p>
      <w:pPr>
        <w:pStyle w:val="Heading2"/>
        <w:spacing w:after="120" w:before="260"/>
      </w:pPr>
      <w:r>
        <w:rPr>
          <w:rFonts w:ascii="Calibri" w:cs="Calibri" w:eastAsia="Calibri" w:hAnsi="Calibri"/>
          <w:b/>
          <w:bCs/>
          <w:color w:val="1F7A8C"/>
          <w:sz w:val="24"/>
          <w:szCs w:val="24"/>
        </w:rPr>
        <w:t xml:space="preserve">G.2  Final recommended model</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2200"/>
        <w:gridCol w:w="8200"/>
      </w:tblGrid>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Core ladder</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Six rungs: Lite ₹4,999 · Basic ₹11,999 · Professional ₹29,999 · Business ₹64,999 · Enterprise ₹1,29,999 · Group from ₹2,49,999. One family, one code path. Drafting is a tier, not a fork</w:t>
            </w:r>
          </w:p>
        </w:tc>
      </w:tr>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Scopes</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Every plan sellable at organisation level or project level. Project subscriptions override organisation inheritance for that project only</w:t>
            </w:r>
          </w:p>
        </w:tc>
      </w:tr>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Scaling axes</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Projects first, then users, storage and AI usage — each with a published pack price. Every axis metered and enforced server-side</w:t>
            </w:r>
          </w:p>
        </w:tc>
      </w:tr>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Billing cadence</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Monthly, quarterly (6.7% off) and annual (16.7% off). Both ratios already seeded in the code, so no billing logic changes</w:t>
            </w:r>
          </w:p>
        </w:tc>
      </w:tr>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Managed services</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AI-CATE at three levels plus additional projects; arbitration at two levels plus scoped submissions. Sold as add-ons layered on a core plan, never as competing plans</w:t>
            </w:r>
          </w:p>
        </w:tc>
      </w:tr>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Retention</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Archive at ₹2,999 keeps completed projects and their evidence trail inside the platform</w:t>
            </w:r>
          </w:p>
        </w:tc>
      </w:tr>
      <w:tr>
        <w:trPr>
          <w:tblHeader w:val="false"/>
        </w:trPr>
        <w:tc>
          <w:tcPr>
            <w:tcW w:type="dxa" w:w="22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8"/>
                <w:szCs w:val="18"/>
              </w:rPr>
              <w:t xml:space="preserve">Currency</w:t>
            </w:r>
          </w:p>
        </w:tc>
        <w:tc>
          <w:tcPr>
            <w:tcW w:type="dxa" w:w="8200"/>
            <w:tcMar>
              <w:top w:type="dxa" w:w="70"/>
              <w:left w:type="dxa" w:w="90"/>
              <w:bottom w:type="dxa" w:w="70"/>
              <w:right w:type="dxa" w:w="90"/>
            </w:tcMar>
            <w:vAlign w:val="center"/>
          </w:tcPr>
          <w:p>
            <w:pPr>
              <w:spacing w:after="0" w:line="240"/>
            </w:pPr>
            <w:r>
              <w:rPr>
                <w:rFonts w:ascii="Calibri" w:cs="Calibri" w:eastAsia="Calibri" w:hAnsi="Calibri"/>
                <w:color w:val="2A2A2A"/>
                <w:sz w:val="18"/>
                <w:szCs w:val="18"/>
              </w:rPr>
              <w:t xml:space="preserve">INR, stored in paise, exclusive of GST — matching the existing Razorpay integration</w:t>
            </w:r>
          </w:p>
        </w:tc>
      </w:tr>
    </w:tbl>
    <w:p>
      <w:pPr>
        <w:spacing w:after="180"/>
      </w:pPr>
    </w:p>
    <w:p>
      <w:pPr>
        <w:pStyle w:val="Heading2"/>
        <w:spacing w:after="120" w:before="260"/>
      </w:pPr>
      <w:r>
        <w:rPr>
          <w:rFonts w:ascii="Calibri" w:cs="Calibri" w:eastAsia="Calibri" w:hAnsi="Calibri"/>
          <w:b/>
          <w:bCs/>
          <w:color w:val="1F7A8C"/>
          <w:sz w:val="24"/>
          <w:szCs w:val="24"/>
        </w:rPr>
        <w:t xml:space="preserve">G.3  Sequenced implementation</w:t>
      </w:r>
    </w:p>
    <w:tbl>
      <w:tblPr>
        <w:tblW w:type="dxa" w:w="10400"/>
        <w:tblBorders>
          <w:top w:val="single" w:color="C6D2DC" w:sz="4"/>
          <w:left w:val="single" w:color="C6D2DC" w:sz="4"/>
          <w:bottom w:val="single" w:color="C6D2DC" w:sz="4"/>
          <w:right w:val="single" w:color="C6D2DC" w:sz="4"/>
          <w:insideH w:val="single" w:color="D8E1E8" w:sz="2"/>
          <w:insideV w:val="single" w:color="D8E1E8" w:sz="2"/>
        </w:tblBorders>
      </w:tblPr>
      <w:tblGrid>
        <w:gridCol w:w="900"/>
        <w:gridCol w:w="4200"/>
        <w:gridCol w:w="2600"/>
        <w:gridCol w:w="2700"/>
      </w:tblGrid>
      <w:tr>
        <w:trPr>
          <w:tblHeader/>
        </w:trPr>
        <w:tc>
          <w:tcPr>
            <w:tcW w:type="dxa" w:w="9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Step</w:t>
            </w:r>
          </w:p>
        </w:tc>
        <w:tc>
          <w:tcPr>
            <w:tcW w:type="dxa" w:w="42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Work</w:t>
            </w:r>
          </w:p>
        </w:tc>
        <w:tc>
          <w:tcPr>
            <w:tcW w:type="dxa" w:w="26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Closes</w:t>
            </w:r>
          </w:p>
        </w:tc>
        <w:tc>
          <w:tcPr>
            <w:tcW w:type="dxa" w:w="2700"/>
            <w:shd w:fill="12355B" w:color="auto" w:val="clear"/>
            <w:tcMar>
              <w:top w:type="dxa" w:w="70"/>
              <w:left w:type="dxa" w:w="90"/>
              <w:bottom w:type="dxa" w:w="70"/>
              <w:right w:type="dxa" w:w="90"/>
            </w:tcMar>
            <w:vAlign w:val="center"/>
          </w:tcPr>
          <w:p>
            <w:pPr>
              <w:spacing w:after="0" w:line="240"/>
            </w:pPr>
            <w:r>
              <w:rPr>
                <w:rFonts w:ascii="Calibri" w:cs="Calibri" w:eastAsia="Calibri" w:hAnsi="Calibri"/>
                <w:b/>
                <w:bCs/>
                <w:color w:val="FFFFFF"/>
                <w:sz w:val="17"/>
                <w:szCs w:val="17"/>
              </w:rPr>
              <w:t xml:space="preserve">Why first</w:t>
            </w:r>
          </w:p>
        </w:tc>
      </w:tr>
      <w:tr>
        <w:trPr>
          <w:tblHeader w:val="false"/>
        </w:trPr>
        <w:tc>
          <w:tcPr>
            <w:tcW w:type="dxa" w:w="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w:t>
            </w:r>
          </w:p>
        </w:tc>
        <w:tc>
          <w:tcPr>
            <w:tcW w:type="dxa" w:w="4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Grant module feature keys to every paid plan</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1</w:t>
            </w:r>
          </w:p>
        </w:tc>
        <w:tc>
          <w:tcPr>
            <w:tcW w:type="dxa" w:w="2700"/>
            <w:tcMar>
              <w:top w:type="dxa" w:w="70"/>
              <w:left w:type="dxa" w:w="90"/>
              <w:bottom w:type="dxa" w:w="70"/>
              <w:right w:type="dxa" w:w="90"/>
            </w:tcMar>
            <w:vAlign w:val="center"/>
          </w:tcPr>
          <w:p>
            <w:pPr>
              <w:spacing w:after="0" w:line="240"/>
            </w:pPr>
            <w:r>
              <w:rPr>
                <w:rFonts w:ascii="Calibri" w:cs="Calibri" w:eastAsia="Calibri" w:hAnsi="Calibri"/>
                <w:color w:val="A62B2B"/>
                <w:sz w:val="17"/>
                <w:szCs w:val="17"/>
              </w:rPr>
              <w:t xml:space="preserve">Paying customers are locked out today</w:t>
            </w:r>
          </w:p>
        </w:tc>
      </w:tr>
      <w:tr>
        <w:trPr>
          <w:tblHeader w:val="false"/>
        </w:trPr>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2</w:t>
            </w:r>
          </w:p>
        </w:tc>
        <w:tc>
          <w:tcPr>
            <w:tcW w:type="dxa" w:w="4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Align the add-on limit key with the quota key</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2</w:t>
            </w:r>
          </w:p>
        </w:tc>
        <w:tc>
          <w:tcPr>
            <w:tcW w:type="dxa" w:w="2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A62B2B"/>
                <w:sz w:val="17"/>
                <w:szCs w:val="17"/>
              </w:rPr>
              <w:t xml:space="preserve">Billed capacity is not delivered</w:t>
            </w:r>
          </w:p>
        </w:tc>
      </w:tr>
      <w:tr>
        <w:trPr>
          <w:tblHeader w:val="false"/>
        </w:trPr>
        <w:tc>
          <w:tcPr>
            <w:tcW w:type="dxa" w:w="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3</w:t>
            </w:r>
          </w:p>
        </w:tc>
        <w:tc>
          <w:tcPr>
            <w:tcW w:type="dxa" w:w="4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Reseed the six-rung ladder; retire the drafting family</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Gaps 6, 13</w:t>
            </w:r>
          </w:p>
        </w:tc>
        <w:tc>
          <w:tcPr>
            <w:tcW w:type="dxa" w:w="27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Everything else assumes it</w:t>
            </w:r>
          </w:p>
        </w:tc>
      </w:tr>
      <w:tr>
        <w:trPr>
          <w:tblHeader w:val="false"/>
        </w:trPr>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4</w:t>
            </w:r>
          </w:p>
        </w:tc>
        <w:tc>
          <w:tcPr>
            <w:tcW w:type="dxa" w:w="4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Add limit.projects and enforce at project creation</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3</w:t>
            </w:r>
          </w:p>
        </w:tc>
        <w:tc>
          <w:tcPr>
            <w:tcW w:type="dxa" w:w="2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Primary scaling axis</w:t>
            </w:r>
          </w:p>
        </w:tc>
      </w:tr>
      <w:tr>
        <w:trPr>
          <w:tblHeader w:val="false"/>
        </w:trPr>
        <w:tc>
          <w:tcPr>
            <w:tcW w:type="dxa" w:w="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5</w:t>
            </w:r>
          </w:p>
        </w:tc>
        <w:tc>
          <w:tcPr>
            <w:tcW w:type="dxa" w:w="4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Populate default_limits for all metered AI keys</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10</w:t>
            </w:r>
          </w:p>
        </w:tc>
        <w:tc>
          <w:tcPr>
            <w:tcW w:type="dxa" w:w="27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Protects gross margin</w:t>
            </w:r>
          </w:p>
        </w:tc>
      </w:tr>
      <w:tr>
        <w:trPr>
          <w:tblHeader w:val="false"/>
        </w:trPr>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6</w:t>
            </w:r>
          </w:p>
        </w:tc>
        <w:tc>
          <w:tcPr>
            <w:tcW w:type="dxa" w:w="4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Enforce user seats and storage totals</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Gaps 4, 5</w:t>
            </w:r>
          </w:p>
        </w:tc>
        <w:tc>
          <w:tcPr>
            <w:tcW w:type="dxa" w:w="2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Two more revenue axes</w:t>
            </w:r>
          </w:p>
        </w:tc>
      </w:tr>
      <w:tr>
        <w:trPr>
          <w:tblHeader w:val="false"/>
        </w:trPr>
        <w:tc>
          <w:tcPr>
            <w:tcW w:type="dxa" w:w="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7</w:t>
            </w:r>
          </w:p>
        </w:tc>
        <w:tc>
          <w:tcPr>
            <w:tcW w:type="dxa" w:w="4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Add quantity to add-ons</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11</w:t>
            </w:r>
          </w:p>
        </w:tc>
        <w:tc>
          <w:tcPr>
            <w:tcW w:type="dxa" w:w="27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Capacity packs need it</w:t>
            </w:r>
          </w:p>
        </w:tc>
      </w:tr>
      <w:tr>
        <w:trPr>
          <w:tblHeader w:val="false"/>
        </w:trPr>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8</w:t>
            </w:r>
          </w:p>
        </w:tc>
        <w:tc>
          <w:tcPr>
            <w:tcW w:type="dxa" w:w="4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Model AI-CATE and arbitration as add-ons with coverage records</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7</w:t>
            </w:r>
          </w:p>
        </w:tc>
        <w:tc>
          <w:tcPr>
            <w:tcW w:type="dxa" w:w="2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Highest-value revenue line</w:t>
            </w:r>
          </w:p>
        </w:tc>
      </w:tr>
      <w:tr>
        <w:trPr>
          <w:tblHeader w:val="false"/>
        </w:trPr>
        <w:tc>
          <w:tcPr>
            <w:tcW w:type="dxa" w:w="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9</w:t>
            </w:r>
          </w:p>
        </w:tc>
        <w:tc>
          <w:tcPr>
            <w:tcW w:type="dxa" w:w="4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Move quota periods to the billing anniversary</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9</w:t>
            </w:r>
          </w:p>
        </w:tc>
        <w:tc>
          <w:tcPr>
            <w:tcW w:type="dxa" w:w="27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Correctness for annual plans</w:t>
            </w:r>
          </w:p>
        </w:tc>
      </w:tr>
      <w:tr>
        <w:trPr>
          <w:tblHeader w:val="false"/>
        </w:trPr>
        <w:tc>
          <w:tcPr>
            <w:tcW w:type="dxa" w:w="900"/>
            <w:shd w:fill="F7F9FB" w:color="auto" w:val="clear"/>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10</w:t>
            </w:r>
          </w:p>
        </w:tc>
        <w:tc>
          <w:tcPr>
            <w:tcW w:type="dxa" w:w="42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Add matter scope; add organisation entitlement</w:t>
            </w:r>
          </w:p>
        </w:tc>
        <w:tc>
          <w:tcPr>
            <w:tcW w:type="dxa" w:w="26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Gaps 8, 14</w:t>
            </w:r>
          </w:p>
        </w:tc>
        <w:tc>
          <w:tcPr>
            <w:tcW w:type="dxa" w:w="2700"/>
            <w:shd w:fill="F7F9FB" w:color="auto" w:val="clear"/>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Unlocks S8 and S6</w:t>
            </w:r>
          </w:p>
        </w:tc>
      </w:tr>
      <w:tr>
        <w:trPr>
          <w:tblHeader w:val="false"/>
        </w:trPr>
        <w:tc>
          <w:tcPr>
            <w:tcW w:type="dxa" w:w="900"/>
            <w:tcMar>
              <w:top w:type="dxa" w:w="70"/>
              <w:left w:type="dxa" w:w="90"/>
              <w:bottom w:type="dxa" w:w="70"/>
              <w:right w:type="dxa" w:w="90"/>
            </w:tcMar>
            <w:vAlign w:val="center"/>
          </w:tcPr>
          <w:p>
            <w:pPr>
              <w:spacing w:after="0" w:line="240"/>
            </w:pPr>
            <w:r>
              <w:rPr>
                <w:rFonts w:ascii="Calibri" w:cs="Calibri" w:eastAsia="Calibri" w:hAnsi="Calibri"/>
                <w:b/>
                <w:bCs/>
                <w:color w:val="2A2A2A"/>
                <w:sz w:val="17"/>
                <w:szCs w:val="17"/>
              </w:rPr>
              <w:t xml:space="preserve">11</w:t>
            </w:r>
          </w:p>
        </w:tc>
        <w:tc>
          <w:tcPr>
            <w:tcW w:type="dxa" w:w="42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Assert fail-open is disabled in production</w:t>
            </w:r>
          </w:p>
        </w:tc>
        <w:tc>
          <w:tcPr>
            <w:tcW w:type="dxa" w:w="26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Gap 12</w:t>
            </w:r>
          </w:p>
        </w:tc>
        <w:tc>
          <w:tcPr>
            <w:tcW w:type="dxa" w:w="2700"/>
            <w:tcMar>
              <w:top w:type="dxa" w:w="70"/>
              <w:left w:type="dxa" w:w="90"/>
              <w:bottom w:type="dxa" w:w="70"/>
              <w:right w:type="dxa" w:w="90"/>
            </w:tcMar>
            <w:vAlign w:val="center"/>
          </w:tcPr>
          <w:p>
            <w:pPr>
              <w:spacing w:after="0" w:line="240"/>
            </w:pPr>
            <w:r>
              <w:rPr>
                <w:rFonts w:ascii="Calibri" w:cs="Calibri" w:eastAsia="Calibri" w:hAnsi="Calibri"/>
                <w:color w:val="2A2A2A"/>
                <w:sz w:val="17"/>
                <w:szCs w:val="17"/>
              </w:rPr>
              <w:t xml:space="preserve">Startup safety check</w:t>
            </w:r>
          </w:p>
        </w:tc>
      </w:tr>
    </w:tbl>
    <w:p>
      <w:pPr>
        <w:spacing w:after="200"/>
      </w:pPr>
    </w:p>
    <w:tbl>
      <w:tblPr>
        <w:tblW w:type="dxa" w:w="10400"/>
        <w:tblBorders>
          <w:top w:val="single" w:color="12355B" w:sz="2"/>
          <w:left w:val="single" w:color="12355B" w:sz="24"/>
          <w:bottom w:val="single" w:color="12355B" w:sz="2"/>
          <w:right w:val="single" w:color="12355B" w:sz="2"/>
          <w:insideH w:val="single" w:color="auto" w:sz="4"/>
          <w:insideV w:val="single" w:color="auto" w:sz="4"/>
        </w:tblBorders>
      </w:tblPr>
      <w:tblGrid>
        <w:gridCol w:w="10400"/>
      </w:tblGrid>
      <w:tr>
        <w:tc>
          <w:tcPr>
            <w:tcW w:type="dxa" w:w="10400"/>
            <w:shd w:fill="EEF3F7" w:color="auto" w:val="clear"/>
            <w:tcMar>
              <w:top w:type="dxa" w:w="120"/>
              <w:left w:type="dxa" w:w="160"/>
              <w:bottom w:type="dxa" w:w="120"/>
              <w:right w:type="dxa" w:w="140"/>
            </w:tcMar>
          </w:tcPr>
          <w:p>
            <w:pPr>
              <w:spacing w:after="50"/>
            </w:pPr>
            <w:r>
              <w:rPr>
                <w:rFonts w:ascii="Calibri" w:cs="Calibri" w:eastAsia="Calibri" w:hAnsi="Calibri"/>
                <w:b/>
                <w:bCs/>
                <w:color w:val="12355B"/>
                <w:sz w:val="18"/>
                <w:szCs w:val="18"/>
              </w:rPr>
              <w:t xml:space="preserve">THE ONE-LINE RECOMMENDATION</w:t>
            </w:r>
          </w:p>
          <w:p>
            <w:pPr>
              <w:spacing w:after="0" w:line="250"/>
            </w:pPr>
            <w:r>
              <w:rPr>
                <w:rFonts w:ascii="Calibri" w:cs="Calibri" w:eastAsia="Calibri" w:hAnsi="Calibri"/>
                <w:color w:val="2A2A2A"/>
                <w:sz w:val="19"/>
                <w:szCs w:val="19"/>
              </w:rPr>
              <w:t xml:space="preserve">Collapse the two plan families into one six-rung ladder starting at ₹4,999, make projects the primary thing customers buy more of, meter every AI dimension, and price the expert services as add-ons rather than plans. Do steps 1 and 2 this week regardless of what happens to the rest — customers are paying for capability they cannot currently reach.</w:t>
            </w:r>
          </w:p>
        </w:tc>
      </w:tr>
    </w:tbl>
    <w:sectPr>
      <w:headerReference w:type="default" r:id="rId7"/>
      <w:footerReference w:type="default" r:id="rId8"/>
      <w:pgSz w:w="11906" w:h="16838" w:orient="portrait"/>
      <w:pgMar w:top="900" w:right="760" w:bottom="800" w:left="76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5"/>
        <w:szCs w:val="15"/>
      </w:rPr>
      <w:t xml:space="preserve">Commercial in confidence   ·   Version 2.0   ·   </w:t>
    </w:r>
    <w:r>
      <w:rPr>
        <w:rFonts w:ascii="Calibri" w:cs="Calibri" w:eastAsia="Calibri" w:hAnsi="Calibri"/>
        <w:color w:val="5A66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2DC" w:sz="4" w:space="4"/>
      </w:pBdr>
      <w:spacing w:after="0"/>
    </w:pPr>
    <w:r>
      <w:rPr>
        <w:rFonts w:ascii="Calibri" w:cs="Calibri" w:eastAsia="Calibri" w:hAnsi="Calibri"/>
        <w:color w:val="5A6672"/>
        <w:sz w:val="15"/>
        <w:szCs w:val="15"/>
      </w:rPr>
      <w:t xml:space="preserve">ContraClaim DMS  |  Subscription Structure &amp; Pricing Model —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ContraClaim DMS — Subscription Structure &amp; Pricing Model (India)</dc:title>
  <dc:creator>ContraClaim DMS</dc:creator>
  <dc:description>Commercial subscription design, client segmentation and codebase gap analysis</dc:description>
  <cp:lastModifiedBy>Un-named</cp:lastModifiedBy>
  <cp:revision>1</cp:revision>
  <dcterms:created xsi:type="dcterms:W3CDTF">2026-08-10T15:42:41.082Z</dcterms:created>
  <dcterms:modified xsi:type="dcterms:W3CDTF">2026-08-10T15:42:41.083Z</dcterms:modified>
</cp:coreProperties>
</file>

<file path=docProps/custom.xml><?xml version="1.0" encoding="utf-8"?>
<Properties xmlns="http://schemas.openxmlformats.org/officeDocument/2006/custom-properties" xmlns:vt="http://schemas.openxmlformats.org/officeDocument/2006/docPropsVTypes"/>
</file>