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color w:val="003366"/>
          <w:sz w:val="34"/>
        </w:rPr>
        <w:t>AlphaPulse: A Systematic Review and Benchmarking of Explainable Machine Learning in Market Microstructure and Continuous Auction Profiling</w:t>
      </w:r>
    </w:p>
    <w:p>
      <w:pPr>
        <w:spacing w:after="200"/>
        <w:jc w:val="center"/>
      </w:pPr>
      <w:r>
        <w:rPr>
          <w:rFonts w:ascii="Times New Roman" w:hAnsi="Times New Roman"/>
          <w:i/>
          <w:sz w:val="19"/>
        </w:rPr>
        <w:t>Manish Patil</w:t>
        <w:br/>
        <w:t>Senior Research Investigator, Department of Computer Science &amp; Engineering</w:t>
        <w:br/>
        <w:t>IEEE Student Member • Quantitative Finance &amp; Microstructure Working Group</w:t>
        <w:br/>
        <w:t>Email: manishpatil@ieee.org</w:t>
      </w:r>
    </w:p>
    <w:tbl>
      <w:tblPr>
        <w:tblW w:type="auto" w:w="0"/>
        <w:jc w:val="center"/>
        <w:tblLook w:firstColumn="1" w:firstRow="1" w:lastColumn="0" w:lastRow="0" w:noHBand="0" w:noVBand="1" w:val="04A0"/>
      </w:tblPr>
      <w:tblGrid>
        <w:gridCol w:w="10080"/>
      </w:tblGrid>
      <w:tr>
        <w:tc>
          <w:tcPr>
            <w:tcW w:type="dxa" w:w="10080"/>
            <w:shd w:fill="F2F5F8"/>
            <w:tcMar>
              <w:top w:w="140" w:type="dxa"/>
              <w:bottom w:w="140" w:type="dxa"/>
              <w:left w:w="180" w:type="dxa"/>
              <w:right w:w="180" w:type="dxa"/>
            </w:tcMar>
          </w:tcPr>
          <w:p>
            <w:pPr>
              <w:jc w:val="both"/>
            </w:pPr>
            <w:r>
              <w:rPr>
                <w:rFonts w:ascii="Times New Roman" w:hAnsi="Times New Roman"/>
                <w:b/>
                <w:sz w:val="19"/>
              </w:rPr>
              <w:t xml:space="preserve">Abstract— </w:t>
            </w:r>
            <w:r>
              <w:rPr>
                <w:rFonts w:ascii="Times New Roman" w:hAnsi="Times New Roman"/>
                <w:sz w:val="19"/>
              </w:rPr>
              <w:t>Financial time-series forecasting has historically been dominated by two paradigms: classical technical indicators derived from discrete time aggregations, and high-capacity deep learning architectures optimized for directional price prediction. Both paradigms suffer from fundamental structural limitations. Traditional technical indicators decouple price changes from the underlying volume distribution across price levels, while deep neural networks operate as epistemically opaque black boxes that suffer from performance degradation during market regime transitions. This paper presents a systematic review and empirical framework for market structure analytics grounded in Auction Market Theory (AMT) and Steidlmayer Market Profile mechanics. We examine the mathematical formalization of continuous double auctions, review recent advances in financial Explainable Artificial Intelligence (XAI), and benchmark the AlphaPulse architecture—a framework designed to extract dynamic Value Areas, categorize session structural regimes, and generate deterministic, non-predictive educational insights. Using high-frequency intraday data from the National Stock Exchange of India (NSE) comprising over 465,000 observations, we demonstrate that volume-at-price distributions provide statistically significant structural levels (p &lt; 0.001) that outperform legacy time-aggregated indicators in regime detection and market state transparency.</w:t>
              <w:br/>
              <w:br/>
              <w:t>Index Terms— Auction Market Theory, Market Microstructure, Explainable Artificial Intelligence (XAI), Volume Profile, Regime Classification, Financial Machine Learning, Continuous Double Auctions.</w:t>
            </w:r>
          </w:p>
        </w:tc>
      </w:tr>
    </w:tbl>
    <w:p>
      <w:pPr>
        <w:spacing w:after="160"/>
      </w:pPr>
    </w:p>
    <w:p>
      <w:pPr>
        <w:pStyle w:val="Heading1"/>
        <w:spacing w:before="240" w:after="80"/>
      </w:pPr>
      <w:r>
        <w:rPr>
          <w:rFonts w:ascii="Times New Roman" w:hAnsi="Times New Roman"/>
          <w:b/>
          <w:color w:val="003366"/>
          <w:sz w:val="26"/>
        </w:rPr>
        <w:t>I. INTRODUCTION</w:t>
      </w:r>
    </w:p>
    <w:p>
      <w:pPr>
        <w:spacing w:after="80" w:line="276" w:lineRule="auto"/>
        <w:jc w:val="both"/>
      </w:pPr>
      <w:r>
        <w:rPr>
          <w:rFonts w:ascii="Times New Roman" w:hAnsi="Times New Roman"/>
          <w:i w:val="0"/>
          <w:sz w:val="20"/>
        </w:rPr>
        <w:t>Quantitative analysis of modern financial markets has evolved rapidly with the growth of electronic Central Limit Order Books (CLOB) and algorithmic execution infrastructure. Despite these technological transformations, the prevailing analytical models deployed by retail and semi-institutional market participants remain largely constrained to time-discretized price paths (e.g., standard candlestick or bar charts). These models deploy technical indicators—such as the Relative Strength Index (RSI), Moving Average Convergence Divergence (MACD), Bollinger Bands, and stochastic oscillators—that compute mathematical derivatives solely across linear time increments:</w:t>
      </w:r>
    </w:p>
    <w:tbl>
      <w:tblPr>
        <w:tblW w:type="auto" w:w="0"/>
        <w:jc w:val="center"/>
        <w:tblLayout w:type="fixed"/>
        <w:tblLook w:firstColumn="1" w:firstRow="1" w:lastColumn="0" w:lastRow="0" w:noHBand="0" w:noVBand="1" w:val="04A0"/>
      </w:tblPr>
      <w:tblGrid>
        <w:gridCol w:w="5040"/>
        <w:gridCol w:w="5040"/>
      </w:tblGrid>
      <w:tr>
        <w:tc>
          <w:tcPr>
            <w:tcW w:type="dxa" w:w="8352"/>
            <w:shd w:fill="F8F9FA"/>
            <w:tcMar>
              <w:top w:w="60" w:type="dxa"/>
              <w:bottom w:w="60" w:type="dxa"/>
              <w:left w:w="100" w:type="dxa"/>
              <w:right w:w="100" w:type="dxa"/>
            </w:tcMar>
          </w:tcPr>
          <w:p>
            <w:pPr>
              <w:jc w:val="center"/>
            </w:pPr>
            <w:r>
              <w:rPr>
                <w:rFonts w:ascii="Times New Roman" w:hAnsi="Times New Roman"/>
                <w:i/>
                <w:sz w:val="19"/>
              </w:rPr>
              <w:t>Indicator_t = f(P_close, t)</w:t>
            </w:r>
          </w:p>
        </w:tc>
        <w:tc>
          <w:tcPr>
            <w:tcW w:type="dxa" w:w="1008"/>
            <w:shd w:fill="F8F9FA"/>
            <w:tcMar>
              <w:top w:w="60" w:type="dxa"/>
              <w:bottom w:w="60" w:type="dxa"/>
              <w:left w:w="100" w:type="dxa"/>
              <w:right w:w="100" w:type="dxa"/>
            </w:tcMar>
          </w:tcPr>
          <w:p>
            <w:pPr>
              <w:jc w:val="right"/>
            </w:pPr>
            <w:r>
              <w:rPr>
                <w:rFonts w:ascii="Times New Roman" w:hAnsi="Times New Roman"/>
                <w:b/>
                <w:sz w:val="19"/>
              </w:rPr>
              <w:t>(1)</w:t>
            </w:r>
          </w:p>
        </w:tc>
      </w:tr>
    </w:tbl>
    <w:p>
      <w:pPr>
        <w:spacing w:after="80"/>
      </w:pPr>
    </w:p>
    <w:p>
      <w:pPr>
        <w:spacing w:after="80" w:line="276" w:lineRule="auto"/>
        <w:jc w:val="both"/>
      </w:pPr>
      <w:r>
        <w:rPr>
          <w:rFonts w:ascii="Times New Roman" w:hAnsi="Times New Roman"/>
          <w:i w:val="0"/>
          <w:sz w:val="20"/>
        </w:rPr>
        <w:t>The fundamental flaw in this classical paradigm is dimensional decoupling: it treats traded volume as an exogenous scalar variable at the base of the temporal bar, discarding the conditional distribution of volume across discrete price quanta, P(V | P). Consequently, an identical price movement occurring on thin liquidity is treated identically to one executed with substantial institutional volume participation [1].</w:t>
      </w:r>
    </w:p>
    <w:p>
      <w:pPr>
        <w:spacing w:after="80" w:line="276" w:lineRule="auto"/>
        <w:jc w:val="both"/>
      </w:pPr>
      <w:r>
        <w:rPr>
          <w:rFonts w:ascii="Times New Roman" w:hAnsi="Times New Roman"/>
          <w:i w:val="0"/>
          <w:sz w:val="20"/>
        </w:rPr>
        <w:t>To circumvent the limitations of legacy indicators, quantitative researchers over the past decade turned toward modern machine learning architectures. Early implementations utilized Support Vector Machines (SVMs) and Random Forests to classify price trends. Later waves introduced deep learning systems, including Recurrent Neural Networks (RNNs), Long Short-Term Memory (LSTM) networks, Gated Recurrent Units (GRUs), and Attention-Based Transformers [2]. While these architectures capture non-linear temporal dependencies, they introduce a critical flaw: epistemic opacity. Deep financial models operate as non-linear black boxes. They output probabilistic classification vectors:</w:t>
      </w:r>
    </w:p>
    <w:tbl>
      <w:tblPr>
        <w:tblW w:type="auto" w:w="0"/>
        <w:jc w:val="center"/>
        <w:tblLayout w:type="fixed"/>
        <w:tblLook w:firstColumn="1" w:firstRow="1" w:lastColumn="0" w:lastRow="0" w:noHBand="0" w:noVBand="1" w:val="04A0"/>
      </w:tblPr>
      <w:tblGrid>
        <w:gridCol w:w="5040"/>
        <w:gridCol w:w="5040"/>
      </w:tblGrid>
      <w:tr>
        <w:tc>
          <w:tcPr>
            <w:tcW w:type="dxa" w:w="8352"/>
            <w:shd w:fill="F8F9FA"/>
            <w:tcMar>
              <w:top w:w="60" w:type="dxa"/>
              <w:bottom w:w="60" w:type="dxa"/>
              <w:left w:w="100" w:type="dxa"/>
              <w:right w:w="100" w:type="dxa"/>
            </w:tcMar>
          </w:tcPr>
          <w:p>
            <w:pPr>
              <w:jc w:val="center"/>
            </w:pPr>
            <w:r>
              <w:rPr>
                <w:rFonts w:ascii="Times New Roman" w:hAnsi="Times New Roman"/>
                <w:i/>
                <w:sz w:val="19"/>
              </w:rPr>
              <w:t>y_hat_t in [0, 1]</w:t>
            </w:r>
          </w:p>
        </w:tc>
        <w:tc>
          <w:tcPr>
            <w:tcW w:type="dxa" w:w="1008"/>
            <w:shd w:fill="F8F9FA"/>
            <w:tcMar>
              <w:top w:w="60" w:type="dxa"/>
              <w:bottom w:w="60" w:type="dxa"/>
              <w:left w:w="100" w:type="dxa"/>
              <w:right w:w="100" w:type="dxa"/>
            </w:tcMar>
          </w:tcPr>
          <w:p>
            <w:pPr>
              <w:jc w:val="right"/>
            </w:pPr>
            <w:r>
              <w:rPr>
                <w:rFonts w:ascii="Times New Roman" w:hAnsi="Times New Roman"/>
                <w:b/>
                <w:sz w:val="19"/>
              </w:rPr>
              <w:t>(2)</w:t>
            </w:r>
          </w:p>
        </w:tc>
      </w:tr>
    </w:tbl>
    <w:p>
      <w:pPr>
        <w:spacing w:after="80"/>
      </w:pPr>
    </w:p>
    <w:p>
      <w:pPr>
        <w:spacing w:after="80" w:line="276" w:lineRule="auto"/>
        <w:jc w:val="both"/>
      </w:pPr>
      <w:r>
        <w:rPr>
          <w:rFonts w:ascii="Times New Roman" w:hAnsi="Times New Roman"/>
          <w:i w:val="0"/>
          <w:sz w:val="20"/>
        </w:rPr>
        <w:t>These classification vectors are decoupled from underlying market microstructure causality. In financial markets—a non-stationary, adversarial domain characterized by low signal-to-noise ratios—black-box models overfit statistical noise, resulting in severe performance decay during structural regime shifts [3]. Furthermore, global regulatory bodies (e.g., SEC, ESMA, SEBI) increasingly enforce strict transparency, explainability, and consumer-protection mandates. Systems offering automated, ungrounded directional trading signals face severe regulatory risks and consumer skepticism.</w:t>
      </w:r>
    </w:p>
    <w:p>
      <w:pPr>
        <w:spacing w:after="80" w:line="276" w:lineRule="auto"/>
        <w:jc w:val="both"/>
      </w:pPr>
      <w:r>
        <w:rPr>
          <w:rFonts w:ascii="Times New Roman" w:hAnsi="Times New Roman"/>
          <w:i w:val="0"/>
          <w:sz w:val="20"/>
        </w:rPr>
        <w:t>This paper provides a comprehensive review of explainable market microstructure methodologies and evaluates the AlphaPulse framework. Grounded in Auction Market Theory (AMT), AlphaPulse reframes market analytics: rather than generating speculative buy/sell predictions, it analyzes continuous double auctions as thermodynamic balancing mechanisms that alternate between equilibrium (Value Area consolidation) and disequilibrium (directional price discovery) [4].</w:t>
      </w:r>
    </w:p>
    <w:p>
      <w:pPr>
        <w:pStyle w:val="Heading1"/>
        <w:spacing w:before="240" w:after="80"/>
      </w:pPr>
      <w:r>
        <w:rPr>
          <w:rFonts w:ascii="Times New Roman" w:hAnsi="Times New Roman"/>
          <w:b/>
          <w:color w:val="003366"/>
          <w:sz w:val="26"/>
        </w:rPr>
        <w:t>II. THEORETICAL FOUNDATIONS OF AUCTION MARKET THEORY</w:t>
      </w:r>
    </w:p>
    <w:p>
      <w:pPr>
        <w:spacing w:after="80" w:line="276" w:lineRule="auto"/>
        <w:jc w:val="both"/>
      </w:pPr>
      <w:r>
        <w:rPr>
          <w:rFonts w:ascii="Times New Roman" w:hAnsi="Times New Roman"/>
          <w:i w:val="0"/>
          <w:sz w:val="20"/>
        </w:rPr>
        <w:t>Auction Market Theory, pioneered qualitatively by J. Peter Steidlmayer at the Chicago Board of Trade (CBOT), models financial exchanges as continuous, bilateral double auctions whose primary purpose is to facilitate trade [5]. Under this framework, price is an advertising mechanism, time regulates opportunity, and volume measures auction acceptance or rejection.</w:t>
      </w:r>
    </w:p>
    <w:p>
      <w:pPr>
        <w:spacing w:after="80" w:line="276" w:lineRule="auto"/>
        <w:jc w:val="both"/>
      </w:pPr>
      <w:r>
        <w:rPr>
          <w:rFonts w:ascii="Times New Roman" w:hAnsi="Times New Roman"/>
          <w:i w:val="0"/>
          <w:sz w:val="20"/>
        </w:rPr>
        <w:t>The continuous auction establishes two distinct thermodynamic market regimes:</w:t>
      </w:r>
    </w:p>
    <w:p>
      <w:pPr>
        <w:spacing w:after="80" w:line="276" w:lineRule="auto"/>
        <w:jc w:val="both"/>
      </w:pPr>
      <w:r>
        <w:rPr>
          <w:rFonts w:ascii="Times New Roman" w:hAnsi="Times New Roman"/>
          <w:i w:val="0"/>
          <w:sz w:val="20"/>
        </w:rPr>
        <w:t>1) Rotational Balance: Buyers and sellers reach consensus on fair value, resulting in an approximately Gaussian volume distribution across price levels. The central region containing 68.2% (one empirical standard deviation) of the transacted volume is defined as the Value Area (VA):</w:t>
      </w:r>
    </w:p>
    <w:tbl>
      <w:tblPr>
        <w:tblW w:type="auto" w:w="0"/>
        <w:jc w:val="center"/>
        <w:tblLayout w:type="fixed"/>
        <w:tblLook w:firstColumn="1" w:firstRow="1" w:lastColumn="0" w:lastRow="0" w:noHBand="0" w:noVBand="1" w:val="04A0"/>
      </w:tblPr>
      <w:tblGrid>
        <w:gridCol w:w="5040"/>
        <w:gridCol w:w="5040"/>
      </w:tblGrid>
      <w:tr>
        <w:tc>
          <w:tcPr>
            <w:tcW w:type="dxa" w:w="8352"/>
            <w:shd w:fill="F8F9FA"/>
            <w:tcMar>
              <w:top w:w="60" w:type="dxa"/>
              <w:bottom w:w="60" w:type="dxa"/>
              <w:left w:w="100" w:type="dxa"/>
              <w:right w:w="100" w:type="dxa"/>
            </w:tcMar>
          </w:tcPr>
          <w:p>
            <w:pPr>
              <w:jc w:val="center"/>
            </w:pPr>
            <w:r>
              <w:rPr>
                <w:rFonts w:ascii="Times New Roman" w:hAnsi="Times New Roman"/>
                <w:i/>
                <w:sz w:val="19"/>
              </w:rPr>
              <w:t>Integral_{p in VA} H(p) dp = 0.682 * Total Volume</w:t>
            </w:r>
          </w:p>
        </w:tc>
        <w:tc>
          <w:tcPr>
            <w:tcW w:type="dxa" w:w="1008"/>
            <w:shd w:fill="F8F9FA"/>
            <w:tcMar>
              <w:top w:w="60" w:type="dxa"/>
              <w:bottom w:w="60" w:type="dxa"/>
              <w:left w:w="100" w:type="dxa"/>
              <w:right w:w="100" w:type="dxa"/>
            </w:tcMar>
          </w:tcPr>
          <w:p>
            <w:pPr>
              <w:jc w:val="right"/>
            </w:pPr>
            <w:r>
              <w:rPr>
                <w:rFonts w:ascii="Times New Roman" w:hAnsi="Times New Roman"/>
                <w:b/>
                <w:sz w:val="19"/>
              </w:rPr>
              <w:t>(3)</w:t>
            </w:r>
          </w:p>
        </w:tc>
      </w:tr>
    </w:tbl>
    <w:p>
      <w:pPr>
        <w:spacing w:after="80"/>
      </w:pPr>
    </w:p>
    <w:p>
      <w:pPr>
        <w:spacing w:after="80" w:line="276" w:lineRule="auto"/>
        <w:jc w:val="both"/>
      </w:pPr>
      <w:r>
        <w:rPr>
          <w:rFonts w:ascii="Times New Roman" w:hAnsi="Times New Roman"/>
          <w:i w:val="0"/>
          <w:sz w:val="20"/>
        </w:rPr>
        <w:t>where H(p) denotes the empirical volume histogram across discrete price quanta p. The price level with the highest traded volume density is designated the Volume Point of Control (VPOC).</w:t>
      </w:r>
    </w:p>
    <w:p>
      <w:pPr>
        <w:spacing w:after="80" w:line="276" w:lineRule="auto"/>
        <w:jc w:val="both"/>
      </w:pPr>
      <w:r>
        <w:rPr>
          <w:rFonts w:ascii="Times New Roman" w:hAnsi="Times New Roman"/>
          <w:i w:val="0"/>
          <w:sz w:val="20"/>
        </w:rPr>
        <w:t>2) Initiative Imbalance: When new external information enters the market, the existing balance is broken. One cohort (buyers or sellers) aggressively exhausts opposing liquidity, driving prices out of the Value Area in search of new balance levels. These dynamic states are summarized in Table I.</w:t>
      </w:r>
    </w:p>
    <w:p>
      <w:pPr>
        <w:spacing w:before="160" w:after="60"/>
        <w:jc w:val="center"/>
      </w:pPr>
      <w:r>
        <w:rPr>
          <w:rFonts w:ascii="Times New Roman" w:hAnsi="Times New Roman"/>
          <w:b/>
          <w:color w:val="003366"/>
          <w:sz w:val="19"/>
        </w:rPr>
        <w:t>TABLE I: STEIDLMAYER CONTINUOUS AUCTION REGIME TAXONOMY</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1872"/>
            <w:shd w:fill="003366"/>
            <w:tcMar>
              <w:top w:w="100" w:type="dxa"/>
              <w:bottom w:w="100" w:type="dxa"/>
              <w:left w:w="120" w:type="dxa"/>
              <w:right w:w="120" w:type="dxa"/>
            </w:tcMar>
          </w:tcPr>
          <w:p>
            <w:pPr>
              <w:jc w:val="center"/>
            </w:pPr>
            <w:r>
              <w:rPr>
                <w:rFonts w:ascii="Times New Roman" w:hAnsi="Times New Roman"/>
                <w:b/>
                <w:color w:val="FFFFFF"/>
                <w:sz w:val="18"/>
              </w:rPr>
              <w:t>Profile Archetype</w:t>
            </w:r>
          </w:p>
        </w:tc>
        <w:tc>
          <w:tcPr>
            <w:tcW w:type="dxa" w:w="2592"/>
            <w:shd w:fill="003366"/>
            <w:tcMar>
              <w:top w:w="100" w:type="dxa"/>
              <w:bottom w:w="100" w:type="dxa"/>
              <w:left w:w="120" w:type="dxa"/>
              <w:right w:w="120" w:type="dxa"/>
            </w:tcMar>
          </w:tcPr>
          <w:p>
            <w:pPr>
              <w:jc w:val="center"/>
            </w:pPr>
            <w:r>
              <w:rPr>
                <w:rFonts w:ascii="Times New Roman" w:hAnsi="Times New Roman"/>
                <w:b/>
                <w:color w:val="FFFFFF"/>
                <w:sz w:val="18"/>
              </w:rPr>
              <w:t>Geometric Structure</w:t>
            </w:r>
          </w:p>
        </w:tc>
        <w:tc>
          <w:tcPr>
            <w:tcW w:type="dxa" w:w="3312"/>
            <w:shd w:fill="003366"/>
            <w:tcMar>
              <w:top w:w="100" w:type="dxa"/>
              <w:bottom w:w="100" w:type="dxa"/>
              <w:left w:w="120" w:type="dxa"/>
              <w:right w:w="120" w:type="dxa"/>
            </w:tcMar>
          </w:tcPr>
          <w:p>
            <w:pPr>
              <w:jc w:val="center"/>
            </w:pPr>
            <w:r>
              <w:rPr>
                <w:rFonts w:ascii="Times New Roman" w:hAnsi="Times New Roman"/>
                <w:b/>
                <w:color w:val="FFFFFF"/>
                <w:sz w:val="18"/>
              </w:rPr>
              <w:t>Microstructure Dynamic</w:t>
            </w:r>
          </w:p>
        </w:tc>
        <w:tc>
          <w:tcPr>
            <w:tcW w:type="dxa" w:w="2016"/>
            <w:shd w:fill="003366"/>
            <w:tcMar>
              <w:top w:w="100" w:type="dxa"/>
              <w:bottom w:w="100" w:type="dxa"/>
              <w:left w:w="120" w:type="dxa"/>
              <w:right w:w="120" w:type="dxa"/>
            </w:tcMar>
          </w:tcPr>
          <w:p>
            <w:pPr>
              <w:jc w:val="center"/>
            </w:pPr>
            <w:r>
              <w:rPr>
                <w:rFonts w:ascii="Times New Roman" w:hAnsi="Times New Roman"/>
                <w:b/>
                <w:color w:val="FFFFFF"/>
                <w:sz w:val="18"/>
              </w:rPr>
              <w:t>Dominant Participant</w:t>
            </w:r>
          </w:p>
        </w:tc>
      </w:tr>
      <w:tr>
        <w:tc>
          <w:tcPr>
            <w:tcW w:type="dxa" w:w="1872"/>
            <w:shd w:fill="FFFFFF"/>
            <w:tcMar>
              <w:top w:w="70" w:type="dxa"/>
              <w:bottom w:w="70" w:type="dxa"/>
              <w:left w:w="100" w:type="dxa"/>
              <w:right w:w="100" w:type="dxa"/>
            </w:tcMar>
          </w:tcPr>
          <w:p>
            <w:r>
              <w:rPr>
                <w:rFonts w:ascii="Times New Roman" w:hAnsi="Times New Roman"/>
                <w:sz w:val="17"/>
              </w:rPr>
              <w:t>Normal Day</w:t>
            </w:r>
          </w:p>
        </w:tc>
        <w:tc>
          <w:tcPr>
            <w:tcW w:type="dxa" w:w="2592"/>
            <w:shd w:fill="FFFFFF"/>
            <w:tcMar>
              <w:top w:w="70" w:type="dxa"/>
              <w:bottom w:w="70" w:type="dxa"/>
              <w:left w:w="100" w:type="dxa"/>
              <w:right w:w="100" w:type="dxa"/>
            </w:tcMar>
          </w:tcPr>
          <w:p>
            <w:r>
              <w:rPr>
                <w:rFonts w:ascii="Times New Roman" w:hAnsi="Times New Roman"/>
                <w:sz w:val="17"/>
              </w:rPr>
              <w:t>Symmetrical Bell Curve (Gaussian)</w:t>
            </w:r>
          </w:p>
        </w:tc>
        <w:tc>
          <w:tcPr>
            <w:tcW w:type="dxa" w:w="3312"/>
            <w:shd w:fill="FFFFFF"/>
            <w:tcMar>
              <w:top w:w="70" w:type="dxa"/>
              <w:bottom w:w="70" w:type="dxa"/>
              <w:left w:w="100" w:type="dxa"/>
              <w:right w:w="100" w:type="dxa"/>
            </w:tcMar>
          </w:tcPr>
          <w:p>
            <w:r>
              <w:rPr>
                <w:rFonts w:ascii="Times New Roman" w:hAnsi="Times New Roman"/>
                <w:sz w:val="17"/>
              </w:rPr>
              <w:t>Balanced two-sided trade; high liquidity density.</w:t>
            </w:r>
          </w:p>
        </w:tc>
        <w:tc>
          <w:tcPr>
            <w:tcW w:type="dxa" w:w="2016"/>
            <w:shd w:fill="FFFFFF"/>
            <w:tcMar>
              <w:top w:w="70" w:type="dxa"/>
              <w:bottom w:w="70" w:type="dxa"/>
              <w:left w:w="100" w:type="dxa"/>
              <w:right w:w="100" w:type="dxa"/>
            </w:tcMar>
          </w:tcPr>
          <w:p>
            <w:r>
              <w:rPr>
                <w:rFonts w:ascii="Times New Roman" w:hAnsi="Times New Roman"/>
                <w:sz w:val="17"/>
              </w:rPr>
              <w:t>Responsive Participants</w:t>
            </w:r>
          </w:p>
        </w:tc>
      </w:tr>
      <w:tr>
        <w:tc>
          <w:tcPr>
            <w:tcW w:type="dxa" w:w="1872"/>
            <w:shd w:fill="F4F6F9"/>
            <w:tcMar>
              <w:top w:w="70" w:type="dxa"/>
              <w:bottom w:w="70" w:type="dxa"/>
              <w:left w:w="100" w:type="dxa"/>
              <w:right w:w="100" w:type="dxa"/>
            </w:tcMar>
          </w:tcPr>
          <w:p>
            <w:r>
              <w:rPr>
                <w:rFonts w:ascii="Times New Roman" w:hAnsi="Times New Roman"/>
                <w:sz w:val="17"/>
              </w:rPr>
              <w:t>Trend Day</w:t>
            </w:r>
          </w:p>
        </w:tc>
        <w:tc>
          <w:tcPr>
            <w:tcW w:type="dxa" w:w="2592"/>
            <w:shd w:fill="F4F6F9"/>
            <w:tcMar>
              <w:top w:w="70" w:type="dxa"/>
              <w:bottom w:w="70" w:type="dxa"/>
              <w:left w:w="100" w:type="dxa"/>
              <w:right w:w="100" w:type="dxa"/>
            </w:tcMar>
          </w:tcPr>
          <w:p>
            <w:r>
              <w:rPr>
                <w:rFonts w:ascii="Times New Roman" w:hAnsi="Times New Roman"/>
                <w:sz w:val="17"/>
              </w:rPr>
              <w:t>Elongated, Unimodal, High Extension</w:t>
            </w:r>
          </w:p>
        </w:tc>
        <w:tc>
          <w:tcPr>
            <w:tcW w:type="dxa" w:w="3312"/>
            <w:shd w:fill="F4F6F9"/>
            <w:tcMar>
              <w:top w:w="70" w:type="dxa"/>
              <w:bottom w:w="70" w:type="dxa"/>
              <w:left w:w="100" w:type="dxa"/>
              <w:right w:w="100" w:type="dxa"/>
            </w:tcMar>
          </w:tcPr>
          <w:p>
            <w:r>
              <w:rPr>
                <w:rFonts w:ascii="Times New Roman" w:hAnsi="Times New Roman"/>
                <w:sz w:val="17"/>
              </w:rPr>
              <w:t>Aggressive initiative flow; persistent directional drive.</w:t>
            </w:r>
          </w:p>
        </w:tc>
        <w:tc>
          <w:tcPr>
            <w:tcW w:type="dxa" w:w="2016"/>
            <w:shd w:fill="F4F6F9"/>
            <w:tcMar>
              <w:top w:w="70" w:type="dxa"/>
              <w:bottom w:w="70" w:type="dxa"/>
              <w:left w:w="100" w:type="dxa"/>
              <w:right w:w="100" w:type="dxa"/>
            </w:tcMar>
          </w:tcPr>
          <w:p>
            <w:r>
              <w:rPr>
                <w:rFonts w:ascii="Times New Roman" w:hAnsi="Times New Roman"/>
                <w:sz w:val="17"/>
              </w:rPr>
              <w:t>Initiative Participants</w:t>
            </w:r>
          </w:p>
        </w:tc>
      </w:tr>
      <w:tr>
        <w:tc>
          <w:tcPr>
            <w:tcW w:type="dxa" w:w="1872"/>
            <w:shd w:fill="FFFFFF"/>
            <w:tcMar>
              <w:top w:w="70" w:type="dxa"/>
              <w:bottom w:w="70" w:type="dxa"/>
              <w:left w:w="100" w:type="dxa"/>
              <w:right w:w="100" w:type="dxa"/>
            </w:tcMar>
          </w:tcPr>
          <w:p>
            <w:r>
              <w:rPr>
                <w:rFonts w:ascii="Times New Roman" w:hAnsi="Times New Roman"/>
                <w:sz w:val="17"/>
              </w:rPr>
              <w:t>Double Distribution</w:t>
            </w:r>
          </w:p>
        </w:tc>
        <w:tc>
          <w:tcPr>
            <w:tcW w:type="dxa" w:w="2592"/>
            <w:shd w:fill="FFFFFF"/>
            <w:tcMar>
              <w:top w:w="70" w:type="dxa"/>
              <w:bottom w:w="70" w:type="dxa"/>
              <w:left w:w="100" w:type="dxa"/>
              <w:right w:w="100" w:type="dxa"/>
            </w:tcMar>
          </w:tcPr>
          <w:p>
            <w:r>
              <w:rPr>
                <w:rFonts w:ascii="Times New Roman" w:hAnsi="Times New Roman"/>
                <w:sz w:val="17"/>
              </w:rPr>
              <w:t>Bimodal; Two Balanced Regions</w:t>
            </w:r>
          </w:p>
        </w:tc>
        <w:tc>
          <w:tcPr>
            <w:tcW w:type="dxa" w:w="3312"/>
            <w:shd w:fill="FFFFFF"/>
            <w:tcMar>
              <w:top w:w="70" w:type="dxa"/>
              <w:bottom w:w="70" w:type="dxa"/>
              <w:left w:w="100" w:type="dxa"/>
              <w:right w:w="100" w:type="dxa"/>
            </w:tcMar>
          </w:tcPr>
          <w:p>
            <w:r>
              <w:rPr>
                <w:rFonts w:ascii="Times New Roman" w:hAnsi="Times New Roman"/>
                <w:sz w:val="17"/>
              </w:rPr>
              <w:t>Structural breakdown; price shifts from old to new value.</w:t>
            </w:r>
          </w:p>
        </w:tc>
        <w:tc>
          <w:tcPr>
            <w:tcW w:type="dxa" w:w="2016"/>
            <w:shd w:fill="FFFFFF"/>
            <w:tcMar>
              <w:top w:w="70" w:type="dxa"/>
              <w:bottom w:w="70" w:type="dxa"/>
              <w:left w:w="100" w:type="dxa"/>
              <w:right w:w="100" w:type="dxa"/>
            </w:tcMar>
          </w:tcPr>
          <w:p>
            <w:r>
              <w:rPr>
                <w:rFonts w:ascii="Times New Roman" w:hAnsi="Times New Roman"/>
                <w:sz w:val="17"/>
              </w:rPr>
              <w:t>Initiative Breakout</w:t>
            </w:r>
          </w:p>
        </w:tc>
      </w:tr>
      <w:tr>
        <w:tc>
          <w:tcPr>
            <w:tcW w:type="dxa" w:w="1872"/>
            <w:shd w:fill="F4F6F9"/>
            <w:tcMar>
              <w:top w:w="70" w:type="dxa"/>
              <w:bottom w:w="70" w:type="dxa"/>
              <w:left w:w="100" w:type="dxa"/>
              <w:right w:w="100" w:type="dxa"/>
            </w:tcMar>
          </w:tcPr>
          <w:p>
            <w:r>
              <w:rPr>
                <w:rFonts w:ascii="Times New Roman" w:hAnsi="Times New Roman"/>
                <w:sz w:val="17"/>
              </w:rPr>
              <w:t>P-Shaped Profile</w:t>
            </w:r>
          </w:p>
        </w:tc>
        <w:tc>
          <w:tcPr>
            <w:tcW w:type="dxa" w:w="2592"/>
            <w:shd w:fill="F4F6F9"/>
            <w:tcMar>
              <w:top w:w="70" w:type="dxa"/>
              <w:bottom w:w="70" w:type="dxa"/>
              <w:left w:w="100" w:type="dxa"/>
              <w:right w:w="100" w:type="dxa"/>
            </w:tcMar>
          </w:tcPr>
          <w:p>
            <w:r>
              <w:rPr>
                <w:rFonts w:ascii="Times New Roman" w:hAnsi="Times New Roman"/>
                <w:sz w:val="17"/>
              </w:rPr>
              <w:t>Thin lower tail; wide high-volume body</w:t>
            </w:r>
          </w:p>
        </w:tc>
        <w:tc>
          <w:tcPr>
            <w:tcW w:type="dxa" w:w="3312"/>
            <w:shd w:fill="F4F6F9"/>
            <w:tcMar>
              <w:top w:w="70" w:type="dxa"/>
              <w:bottom w:w="70" w:type="dxa"/>
              <w:left w:w="100" w:type="dxa"/>
              <w:right w:w="100" w:type="dxa"/>
            </w:tcMar>
          </w:tcPr>
          <w:p>
            <w:r>
              <w:rPr>
                <w:rFonts w:ascii="Times New Roman" w:hAnsi="Times New Roman"/>
                <w:sz w:val="17"/>
              </w:rPr>
              <w:t>Short covering; responsive buying; buyers in control.</w:t>
            </w:r>
          </w:p>
        </w:tc>
        <w:tc>
          <w:tcPr>
            <w:tcW w:type="dxa" w:w="2016"/>
            <w:shd w:fill="F4F6F9"/>
            <w:tcMar>
              <w:top w:w="70" w:type="dxa"/>
              <w:bottom w:w="70" w:type="dxa"/>
              <w:left w:w="100" w:type="dxa"/>
              <w:right w:w="100" w:type="dxa"/>
            </w:tcMar>
          </w:tcPr>
          <w:p>
            <w:r>
              <w:rPr>
                <w:rFonts w:ascii="Times New Roman" w:hAnsi="Times New Roman"/>
                <w:sz w:val="17"/>
              </w:rPr>
              <w:t>Responsive Buyers</w:t>
            </w:r>
          </w:p>
        </w:tc>
      </w:tr>
      <w:tr>
        <w:tc>
          <w:tcPr>
            <w:tcW w:type="dxa" w:w="1872"/>
            <w:shd w:fill="FFFFFF"/>
            <w:tcMar>
              <w:top w:w="70" w:type="dxa"/>
              <w:bottom w:w="70" w:type="dxa"/>
              <w:left w:w="100" w:type="dxa"/>
              <w:right w:w="100" w:type="dxa"/>
            </w:tcMar>
          </w:tcPr>
          <w:p>
            <w:r>
              <w:rPr>
                <w:rFonts w:ascii="Times New Roman" w:hAnsi="Times New Roman"/>
                <w:sz w:val="17"/>
              </w:rPr>
              <w:t>b-Shaped Profile</w:t>
            </w:r>
          </w:p>
        </w:tc>
        <w:tc>
          <w:tcPr>
            <w:tcW w:type="dxa" w:w="2592"/>
            <w:shd w:fill="FFFFFF"/>
            <w:tcMar>
              <w:top w:w="70" w:type="dxa"/>
              <w:bottom w:w="70" w:type="dxa"/>
              <w:left w:w="100" w:type="dxa"/>
              <w:right w:w="100" w:type="dxa"/>
            </w:tcMar>
          </w:tcPr>
          <w:p>
            <w:r>
              <w:rPr>
                <w:rFonts w:ascii="Times New Roman" w:hAnsi="Times New Roman"/>
                <w:sz w:val="17"/>
              </w:rPr>
              <w:t>Wide high-volume base; thin upper tail</w:t>
            </w:r>
          </w:p>
        </w:tc>
        <w:tc>
          <w:tcPr>
            <w:tcW w:type="dxa" w:w="3312"/>
            <w:shd w:fill="FFFFFF"/>
            <w:tcMar>
              <w:top w:w="70" w:type="dxa"/>
              <w:bottom w:w="70" w:type="dxa"/>
              <w:left w:w="100" w:type="dxa"/>
              <w:right w:w="100" w:type="dxa"/>
            </w:tcMar>
          </w:tcPr>
          <w:p>
            <w:r>
              <w:rPr>
                <w:rFonts w:ascii="Times New Roman" w:hAnsi="Times New Roman"/>
                <w:sz w:val="17"/>
              </w:rPr>
              <w:t>Long liquidation; aggressive selling; sellers in control.</w:t>
            </w:r>
          </w:p>
        </w:tc>
        <w:tc>
          <w:tcPr>
            <w:tcW w:type="dxa" w:w="2016"/>
            <w:shd w:fill="FFFFFF"/>
            <w:tcMar>
              <w:top w:w="70" w:type="dxa"/>
              <w:bottom w:w="70" w:type="dxa"/>
              <w:left w:w="100" w:type="dxa"/>
              <w:right w:w="100" w:type="dxa"/>
            </w:tcMar>
          </w:tcPr>
          <w:p>
            <w:r>
              <w:rPr>
                <w:rFonts w:ascii="Times New Roman" w:hAnsi="Times New Roman"/>
                <w:sz w:val="17"/>
              </w:rPr>
              <w:t>Responsive Sellers</w:t>
            </w:r>
          </w:p>
        </w:tc>
      </w:tr>
      <w:tr>
        <w:tc>
          <w:tcPr>
            <w:tcW w:type="dxa" w:w="1872"/>
            <w:shd w:fill="F4F6F9"/>
            <w:tcMar>
              <w:top w:w="70" w:type="dxa"/>
              <w:bottom w:w="70" w:type="dxa"/>
              <w:left w:w="100" w:type="dxa"/>
              <w:right w:w="100" w:type="dxa"/>
            </w:tcMar>
          </w:tcPr>
          <w:p>
            <w:r>
              <w:rPr>
                <w:rFonts w:ascii="Times New Roman" w:hAnsi="Times New Roman"/>
                <w:sz w:val="17"/>
              </w:rPr>
              <w:t>Neutral Day</w:t>
            </w:r>
          </w:p>
        </w:tc>
        <w:tc>
          <w:tcPr>
            <w:tcW w:type="dxa" w:w="2592"/>
            <w:shd w:fill="F4F6F9"/>
            <w:tcMar>
              <w:top w:w="70" w:type="dxa"/>
              <w:bottom w:w="70" w:type="dxa"/>
              <w:left w:w="100" w:type="dxa"/>
              <w:right w:w="100" w:type="dxa"/>
            </w:tcMar>
          </w:tcPr>
          <w:p>
            <w:r>
              <w:rPr>
                <w:rFonts w:ascii="Times New Roman" w:hAnsi="Times New Roman"/>
                <w:sz w:val="17"/>
              </w:rPr>
              <w:t>Wide Initial Balance; low extension</w:t>
            </w:r>
          </w:p>
        </w:tc>
        <w:tc>
          <w:tcPr>
            <w:tcW w:type="dxa" w:w="3312"/>
            <w:shd w:fill="F4F6F9"/>
            <w:tcMar>
              <w:top w:w="70" w:type="dxa"/>
              <w:bottom w:w="70" w:type="dxa"/>
              <w:left w:w="100" w:type="dxa"/>
              <w:right w:w="100" w:type="dxa"/>
            </w:tcMar>
          </w:tcPr>
          <w:p>
            <w:r>
              <w:rPr>
                <w:rFonts w:ascii="Times New Roman" w:hAnsi="Times New Roman"/>
                <w:sz w:val="17"/>
              </w:rPr>
              <w:t>Balanced market with both buyers and sellers active.</w:t>
            </w:r>
          </w:p>
        </w:tc>
        <w:tc>
          <w:tcPr>
            <w:tcW w:type="dxa" w:w="2016"/>
            <w:shd w:fill="F4F6F9"/>
            <w:tcMar>
              <w:top w:w="70" w:type="dxa"/>
              <w:bottom w:w="70" w:type="dxa"/>
              <w:left w:w="100" w:type="dxa"/>
              <w:right w:w="100" w:type="dxa"/>
            </w:tcMar>
          </w:tcPr>
          <w:p>
            <w:r>
              <w:rPr>
                <w:rFonts w:ascii="Times New Roman" w:hAnsi="Times New Roman"/>
                <w:sz w:val="17"/>
              </w:rPr>
              <w:t>Two-Sided Equilibrium</w:t>
            </w:r>
          </w:p>
        </w:tc>
      </w:tr>
    </w:tbl>
    <w:p>
      <w:pPr>
        <w:spacing w:after="120"/>
      </w:pPr>
    </w:p>
    <w:p>
      <w:pPr>
        <w:spacing w:before="160" w:after="60"/>
        <w:jc w:val="center"/>
      </w:pPr>
      <w:r>
        <w:drawing>
          <wp:inline xmlns:a="http://schemas.openxmlformats.org/drawingml/2006/main" xmlns:pic="http://schemas.openxmlformats.org/drawingml/2006/picture">
            <wp:extent cx="5669280" cy="2551176"/>
            <wp:docPr id="1" name="Picture 1"/>
            <wp:cNvGraphicFramePr>
              <a:graphicFrameLocks noChangeAspect="1"/>
            </wp:cNvGraphicFramePr>
            <a:graphic>
              <a:graphicData uri="http://schemas.openxmlformats.org/drawingml/2006/picture">
                <pic:pic>
                  <pic:nvPicPr>
                    <pic:cNvPr id="0" name="fig1_auction_profile.png"/>
                    <pic:cNvPicPr/>
                  </pic:nvPicPr>
                  <pic:blipFill>
                    <a:blip r:embed="rId9"/>
                    <a:stretch>
                      <a:fillRect/>
                    </a:stretch>
                  </pic:blipFill>
                  <pic:spPr>
                    <a:xfrm>
                      <a:off x="0" y="0"/>
                      <a:ext cx="5669280" cy="2551176"/>
                    </a:xfrm>
                    <a:prstGeom prst="rect"/>
                  </pic:spPr>
                </pic:pic>
              </a:graphicData>
            </a:graphic>
          </wp:inline>
        </w:drawing>
      </w:r>
    </w:p>
    <w:p>
      <w:pPr>
        <w:spacing w:after="160"/>
        <w:jc w:val="center"/>
      </w:pPr>
      <w:r>
        <w:rPr>
          <w:rFonts w:ascii="Times New Roman" w:hAnsi="Times New Roman"/>
          <w:i/>
          <w:color w:val="3C3C3C"/>
          <w:sz w:val="18"/>
        </w:rPr>
        <w:t>Fig. 1. Continuous auction price trajectory (left) and corresponding spatial Volume Profile H(p) (right) displaying the Volume Point of Control (VPOC) and symmetrical 68.2% empirical Value Area boundaries (VAH and VAL).</w:t>
      </w:r>
    </w:p>
    <w:p>
      <w:pPr>
        <w:pStyle w:val="Heading1"/>
        <w:spacing w:before="240" w:after="80"/>
      </w:pPr>
      <w:r>
        <w:rPr>
          <w:rFonts w:ascii="Times New Roman" w:hAnsi="Times New Roman"/>
          <w:b/>
          <w:color w:val="003366"/>
          <w:sz w:val="26"/>
        </w:rPr>
        <w:t>III. SYSTEMATIC LITERATURE REVIEW</w:t>
      </w:r>
    </w:p>
    <w:p>
      <w:pPr>
        <w:spacing w:after="80" w:line="276" w:lineRule="auto"/>
        <w:jc w:val="both"/>
      </w:pPr>
      <w:r>
        <w:rPr>
          <w:rFonts w:ascii="Times New Roman" w:hAnsi="Times New Roman"/>
          <w:i w:val="0"/>
          <w:sz w:val="20"/>
        </w:rPr>
        <w:t>The quantitative finance and computer science literature at the intersection of market microstructure, deep learning, and explainable AI can be categorized into four primary eras:</w:t>
      </w:r>
    </w:p>
    <w:p>
      <w:pPr>
        <w:spacing w:after="80" w:line="276" w:lineRule="auto"/>
        <w:jc w:val="both"/>
      </w:pPr>
      <w:r>
        <w:rPr>
          <w:rFonts w:ascii="Times New Roman" w:hAnsi="Times New Roman"/>
          <w:i w:val="0"/>
          <w:sz w:val="20"/>
        </w:rPr>
        <w:t>A. Classical Econometrics and Continuous Auction Formulations: Fama [6] established the foundation of modern quantitative finance with the Efficient Market Hypothesis (EMH). Kyle [7] provided the mathematical framework for continuous auctions by modeling the interaction between informed traders, uninformed noise traders, and competitive market makers. Kyle's model established that order flow imbalances directly impact price dynamics, formalizing the concept of market depth and liquidity friction.</w:t>
      </w:r>
    </w:p>
    <w:p>
      <w:pPr>
        <w:spacing w:after="80" w:line="276" w:lineRule="auto"/>
        <w:jc w:val="both"/>
      </w:pPr>
      <w:r>
        <w:rPr>
          <w:rFonts w:ascii="Times New Roman" w:hAnsi="Times New Roman"/>
          <w:i w:val="0"/>
          <w:sz w:val="20"/>
        </w:rPr>
        <w:t>B. Statistical Mechanics of Complex Financial Systems: Bouchaud et al. [8] and Cont [9] demonstrated that financial time series exhibit universal non-Gaussian properties, including power-law return distributions, heavy tails, and long-memory volatility clustering. These findings invalidated simple Brownian motion assumptions, demonstrating that order flow distributions exhibit localized clustering around major liquidity pools.</w:t>
      </w:r>
    </w:p>
    <w:p>
      <w:pPr>
        <w:spacing w:after="80" w:line="276" w:lineRule="auto"/>
        <w:jc w:val="both"/>
      </w:pPr>
      <w:r>
        <w:rPr>
          <w:rFonts w:ascii="Times New Roman" w:hAnsi="Times New Roman"/>
          <w:i w:val="0"/>
          <w:sz w:val="20"/>
        </w:rPr>
        <w:t>C. Modern Financial Machine Learning and the Interpretability Gap: López de Prado [10] demonstrated the prevalence of false discoveries in financial machine learning, caused by backtest overfitting. Fischer and Krauss [11] showed that deep LSTM networks could capture non-linear patterns, but noted that their black-box nature made them vulnerable during regime shifts. Gu, Kelly, and Xiu [12] compared multiple ML frameworks, finding superior capacity in neural nets but highlighting the total absence of structural economic interpretability.</w:t>
      </w:r>
    </w:p>
    <w:p>
      <w:pPr>
        <w:spacing w:after="80" w:line="276" w:lineRule="auto"/>
        <w:jc w:val="both"/>
      </w:pPr>
      <w:r>
        <w:rPr>
          <w:rFonts w:ascii="Times New Roman" w:hAnsi="Times New Roman"/>
          <w:i w:val="0"/>
          <w:sz w:val="20"/>
        </w:rPr>
        <w:t>D. Explainable Artificial Intelligence (XAI) in Capital Markets: Arrieta et al. [13] established formal taxonomies for explainability. Lundberg and Lee [14] unified feature attribution through Shapley Additive exPlanations (SHAP), providing game-theoretically grounded explanations. Ribeiro et al. [15] formulated LIME for local surrogate interpretability. However, applying general XAI frameworks to raw, noisy financial time series remains challenging without domain-specific structural constraints.</w:t>
      </w:r>
    </w:p>
    <w:p>
      <w:pPr>
        <w:spacing w:before="160" w:after="60"/>
        <w:jc w:val="center"/>
      </w:pPr>
      <w:r>
        <w:rPr>
          <w:rFonts w:ascii="Times New Roman" w:hAnsi="Times New Roman"/>
          <w:b/>
          <w:color w:val="003366"/>
          <w:sz w:val="19"/>
        </w:rPr>
        <w:t>TABLE II: COMPARATIVE METHODOLOGY MATRIX</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016"/>
            <w:shd w:fill="003366"/>
            <w:tcMar>
              <w:top w:w="100" w:type="dxa"/>
              <w:bottom w:w="100" w:type="dxa"/>
              <w:left w:w="120" w:type="dxa"/>
              <w:right w:w="120" w:type="dxa"/>
            </w:tcMar>
          </w:tcPr>
          <w:p>
            <w:pPr>
              <w:jc w:val="center"/>
            </w:pPr>
            <w:r>
              <w:rPr>
                <w:rFonts w:ascii="Times New Roman" w:hAnsi="Times New Roman"/>
                <w:b/>
                <w:color w:val="FFFFFF"/>
                <w:sz w:val="18"/>
              </w:rPr>
              <w:t>Framework Class</w:t>
            </w:r>
          </w:p>
        </w:tc>
        <w:tc>
          <w:tcPr>
            <w:tcW w:type="dxa" w:w="2592"/>
            <w:shd w:fill="003366"/>
            <w:tcMar>
              <w:top w:w="100" w:type="dxa"/>
              <w:bottom w:w="100" w:type="dxa"/>
              <w:left w:w="120" w:type="dxa"/>
              <w:right w:w="120" w:type="dxa"/>
            </w:tcMar>
          </w:tcPr>
          <w:p>
            <w:pPr>
              <w:jc w:val="center"/>
            </w:pPr>
            <w:r>
              <w:rPr>
                <w:rFonts w:ascii="Times New Roman" w:hAnsi="Times New Roman"/>
                <w:b/>
                <w:color w:val="FFFFFF"/>
                <w:sz w:val="18"/>
              </w:rPr>
              <w:t>Core Mechanics</w:t>
            </w:r>
          </w:p>
        </w:tc>
        <w:tc>
          <w:tcPr>
            <w:tcW w:type="dxa" w:w="2592"/>
            <w:shd w:fill="003366"/>
            <w:tcMar>
              <w:top w:w="100" w:type="dxa"/>
              <w:bottom w:w="100" w:type="dxa"/>
              <w:left w:w="120" w:type="dxa"/>
              <w:right w:w="120" w:type="dxa"/>
            </w:tcMar>
          </w:tcPr>
          <w:p>
            <w:pPr>
              <w:jc w:val="center"/>
            </w:pPr>
            <w:r>
              <w:rPr>
                <w:rFonts w:ascii="Times New Roman" w:hAnsi="Times New Roman"/>
                <w:b/>
                <w:color w:val="FFFFFF"/>
                <w:sz w:val="18"/>
              </w:rPr>
              <w:t>Primary Strengths</w:t>
            </w:r>
          </w:p>
        </w:tc>
        <w:tc>
          <w:tcPr>
            <w:tcW w:type="dxa" w:w="2592"/>
            <w:shd w:fill="003366"/>
            <w:tcMar>
              <w:top w:w="100" w:type="dxa"/>
              <w:bottom w:w="100" w:type="dxa"/>
              <w:left w:w="120" w:type="dxa"/>
              <w:right w:w="120" w:type="dxa"/>
            </w:tcMar>
          </w:tcPr>
          <w:p>
            <w:pPr>
              <w:jc w:val="center"/>
            </w:pPr>
            <w:r>
              <w:rPr>
                <w:rFonts w:ascii="Times New Roman" w:hAnsi="Times New Roman"/>
                <w:b/>
                <w:color w:val="FFFFFF"/>
                <w:sz w:val="18"/>
              </w:rPr>
              <w:t>Critical Flaws</w:t>
            </w:r>
          </w:p>
        </w:tc>
      </w:tr>
      <w:tr>
        <w:tc>
          <w:tcPr>
            <w:tcW w:type="dxa" w:w="2016"/>
            <w:shd w:fill="FFFFFF"/>
            <w:tcMar>
              <w:top w:w="70" w:type="dxa"/>
              <w:bottom w:w="70" w:type="dxa"/>
              <w:left w:w="100" w:type="dxa"/>
              <w:right w:w="100" w:type="dxa"/>
            </w:tcMar>
          </w:tcPr>
          <w:p>
            <w:r>
              <w:rPr>
                <w:rFonts w:ascii="Times New Roman" w:hAnsi="Times New Roman"/>
                <w:sz w:val="17"/>
              </w:rPr>
              <w:t>Technical Indicators</w:t>
            </w:r>
          </w:p>
        </w:tc>
        <w:tc>
          <w:tcPr>
            <w:tcW w:type="dxa" w:w="2592"/>
            <w:shd w:fill="FFFFFF"/>
            <w:tcMar>
              <w:top w:w="70" w:type="dxa"/>
              <w:bottom w:w="70" w:type="dxa"/>
              <w:left w:w="100" w:type="dxa"/>
              <w:right w:w="100" w:type="dxa"/>
            </w:tcMar>
          </w:tcPr>
          <w:p>
            <w:r>
              <w:rPr>
                <w:rFonts w:ascii="Times New Roman" w:hAnsi="Times New Roman"/>
                <w:sz w:val="17"/>
              </w:rPr>
              <w:t>Price-derived formulas (RSI, Moving Averages)</w:t>
            </w:r>
          </w:p>
        </w:tc>
        <w:tc>
          <w:tcPr>
            <w:tcW w:type="dxa" w:w="2592"/>
            <w:shd w:fill="FFFFFF"/>
            <w:tcMar>
              <w:top w:w="70" w:type="dxa"/>
              <w:bottom w:w="70" w:type="dxa"/>
              <w:left w:w="100" w:type="dxa"/>
              <w:right w:w="100" w:type="dxa"/>
            </w:tcMar>
          </w:tcPr>
          <w:p>
            <w:r>
              <w:rPr>
                <w:rFonts w:ascii="Times New Roman" w:hAnsi="Times New Roman"/>
                <w:sz w:val="17"/>
              </w:rPr>
              <w:t>Low computational complexity; easy to implement.</w:t>
            </w:r>
          </w:p>
        </w:tc>
        <w:tc>
          <w:tcPr>
            <w:tcW w:type="dxa" w:w="2592"/>
            <w:shd w:fill="FFFFFF"/>
            <w:tcMar>
              <w:top w:w="70" w:type="dxa"/>
              <w:bottom w:w="70" w:type="dxa"/>
              <w:left w:w="100" w:type="dxa"/>
              <w:right w:w="100" w:type="dxa"/>
            </w:tcMar>
          </w:tcPr>
          <w:p>
            <w:r>
              <w:rPr>
                <w:rFonts w:ascii="Times New Roman" w:hAnsi="Times New Roman"/>
                <w:sz w:val="17"/>
              </w:rPr>
              <w:t>Severe lag; lacks volume-at-price dimensionality.</w:t>
            </w:r>
          </w:p>
        </w:tc>
      </w:tr>
      <w:tr>
        <w:tc>
          <w:tcPr>
            <w:tcW w:type="dxa" w:w="2016"/>
            <w:shd w:fill="F4F6F9"/>
            <w:tcMar>
              <w:top w:w="70" w:type="dxa"/>
              <w:bottom w:w="70" w:type="dxa"/>
              <w:left w:w="100" w:type="dxa"/>
              <w:right w:w="100" w:type="dxa"/>
            </w:tcMar>
          </w:tcPr>
          <w:p>
            <w:r>
              <w:rPr>
                <w:rFonts w:ascii="Times New Roman" w:hAnsi="Times New Roman"/>
                <w:sz w:val="17"/>
              </w:rPr>
              <w:t>Deep Supervised Learning</w:t>
            </w:r>
          </w:p>
        </w:tc>
        <w:tc>
          <w:tcPr>
            <w:tcW w:type="dxa" w:w="2592"/>
            <w:shd w:fill="F4F6F9"/>
            <w:tcMar>
              <w:top w:w="70" w:type="dxa"/>
              <w:bottom w:w="70" w:type="dxa"/>
              <w:left w:w="100" w:type="dxa"/>
              <w:right w:w="100" w:type="dxa"/>
            </w:tcMar>
          </w:tcPr>
          <w:p>
            <w:r>
              <w:rPr>
                <w:rFonts w:ascii="Times New Roman" w:hAnsi="Times New Roman"/>
                <w:sz w:val="17"/>
              </w:rPr>
              <w:t>Multi-layer neural nets predicting directions</w:t>
            </w:r>
          </w:p>
        </w:tc>
        <w:tc>
          <w:tcPr>
            <w:tcW w:type="dxa" w:w="2592"/>
            <w:shd w:fill="F4F6F9"/>
            <w:tcMar>
              <w:top w:w="70" w:type="dxa"/>
              <w:bottom w:w="70" w:type="dxa"/>
              <w:left w:w="100" w:type="dxa"/>
              <w:right w:w="100" w:type="dxa"/>
            </w:tcMar>
          </w:tcPr>
          <w:p>
            <w:r>
              <w:rPr>
                <w:rFonts w:ascii="Times New Roman" w:hAnsi="Times New Roman"/>
                <w:sz w:val="17"/>
              </w:rPr>
              <w:t>Captures non-linear patterns and complex features.</w:t>
            </w:r>
          </w:p>
        </w:tc>
        <w:tc>
          <w:tcPr>
            <w:tcW w:type="dxa" w:w="2592"/>
            <w:shd w:fill="F4F6F9"/>
            <w:tcMar>
              <w:top w:w="70" w:type="dxa"/>
              <w:bottom w:w="70" w:type="dxa"/>
              <w:left w:w="100" w:type="dxa"/>
              <w:right w:w="100" w:type="dxa"/>
            </w:tcMar>
          </w:tcPr>
          <w:p>
            <w:r>
              <w:rPr>
                <w:rFonts w:ascii="Times New Roman" w:hAnsi="Times New Roman"/>
                <w:sz w:val="17"/>
              </w:rPr>
              <w:t>Complete opacity; prone to severe regime overfitting.</w:t>
            </w:r>
          </w:p>
        </w:tc>
      </w:tr>
      <w:tr>
        <w:tc>
          <w:tcPr>
            <w:tcW w:type="dxa" w:w="2016"/>
            <w:shd w:fill="FFFFFF"/>
            <w:tcMar>
              <w:top w:w="70" w:type="dxa"/>
              <w:bottom w:w="70" w:type="dxa"/>
              <w:left w:w="100" w:type="dxa"/>
              <w:right w:w="100" w:type="dxa"/>
            </w:tcMar>
          </w:tcPr>
          <w:p>
            <w:r>
              <w:rPr>
                <w:rFonts w:ascii="Times New Roman" w:hAnsi="Times New Roman"/>
                <w:sz w:val="17"/>
              </w:rPr>
              <w:t>High-Frequency Order Flow</w:t>
            </w:r>
          </w:p>
        </w:tc>
        <w:tc>
          <w:tcPr>
            <w:tcW w:type="dxa" w:w="2592"/>
            <w:shd w:fill="FFFFFF"/>
            <w:tcMar>
              <w:top w:w="70" w:type="dxa"/>
              <w:bottom w:w="70" w:type="dxa"/>
              <w:left w:w="100" w:type="dxa"/>
              <w:right w:w="100" w:type="dxa"/>
            </w:tcMar>
          </w:tcPr>
          <w:p>
            <w:r>
              <w:rPr>
                <w:rFonts w:ascii="Times New Roman" w:hAnsi="Times New Roman"/>
                <w:sz w:val="17"/>
              </w:rPr>
              <w:t>L3 queue dynamics and microsecond tick imbalance</w:t>
            </w:r>
          </w:p>
        </w:tc>
        <w:tc>
          <w:tcPr>
            <w:tcW w:type="dxa" w:w="2592"/>
            <w:shd w:fill="FFFFFF"/>
            <w:tcMar>
              <w:top w:w="70" w:type="dxa"/>
              <w:bottom w:w="70" w:type="dxa"/>
              <w:left w:w="100" w:type="dxa"/>
              <w:right w:w="100" w:type="dxa"/>
            </w:tcMar>
          </w:tcPr>
          <w:p>
            <w:r>
              <w:rPr>
                <w:rFonts w:ascii="Times New Roman" w:hAnsi="Times New Roman"/>
                <w:sz w:val="17"/>
              </w:rPr>
              <w:t>Ultra-low latency; direct order book visibility.</w:t>
            </w:r>
          </w:p>
        </w:tc>
        <w:tc>
          <w:tcPr>
            <w:tcW w:type="dxa" w:w="2592"/>
            <w:shd w:fill="FFFFFF"/>
            <w:tcMar>
              <w:top w:w="70" w:type="dxa"/>
              <w:bottom w:w="70" w:type="dxa"/>
              <w:left w:w="100" w:type="dxa"/>
              <w:right w:w="100" w:type="dxa"/>
            </w:tcMar>
          </w:tcPr>
          <w:p>
            <w:r>
              <w:rPr>
                <w:rFonts w:ascii="Times New Roman" w:hAnsi="Times New Roman"/>
                <w:sz w:val="17"/>
              </w:rPr>
              <w:t>Extreme compute &amp; data costs; short temporal window.</w:t>
            </w:r>
          </w:p>
        </w:tc>
      </w:tr>
      <w:tr>
        <w:tc>
          <w:tcPr>
            <w:tcW w:type="dxa" w:w="2016"/>
            <w:shd w:fill="F4F6F9"/>
            <w:tcMar>
              <w:top w:w="70" w:type="dxa"/>
              <w:bottom w:w="70" w:type="dxa"/>
              <w:left w:w="100" w:type="dxa"/>
              <w:right w:w="100" w:type="dxa"/>
            </w:tcMar>
          </w:tcPr>
          <w:p>
            <w:r>
              <w:rPr>
                <w:rFonts w:ascii="Times New Roman" w:hAnsi="Times New Roman"/>
                <w:sz w:val="17"/>
              </w:rPr>
              <w:t>AlphaPulse Framework</w:t>
            </w:r>
          </w:p>
        </w:tc>
        <w:tc>
          <w:tcPr>
            <w:tcW w:type="dxa" w:w="2592"/>
            <w:shd w:fill="F4F6F9"/>
            <w:tcMar>
              <w:top w:w="70" w:type="dxa"/>
              <w:bottom w:w="70" w:type="dxa"/>
              <w:left w:w="100" w:type="dxa"/>
              <w:right w:w="100" w:type="dxa"/>
            </w:tcMar>
          </w:tcPr>
          <w:p>
            <w:r>
              <w:rPr>
                <w:rFonts w:ascii="Times New Roman" w:hAnsi="Times New Roman"/>
                <w:sz w:val="17"/>
              </w:rPr>
              <w:t>Auction Market Theory with XAI semantics &amp; GMM</w:t>
            </w:r>
          </w:p>
        </w:tc>
        <w:tc>
          <w:tcPr>
            <w:tcW w:type="dxa" w:w="2592"/>
            <w:shd w:fill="F4F6F9"/>
            <w:tcMar>
              <w:top w:w="70" w:type="dxa"/>
              <w:bottom w:w="70" w:type="dxa"/>
              <w:left w:w="100" w:type="dxa"/>
              <w:right w:w="100" w:type="dxa"/>
            </w:tcMar>
          </w:tcPr>
          <w:p>
            <w:r>
              <w:rPr>
                <w:rFonts w:ascii="Times New Roman" w:hAnsi="Times New Roman"/>
                <w:sz w:val="17"/>
              </w:rPr>
              <w:t>Mathematically grounded; fully explainable; no black boxes.</w:t>
            </w:r>
          </w:p>
        </w:tc>
        <w:tc>
          <w:tcPr>
            <w:tcW w:type="dxa" w:w="2592"/>
            <w:shd w:fill="F4F6F9"/>
            <w:tcMar>
              <w:top w:w="70" w:type="dxa"/>
              <w:bottom w:w="70" w:type="dxa"/>
              <w:left w:w="100" w:type="dxa"/>
              <w:right w:w="100" w:type="dxa"/>
            </w:tcMar>
          </w:tcPr>
          <w:p>
            <w:r>
              <w:rPr>
                <w:rFonts w:ascii="Times New Roman" w:hAnsi="Times New Roman"/>
                <w:sz w:val="17"/>
              </w:rPr>
              <w:t>Requires continuous tick/volume feeds; non-predictive.</w:t>
            </w:r>
          </w:p>
        </w:tc>
      </w:tr>
    </w:tbl>
    <w:p>
      <w:pPr>
        <w:spacing w:after="120"/>
      </w:pPr>
    </w:p>
    <w:p>
      <w:pPr>
        <w:pStyle w:val="Heading1"/>
        <w:spacing w:before="240" w:after="80"/>
      </w:pPr>
      <w:r>
        <w:rPr>
          <w:rFonts w:ascii="Times New Roman" w:hAnsi="Times New Roman"/>
          <w:b/>
          <w:color w:val="003366"/>
          <w:sz w:val="26"/>
        </w:rPr>
        <w:t>IV. ALPHAPULSE SYSTEM DESIGN &amp; FORMALIZATION</w:t>
      </w:r>
    </w:p>
    <w:p>
      <w:pPr>
        <w:spacing w:after="80" w:line="276" w:lineRule="auto"/>
        <w:jc w:val="both"/>
      </w:pPr>
      <w:r>
        <w:rPr>
          <w:rFonts w:ascii="Times New Roman" w:hAnsi="Times New Roman"/>
          <w:i w:val="0"/>
          <w:sz w:val="20"/>
        </w:rPr>
        <w:t>The AlphaPulse architecture implements a deterministic data processing pipeline structured across four discrete operational tiers:</w:t>
      </w:r>
    </w:p>
    <w:p>
      <w:pPr>
        <w:spacing w:after="80" w:line="276" w:lineRule="auto"/>
        <w:jc w:val="both"/>
      </w:pPr>
      <w:r>
        <w:rPr>
          <w:rFonts w:ascii="Times New Roman" w:hAnsi="Times New Roman"/>
          <w:i w:val="0"/>
          <w:sz w:val="20"/>
        </w:rPr>
        <w:t>1) Microstructure Ingestion and Vectorization: Continuous intraday tick feeds are collected and mapped onto discrete spatial grids matching the asset's minimum tick size, constructing the spatial matrix M(p, t).</w:t>
      </w:r>
    </w:p>
    <w:p>
      <w:pPr>
        <w:spacing w:after="80" w:line="276" w:lineRule="auto"/>
        <w:jc w:val="both"/>
      </w:pPr>
      <w:r>
        <w:rPr>
          <w:rFonts w:ascii="Times New Roman" w:hAnsi="Times New Roman"/>
          <w:i w:val="0"/>
          <w:sz w:val="20"/>
        </w:rPr>
        <w:t>2) Dynamic Value Area Integration: The system locates the VPOC and executes an empirical two-sided integral sweep to establish VAH and VAL boundaries enclosing 68.2% of transacted volume mass.</w:t>
      </w:r>
    </w:p>
    <w:p>
      <w:pPr>
        <w:spacing w:after="80" w:line="276" w:lineRule="auto"/>
        <w:jc w:val="both"/>
      </w:pPr>
      <w:r>
        <w:rPr>
          <w:rFonts w:ascii="Times New Roman" w:hAnsi="Times New Roman"/>
          <w:i w:val="0"/>
          <w:sz w:val="20"/>
        </w:rPr>
        <w:t>3) Novel Microstructure Solvers: AlphaPulse introduces two novel quantitative metrics to replace subjective visual profile evaluations:</w:t>
      </w:r>
    </w:p>
    <w:p>
      <w:pPr>
        <w:spacing w:after="80" w:line="276" w:lineRule="auto"/>
        <w:jc w:val="both"/>
      </w:pPr>
      <w:r>
        <w:rPr>
          <w:rFonts w:ascii="Times New Roman" w:hAnsi="Times New Roman"/>
          <w:i w:val="0"/>
          <w:sz w:val="20"/>
        </w:rPr>
        <w:t>• Dual-Distribution Asymmetry Index (DDAI): Quantifies the normalized volume skew relative to the Volume Point of Control:</w:t>
      </w:r>
    </w:p>
    <w:tbl>
      <w:tblPr>
        <w:tblW w:type="auto" w:w="0"/>
        <w:jc w:val="center"/>
        <w:tblLayout w:type="fixed"/>
        <w:tblLook w:firstColumn="1" w:firstRow="1" w:lastColumn="0" w:lastRow="0" w:noHBand="0" w:noVBand="1" w:val="04A0"/>
      </w:tblPr>
      <w:tblGrid>
        <w:gridCol w:w="5040"/>
        <w:gridCol w:w="5040"/>
      </w:tblGrid>
      <w:tr>
        <w:tc>
          <w:tcPr>
            <w:tcW w:type="dxa" w:w="8352"/>
            <w:shd w:fill="F8F9FA"/>
            <w:tcMar>
              <w:top w:w="60" w:type="dxa"/>
              <w:bottom w:w="60" w:type="dxa"/>
              <w:left w:w="100" w:type="dxa"/>
              <w:right w:w="100" w:type="dxa"/>
            </w:tcMar>
          </w:tcPr>
          <w:p>
            <w:pPr>
              <w:jc w:val="center"/>
            </w:pPr>
            <w:r>
              <w:rPr>
                <w:rFonts w:ascii="Times New Roman" w:hAnsi="Times New Roman"/>
                <w:i/>
                <w:sz w:val="19"/>
              </w:rPr>
              <w:t>DDAI = (V_above - V_below) / V_total</w:t>
            </w:r>
          </w:p>
        </w:tc>
        <w:tc>
          <w:tcPr>
            <w:tcW w:type="dxa" w:w="1008"/>
            <w:shd w:fill="F8F9FA"/>
            <w:tcMar>
              <w:top w:w="60" w:type="dxa"/>
              <w:bottom w:w="60" w:type="dxa"/>
              <w:left w:w="100" w:type="dxa"/>
              <w:right w:w="100" w:type="dxa"/>
            </w:tcMar>
          </w:tcPr>
          <w:p>
            <w:pPr>
              <w:jc w:val="right"/>
            </w:pPr>
            <w:r>
              <w:rPr>
                <w:rFonts w:ascii="Times New Roman" w:hAnsi="Times New Roman"/>
                <w:b/>
                <w:sz w:val="19"/>
              </w:rPr>
              <w:t>(4)</w:t>
            </w:r>
          </w:p>
        </w:tc>
      </w:tr>
    </w:tbl>
    <w:p>
      <w:pPr>
        <w:spacing w:after="80"/>
      </w:pPr>
    </w:p>
    <w:p>
      <w:pPr>
        <w:spacing w:after="80" w:line="276" w:lineRule="auto"/>
        <w:jc w:val="both"/>
      </w:pPr>
      <w:r>
        <w:rPr>
          <w:rFonts w:ascii="Times New Roman" w:hAnsi="Times New Roman"/>
          <w:i w:val="0"/>
          <w:sz w:val="20"/>
        </w:rPr>
        <w:t>where V_above and V_below denote cumulative volume transacted above and below the VPOC, respectively. DDAI &gt; +0.30 indicates aggressive buyer absorption (P-profile), while DDAI &lt; -0.30 reflects seller inventory absorption (b-profile).</w:t>
      </w:r>
    </w:p>
    <w:p>
      <w:pPr>
        <w:spacing w:after="80" w:line="276" w:lineRule="auto"/>
        <w:jc w:val="both"/>
      </w:pPr>
      <w:r>
        <w:rPr>
          <w:rFonts w:ascii="Times New Roman" w:hAnsi="Times New Roman"/>
          <w:i w:val="0"/>
          <w:sz w:val="20"/>
        </w:rPr>
        <w:t>• Thermodynamic Price Acceptance Metric (TPAM): Evaluates whether price excursions outside the prior Value Area represent sustained trend discovery or failed auction probes:</w:t>
      </w:r>
    </w:p>
    <w:tbl>
      <w:tblPr>
        <w:tblW w:type="auto" w:w="0"/>
        <w:jc w:val="center"/>
        <w:tblLayout w:type="fixed"/>
        <w:tblLook w:firstColumn="1" w:firstRow="1" w:lastColumn="0" w:lastRow="0" w:noHBand="0" w:noVBand="1" w:val="04A0"/>
      </w:tblPr>
      <w:tblGrid>
        <w:gridCol w:w="5040"/>
        <w:gridCol w:w="5040"/>
      </w:tblGrid>
      <w:tr>
        <w:tc>
          <w:tcPr>
            <w:tcW w:type="dxa" w:w="8352"/>
            <w:shd w:fill="F8F9FA"/>
            <w:tcMar>
              <w:top w:w="60" w:type="dxa"/>
              <w:bottom w:w="60" w:type="dxa"/>
              <w:left w:w="100" w:type="dxa"/>
              <w:right w:w="100" w:type="dxa"/>
            </w:tcMar>
          </w:tcPr>
          <w:p>
            <w:pPr>
              <w:jc w:val="center"/>
            </w:pPr>
            <w:r>
              <w:rPr>
                <w:rFonts w:ascii="Times New Roman" w:hAnsi="Times New Roman"/>
                <w:i/>
                <w:sz w:val="19"/>
              </w:rPr>
              <w:t>TPAM = Integral_{t_break}^T [ I(P_t not in VA_{t-1}) * (V_t / V_total) ] dt</w:t>
            </w:r>
          </w:p>
        </w:tc>
        <w:tc>
          <w:tcPr>
            <w:tcW w:type="dxa" w:w="1008"/>
            <w:shd w:fill="F8F9FA"/>
            <w:tcMar>
              <w:top w:w="60" w:type="dxa"/>
              <w:bottom w:w="60" w:type="dxa"/>
              <w:left w:w="100" w:type="dxa"/>
              <w:right w:w="100" w:type="dxa"/>
            </w:tcMar>
          </w:tcPr>
          <w:p>
            <w:pPr>
              <w:jc w:val="right"/>
            </w:pPr>
            <w:r>
              <w:rPr>
                <w:rFonts w:ascii="Times New Roman" w:hAnsi="Times New Roman"/>
                <w:b/>
                <w:sz w:val="19"/>
              </w:rPr>
              <w:t>(5)</w:t>
            </w:r>
          </w:p>
        </w:tc>
      </w:tr>
    </w:tbl>
    <w:p>
      <w:pPr>
        <w:spacing w:after="80"/>
      </w:pPr>
    </w:p>
    <w:p>
      <w:pPr>
        <w:spacing w:after="80" w:line="276" w:lineRule="auto"/>
        <w:jc w:val="both"/>
      </w:pPr>
      <w:r>
        <w:rPr>
          <w:rFonts w:ascii="Times New Roman" w:hAnsi="Times New Roman"/>
          <w:i w:val="0"/>
          <w:sz w:val="20"/>
        </w:rPr>
        <w:t>where I(.) is an indicator function. TPAM &gt;= 0.40 confirms structural price acceptance, whereas TPAM &lt; 0.15 denotes auction rejection.</w:t>
      </w:r>
    </w:p>
    <w:p>
      <w:pPr>
        <w:spacing w:after="80" w:line="276" w:lineRule="auto"/>
        <w:jc w:val="both"/>
      </w:pPr>
      <w:r>
        <w:rPr>
          <w:rFonts w:ascii="Times New Roman" w:hAnsi="Times New Roman"/>
          <w:i w:val="0"/>
          <w:sz w:val="20"/>
        </w:rPr>
        <w:t>4) Explainable Natural Language Generation (XAI): A deterministic semantic parser maps calculated structural coordinates directly into clear educational diagnostics, entirely avoiding black-box neural opacity.</w:t>
      </w:r>
    </w:p>
    <w:p>
      <w:pPr>
        <w:spacing w:before="160" w:after="60"/>
        <w:jc w:val="center"/>
      </w:pPr>
      <w:r>
        <w:drawing>
          <wp:inline xmlns:a="http://schemas.openxmlformats.org/drawingml/2006/main" xmlns:pic="http://schemas.openxmlformats.org/drawingml/2006/picture">
            <wp:extent cx="5669280" cy="2948026"/>
            <wp:docPr id="2" name="Picture 2"/>
            <wp:cNvGraphicFramePr>
              <a:graphicFrameLocks noChangeAspect="1"/>
            </wp:cNvGraphicFramePr>
            <a:graphic>
              <a:graphicData uri="http://schemas.openxmlformats.org/drawingml/2006/picture">
                <pic:pic>
                  <pic:nvPicPr>
                    <pic:cNvPr id="0" name="fig2_system_architecture.png"/>
                    <pic:cNvPicPr/>
                  </pic:nvPicPr>
                  <pic:blipFill>
                    <a:blip r:embed="rId10"/>
                    <a:stretch>
                      <a:fillRect/>
                    </a:stretch>
                  </pic:blipFill>
                  <pic:spPr>
                    <a:xfrm>
                      <a:off x="0" y="0"/>
                      <a:ext cx="5669280" cy="2948026"/>
                    </a:xfrm>
                    <a:prstGeom prst="rect"/>
                  </pic:spPr>
                </pic:pic>
              </a:graphicData>
            </a:graphic>
          </wp:inline>
        </w:drawing>
      </w:r>
    </w:p>
    <w:p>
      <w:pPr>
        <w:spacing w:after="160"/>
        <w:jc w:val="center"/>
      </w:pPr>
      <w:r>
        <w:rPr>
          <w:rFonts w:ascii="Times New Roman" w:hAnsi="Times New Roman"/>
          <w:i/>
          <w:color w:val="3C3C3C"/>
          <w:sz w:val="18"/>
        </w:rPr>
        <w:t>Fig. 2. End-to-end modular system architecture and data processing pipeline of the AlphaPulse framework, moving from raw tick streams to explainable natural language diagnostics.</w:t>
      </w:r>
    </w:p>
    <w:p>
      <w:pPr>
        <w:pStyle w:val="Heading1"/>
        <w:spacing w:before="240" w:after="80"/>
      </w:pPr>
      <w:r>
        <w:rPr>
          <w:rFonts w:ascii="Times New Roman" w:hAnsi="Times New Roman"/>
          <w:b/>
          <w:color w:val="003366"/>
          <w:sz w:val="26"/>
        </w:rPr>
        <w:t>V. EMPIRICAL RESULTS &amp; DISCUSSION</w:t>
      </w:r>
    </w:p>
    <w:p>
      <w:pPr>
        <w:spacing w:after="80" w:line="276" w:lineRule="auto"/>
        <w:jc w:val="both"/>
      </w:pPr>
      <w:r>
        <w:rPr>
          <w:rFonts w:ascii="Times New Roman" w:hAnsi="Times New Roman"/>
          <w:i w:val="0"/>
          <w:sz w:val="20"/>
        </w:rPr>
        <w:t>The framework was empirically evaluated on a five-year dataset of high-frequency intraday records for the NIFTY 50 Index from the National Stock Exchange of India (NSE), comprising 465,000 one-minute observations across 1,240 trading sessions (January 2021 – December 2025).</w:t>
      </w:r>
    </w:p>
    <w:p>
      <w:pPr>
        <w:pStyle w:val="Heading2"/>
        <w:spacing w:before="160" w:after="60"/>
      </w:pPr>
      <w:r>
        <w:rPr>
          <w:rFonts w:ascii="Times New Roman" w:hAnsi="Times New Roman"/>
          <w:b/>
          <w:color w:val="1E508C"/>
          <w:sz w:val="22"/>
        </w:rPr>
        <w:t>A. Statistical Validation of Value Area Boundaries</w:t>
      </w:r>
    </w:p>
    <w:p>
      <w:pPr>
        <w:spacing w:after="80" w:line="276" w:lineRule="auto"/>
        <w:jc w:val="both"/>
      </w:pPr>
      <w:r>
        <w:rPr>
          <w:rFonts w:ascii="Times New Roman" w:hAnsi="Times New Roman"/>
          <w:i w:val="0"/>
          <w:sz w:val="20"/>
        </w:rPr>
        <w:t>To evaluate the hypothesis that Value Area boundaries act as statistically valid structural inflection levels, price action behavior was audited whenever price rotated into a 0.1% threshold of prior session VAH and VAL levels. Across 1,240 sessions, price exhibited mean-reverting rotational behavior in 71.4% of non-trending tests (Student's t = 4.82, p &lt; 0.001), soundly rejecting the null hypothesis of uniform price dispersion.</w:t>
      </w:r>
    </w:p>
    <w:p>
      <w:pPr>
        <w:spacing w:before="160" w:after="60"/>
        <w:jc w:val="center"/>
      </w:pPr>
      <w:r>
        <w:rPr>
          <w:rFonts w:ascii="Times New Roman" w:hAnsi="Times New Roman"/>
          <w:b/>
          <w:color w:val="003366"/>
          <w:sz w:val="19"/>
        </w:rPr>
        <w:t>TABLE III: EMPIRICAL HYPOTHESIS TESTING AND STATISTICAL AUDIT</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2304"/>
            <w:shd w:fill="003366"/>
            <w:tcMar>
              <w:top w:w="100" w:type="dxa"/>
              <w:bottom w:w="100" w:type="dxa"/>
              <w:left w:w="120" w:type="dxa"/>
              <w:right w:w="120" w:type="dxa"/>
            </w:tcMar>
          </w:tcPr>
          <w:p>
            <w:pPr>
              <w:jc w:val="center"/>
            </w:pPr>
            <w:r>
              <w:rPr>
                <w:rFonts w:ascii="Times New Roman" w:hAnsi="Times New Roman"/>
                <w:b/>
                <w:color w:val="FFFFFF"/>
                <w:sz w:val="18"/>
              </w:rPr>
              <w:t>Evaluated Metric</w:t>
            </w:r>
          </w:p>
        </w:tc>
        <w:tc>
          <w:tcPr>
            <w:tcW w:type="dxa" w:w="2016"/>
            <w:shd w:fill="003366"/>
            <w:tcMar>
              <w:top w:w="100" w:type="dxa"/>
              <w:bottom w:w="100" w:type="dxa"/>
              <w:left w:w="120" w:type="dxa"/>
              <w:right w:w="120" w:type="dxa"/>
            </w:tcMar>
          </w:tcPr>
          <w:p>
            <w:pPr>
              <w:jc w:val="center"/>
            </w:pPr>
            <w:r>
              <w:rPr>
                <w:rFonts w:ascii="Times New Roman" w:hAnsi="Times New Roman"/>
                <w:b/>
                <w:color w:val="FFFFFF"/>
                <w:sz w:val="18"/>
              </w:rPr>
              <w:t>Empirical Observation</w:t>
            </w:r>
          </w:p>
        </w:tc>
        <w:tc>
          <w:tcPr>
            <w:tcW w:type="dxa" w:w="2160"/>
            <w:shd w:fill="003366"/>
            <w:tcMar>
              <w:top w:w="100" w:type="dxa"/>
              <w:bottom w:w="100" w:type="dxa"/>
              <w:left w:w="120" w:type="dxa"/>
              <w:right w:w="120" w:type="dxa"/>
            </w:tcMar>
          </w:tcPr>
          <w:p>
            <w:pPr>
              <w:jc w:val="center"/>
            </w:pPr>
            <w:r>
              <w:rPr>
                <w:rFonts w:ascii="Times New Roman" w:hAnsi="Times New Roman"/>
                <w:b/>
                <w:color w:val="FFFFFF"/>
                <w:sz w:val="18"/>
              </w:rPr>
              <w:t>Statistical Test / Value</w:t>
            </w:r>
          </w:p>
        </w:tc>
        <w:tc>
          <w:tcPr>
            <w:tcW w:type="dxa" w:w="1728"/>
            <w:shd w:fill="003366"/>
            <w:tcMar>
              <w:top w:w="100" w:type="dxa"/>
              <w:bottom w:w="100" w:type="dxa"/>
              <w:left w:w="120" w:type="dxa"/>
              <w:right w:w="120" w:type="dxa"/>
            </w:tcMar>
          </w:tcPr>
          <w:p>
            <w:pPr>
              <w:jc w:val="center"/>
            </w:pPr>
            <w:r>
              <w:rPr>
                <w:rFonts w:ascii="Times New Roman" w:hAnsi="Times New Roman"/>
                <w:b/>
                <w:color w:val="FFFFFF"/>
                <w:sz w:val="18"/>
              </w:rPr>
              <w:t>Significance Level</w:t>
            </w:r>
          </w:p>
        </w:tc>
        <w:tc>
          <w:tcPr>
            <w:tcW w:type="dxa" w:w="1584"/>
            <w:shd w:fill="003366"/>
            <w:tcMar>
              <w:top w:w="100" w:type="dxa"/>
              <w:bottom w:w="100" w:type="dxa"/>
              <w:left w:w="120" w:type="dxa"/>
              <w:right w:w="120" w:type="dxa"/>
            </w:tcMar>
          </w:tcPr>
          <w:p>
            <w:pPr>
              <w:jc w:val="center"/>
            </w:pPr>
            <w:r>
              <w:rPr>
                <w:rFonts w:ascii="Times New Roman" w:hAnsi="Times New Roman"/>
                <w:b/>
                <w:color w:val="FFFFFF"/>
                <w:sz w:val="18"/>
              </w:rPr>
              <w:t>Result</w:t>
            </w:r>
          </w:p>
        </w:tc>
      </w:tr>
      <w:tr>
        <w:tc>
          <w:tcPr>
            <w:tcW w:type="dxa" w:w="2304"/>
            <w:shd w:fill="FFFFFF"/>
            <w:tcMar>
              <w:top w:w="70" w:type="dxa"/>
              <w:bottom w:w="70" w:type="dxa"/>
              <w:left w:w="100" w:type="dxa"/>
              <w:right w:w="100" w:type="dxa"/>
            </w:tcMar>
          </w:tcPr>
          <w:p>
            <w:r>
              <w:rPr>
                <w:rFonts w:ascii="Times New Roman" w:hAnsi="Times New Roman"/>
                <w:sz w:val="17"/>
              </w:rPr>
              <w:t>VAH/VAL Mean-Reversion</w:t>
            </w:r>
          </w:p>
        </w:tc>
        <w:tc>
          <w:tcPr>
            <w:tcW w:type="dxa" w:w="2016"/>
            <w:shd w:fill="FFFFFF"/>
            <w:tcMar>
              <w:top w:w="70" w:type="dxa"/>
              <w:bottom w:w="70" w:type="dxa"/>
              <w:left w:w="100" w:type="dxa"/>
              <w:right w:w="100" w:type="dxa"/>
            </w:tcMar>
          </w:tcPr>
          <w:p>
            <w:r>
              <w:rPr>
                <w:rFonts w:ascii="Times New Roman" w:hAnsi="Times New Roman"/>
                <w:sz w:val="17"/>
              </w:rPr>
              <w:t>71.4% Reversal Rate</w:t>
            </w:r>
          </w:p>
        </w:tc>
        <w:tc>
          <w:tcPr>
            <w:tcW w:type="dxa" w:w="2160"/>
            <w:shd w:fill="FFFFFF"/>
            <w:tcMar>
              <w:top w:w="70" w:type="dxa"/>
              <w:bottom w:w="70" w:type="dxa"/>
              <w:left w:w="100" w:type="dxa"/>
              <w:right w:w="100" w:type="dxa"/>
            </w:tcMar>
          </w:tcPr>
          <w:p>
            <w:r>
              <w:rPr>
                <w:rFonts w:ascii="Times New Roman" w:hAnsi="Times New Roman"/>
                <w:sz w:val="17"/>
              </w:rPr>
              <w:t>Student's t = 4.82</w:t>
            </w:r>
          </w:p>
        </w:tc>
        <w:tc>
          <w:tcPr>
            <w:tcW w:type="dxa" w:w="1728"/>
            <w:shd w:fill="FFFFFF"/>
            <w:tcMar>
              <w:top w:w="70" w:type="dxa"/>
              <w:bottom w:w="70" w:type="dxa"/>
              <w:left w:w="100" w:type="dxa"/>
              <w:right w:w="100" w:type="dxa"/>
            </w:tcMar>
          </w:tcPr>
          <w:p>
            <w:r>
              <w:rPr>
                <w:rFonts w:ascii="Times New Roman" w:hAnsi="Times New Roman"/>
                <w:sz w:val="17"/>
              </w:rPr>
              <w:t>p &lt; 0.001</w:t>
            </w:r>
          </w:p>
        </w:tc>
        <w:tc>
          <w:tcPr>
            <w:tcW w:type="dxa" w:w="1584"/>
            <w:shd w:fill="FFFFFF"/>
            <w:tcMar>
              <w:top w:w="70" w:type="dxa"/>
              <w:bottom w:w="70" w:type="dxa"/>
              <w:left w:w="100" w:type="dxa"/>
              <w:right w:w="100" w:type="dxa"/>
            </w:tcMar>
          </w:tcPr>
          <w:p>
            <w:r>
              <w:rPr>
                <w:rFonts w:ascii="Times New Roman" w:hAnsi="Times New Roman"/>
                <w:sz w:val="17"/>
              </w:rPr>
              <w:t>H0 Rejected (Significant)</w:t>
            </w:r>
          </w:p>
        </w:tc>
      </w:tr>
      <w:tr>
        <w:tc>
          <w:tcPr>
            <w:tcW w:type="dxa" w:w="2304"/>
            <w:shd w:fill="F4F6F9"/>
            <w:tcMar>
              <w:top w:w="70" w:type="dxa"/>
              <w:bottom w:w="70" w:type="dxa"/>
              <w:left w:w="100" w:type="dxa"/>
              <w:right w:w="100" w:type="dxa"/>
            </w:tcMar>
          </w:tcPr>
          <w:p>
            <w:r>
              <w:rPr>
                <w:rFonts w:ascii="Times New Roman" w:hAnsi="Times New Roman"/>
                <w:sz w:val="17"/>
              </w:rPr>
              <w:t>GMM Archetype Concordance</w:t>
            </w:r>
          </w:p>
        </w:tc>
        <w:tc>
          <w:tcPr>
            <w:tcW w:type="dxa" w:w="2016"/>
            <w:shd w:fill="F4F6F9"/>
            <w:tcMar>
              <w:top w:w="70" w:type="dxa"/>
              <w:bottom w:w="70" w:type="dxa"/>
              <w:left w:w="100" w:type="dxa"/>
              <w:right w:w="100" w:type="dxa"/>
            </w:tcMar>
          </w:tcPr>
          <w:p>
            <w:r>
              <w:rPr>
                <w:rFonts w:ascii="Times New Roman" w:hAnsi="Times New Roman"/>
                <w:sz w:val="17"/>
              </w:rPr>
              <w:t>91.2% Day-Type Match</w:t>
            </w:r>
          </w:p>
        </w:tc>
        <w:tc>
          <w:tcPr>
            <w:tcW w:type="dxa" w:w="2160"/>
            <w:shd w:fill="F4F6F9"/>
            <w:tcMar>
              <w:top w:w="70" w:type="dxa"/>
              <w:bottom w:w="70" w:type="dxa"/>
              <w:left w:w="100" w:type="dxa"/>
              <w:right w:w="100" w:type="dxa"/>
            </w:tcMar>
          </w:tcPr>
          <w:p>
            <w:r>
              <w:rPr>
                <w:rFonts w:ascii="Times New Roman" w:hAnsi="Times New Roman"/>
                <w:sz w:val="17"/>
              </w:rPr>
              <w:t>Cohen's kappa = 0.82</w:t>
            </w:r>
          </w:p>
        </w:tc>
        <w:tc>
          <w:tcPr>
            <w:tcW w:type="dxa" w:w="1728"/>
            <w:shd w:fill="F4F6F9"/>
            <w:tcMar>
              <w:top w:w="70" w:type="dxa"/>
              <w:bottom w:w="70" w:type="dxa"/>
              <w:left w:w="100" w:type="dxa"/>
              <w:right w:w="100" w:type="dxa"/>
            </w:tcMar>
          </w:tcPr>
          <w:p>
            <w:r>
              <w:rPr>
                <w:rFonts w:ascii="Times New Roman" w:hAnsi="Times New Roman"/>
                <w:sz w:val="17"/>
              </w:rPr>
              <w:t>p &lt; 0.001</w:t>
            </w:r>
          </w:p>
        </w:tc>
        <w:tc>
          <w:tcPr>
            <w:tcW w:type="dxa" w:w="1584"/>
            <w:shd w:fill="F4F6F9"/>
            <w:tcMar>
              <w:top w:w="70" w:type="dxa"/>
              <w:bottom w:w="70" w:type="dxa"/>
              <w:left w:w="100" w:type="dxa"/>
              <w:right w:w="100" w:type="dxa"/>
            </w:tcMar>
          </w:tcPr>
          <w:p>
            <w:r>
              <w:rPr>
                <w:rFonts w:ascii="Times New Roman" w:hAnsi="Times New Roman"/>
                <w:sz w:val="17"/>
              </w:rPr>
              <w:t>Strong Agreement</w:t>
            </w:r>
          </w:p>
        </w:tc>
      </w:tr>
      <w:tr>
        <w:tc>
          <w:tcPr>
            <w:tcW w:type="dxa" w:w="2304"/>
            <w:shd w:fill="FFFFFF"/>
            <w:tcMar>
              <w:top w:w="70" w:type="dxa"/>
              <w:bottom w:w="70" w:type="dxa"/>
              <w:left w:w="100" w:type="dxa"/>
              <w:right w:w="100" w:type="dxa"/>
            </w:tcMar>
          </w:tcPr>
          <w:p>
            <w:r>
              <w:rPr>
                <w:rFonts w:ascii="Times New Roman" w:hAnsi="Times New Roman"/>
                <w:sz w:val="17"/>
              </w:rPr>
              <w:t>TPAM &lt; 0.15 Rejection</w:t>
            </w:r>
          </w:p>
        </w:tc>
        <w:tc>
          <w:tcPr>
            <w:tcW w:type="dxa" w:w="2016"/>
            <w:shd w:fill="FFFFFF"/>
            <w:tcMar>
              <w:top w:w="70" w:type="dxa"/>
              <w:bottom w:w="70" w:type="dxa"/>
              <w:left w:w="100" w:type="dxa"/>
              <w:right w:w="100" w:type="dxa"/>
            </w:tcMar>
          </w:tcPr>
          <w:p>
            <w:r>
              <w:rPr>
                <w:rFonts w:ascii="Times New Roman" w:hAnsi="Times New Roman"/>
                <w:sz w:val="17"/>
              </w:rPr>
              <w:t>82.4% Return to Value</w:t>
            </w:r>
          </w:p>
        </w:tc>
        <w:tc>
          <w:tcPr>
            <w:tcW w:type="dxa" w:w="2160"/>
            <w:shd w:fill="FFFFFF"/>
            <w:tcMar>
              <w:top w:w="70" w:type="dxa"/>
              <w:bottom w:w="70" w:type="dxa"/>
              <w:left w:w="100" w:type="dxa"/>
              <w:right w:w="100" w:type="dxa"/>
            </w:tcMar>
          </w:tcPr>
          <w:p>
            <w:r>
              <w:rPr>
                <w:rFonts w:ascii="Times New Roman" w:hAnsi="Times New Roman"/>
                <w:sz w:val="17"/>
              </w:rPr>
              <w:t>Chi-Square = 54.3</w:t>
            </w:r>
          </w:p>
        </w:tc>
        <w:tc>
          <w:tcPr>
            <w:tcW w:type="dxa" w:w="1728"/>
            <w:shd w:fill="FFFFFF"/>
            <w:tcMar>
              <w:top w:w="70" w:type="dxa"/>
              <w:bottom w:w="70" w:type="dxa"/>
              <w:left w:w="100" w:type="dxa"/>
              <w:right w:w="100" w:type="dxa"/>
            </w:tcMar>
          </w:tcPr>
          <w:p>
            <w:r>
              <w:rPr>
                <w:rFonts w:ascii="Times New Roman" w:hAnsi="Times New Roman"/>
                <w:sz w:val="17"/>
              </w:rPr>
              <w:t>p &lt; 0.001</w:t>
            </w:r>
          </w:p>
        </w:tc>
        <w:tc>
          <w:tcPr>
            <w:tcW w:type="dxa" w:w="1584"/>
            <w:shd w:fill="FFFFFF"/>
            <w:tcMar>
              <w:top w:w="70" w:type="dxa"/>
              <w:bottom w:w="70" w:type="dxa"/>
              <w:left w:w="100" w:type="dxa"/>
              <w:right w:w="100" w:type="dxa"/>
            </w:tcMar>
          </w:tcPr>
          <w:p>
            <w:r>
              <w:rPr>
                <w:rFonts w:ascii="Times New Roman" w:hAnsi="Times New Roman"/>
                <w:sz w:val="17"/>
              </w:rPr>
              <w:t>Highly Predictive Reversal</w:t>
            </w:r>
          </w:p>
        </w:tc>
      </w:tr>
      <w:tr>
        <w:tc>
          <w:tcPr>
            <w:tcW w:type="dxa" w:w="2304"/>
            <w:shd w:fill="F4F6F9"/>
            <w:tcMar>
              <w:top w:w="70" w:type="dxa"/>
              <w:bottom w:w="70" w:type="dxa"/>
              <w:left w:w="100" w:type="dxa"/>
              <w:right w:w="100" w:type="dxa"/>
            </w:tcMar>
          </w:tcPr>
          <w:p>
            <w:r>
              <w:rPr>
                <w:rFonts w:ascii="Times New Roman" w:hAnsi="Times New Roman"/>
                <w:sz w:val="17"/>
              </w:rPr>
              <w:t>Initial Balance Expansion</w:t>
            </w:r>
          </w:p>
        </w:tc>
        <w:tc>
          <w:tcPr>
            <w:tcW w:type="dxa" w:w="2016"/>
            <w:shd w:fill="F4F6F9"/>
            <w:tcMar>
              <w:top w:w="70" w:type="dxa"/>
              <w:bottom w:w="70" w:type="dxa"/>
              <w:left w:w="100" w:type="dxa"/>
              <w:right w:w="100" w:type="dxa"/>
            </w:tcMar>
          </w:tcPr>
          <w:p>
            <w:r>
              <w:rPr>
                <w:rFonts w:ascii="Times New Roman" w:hAnsi="Times New Roman"/>
                <w:sz w:val="17"/>
              </w:rPr>
              <w:t>81.6% Session Extension</w:t>
            </w:r>
          </w:p>
        </w:tc>
        <w:tc>
          <w:tcPr>
            <w:tcW w:type="dxa" w:w="2160"/>
            <w:shd w:fill="F4F6F9"/>
            <w:tcMar>
              <w:top w:w="70" w:type="dxa"/>
              <w:bottom w:w="70" w:type="dxa"/>
              <w:left w:w="100" w:type="dxa"/>
              <w:right w:w="100" w:type="dxa"/>
            </w:tcMar>
          </w:tcPr>
          <w:p>
            <w:r>
              <w:rPr>
                <w:rFonts w:ascii="Times New Roman" w:hAnsi="Times New Roman"/>
                <w:sz w:val="17"/>
              </w:rPr>
              <w:t>Z-score = 14.2</w:t>
            </w:r>
          </w:p>
        </w:tc>
        <w:tc>
          <w:tcPr>
            <w:tcW w:type="dxa" w:w="1728"/>
            <w:shd w:fill="F4F6F9"/>
            <w:tcMar>
              <w:top w:w="70" w:type="dxa"/>
              <w:bottom w:w="70" w:type="dxa"/>
              <w:left w:w="100" w:type="dxa"/>
              <w:right w:w="100" w:type="dxa"/>
            </w:tcMar>
          </w:tcPr>
          <w:p>
            <w:r>
              <w:rPr>
                <w:rFonts w:ascii="Times New Roman" w:hAnsi="Times New Roman"/>
                <w:sz w:val="17"/>
              </w:rPr>
              <w:t>p &lt; 0.001</w:t>
            </w:r>
          </w:p>
        </w:tc>
        <w:tc>
          <w:tcPr>
            <w:tcW w:type="dxa" w:w="1584"/>
            <w:shd w:fill="F4F6F9"/>
            <w:tcMar>
              <w:top w:w="70" w:type="dxa"/>
              <w:bottom w:w="70" w:type="dxa"/>
              <w:left w:w="100" w:type="dxa"/>
              <w:right w:w="100" w:type="dxa"/>
            </w:tcMar>
          </w:tcPr>
          <w:p>
            <w:r>
              <w:rPr>
                <w:rFonts w:ascii="Times New Roman" w:hAnsi="Times New Roman"/>
                <w:sz w:val="17"/>
              </w:rPr>
              <w:t>Confirms Higher Timeframe</w:t>
            </w:r>
          </w:p>
        </w:tc>
      </w:tr>
    </w:tbl>
    <w:p>
      <w:pPr>
        <w:spacing w:after="120"/>
      </w:pPr>
    </w:p>
    <w:p>
      <w:pPr>
        <w:pStyle w:val="Heading2"/>
        <w:spacing w:before="160" w:after="60"/>
      </w:pPr>
      <w:r>
        <w:rPr>
          <w:rFonts w:ascii="Times New Roman" w:hAnsi="Times New Roman"/>
          <w:b/>
          <w:color w:val="1E508C"/>
          <w:sz w:val="22"/>
        </w:rPr>
        <w:t>B. Unsupervised Regime Classification via GMM</w:t>
      </w:r>
    </w:p>
    <w:p>
      <w:pPr>
        <w:spacing w:after="80" w:line="276" w:lineRule="auto"/>
        <w:jc w:val="both"/>
      </w:pPr>
      <w:r>
        <w:rPr>
          <w:rFonts w:ascii="Times New Roman" w:hAnsi="Times New Roman"/>
          <w:i w:val="0"/>
          <w:sz w:val="20"/>
        </w:rPr>
        <w:t>A Gaussian Mixture Model (GMM) trained on DDAI, Volume Kurtosis, and Initial Balance Extension Ratios (IBER) separated trading sessions into distinct structural clusters with a Cohen's kappa coefficient of kappa = 0.82 relative to expert annotations. Rotational balance sessions exhibited sharp positive excess kurtosis (gamma_2 &gt; 1.2), while trending sessions exhibited negative excess kurtosis (gamma_2 &lt; -0.8).</w:t>
      </w:r>
    </w:p>
    <w:p>
      <w:pPr>
        <w:spacing w:before="160" w:after="60"/>
        <w:jc w:val="center"/>
      </w:pPr>
      <w:r>
        <w:drawing>
          <wp:inline xmlns:a="http://schemas.openxmlformats.org/drawingml/2006/main" xmlns:pic="http://schemas.openxmlformats.org/drawingml/2006/picture">
            <wp:extent cx="5669280" cy="3644537"/>
            <wp:docPr id="3" name="Picture 3"/>
            <wp:cNvGraphicFramePr>
              <a:graphicFrameLocks noChangeAspect="1"/>
            </wp:cNvGraphicFramePr>
            <a:graphic>
              <a:graphicData uri="http://schemas.openxmlformats.org/drawingml/2006/picture">
                <pic:pic>
                  <pic:nvPicPr>
                    <pic:cNvPr id="0" name="fig3_regime_clustering.png"/>
                    <pic:cNvPicPr/>
                  </pic:nvPicPr>
                  <pic:blipFill>
                    <a:blip r:embed="rId11"/>
                    <a:stretch>
                      <a:fillRect/>
                    </a:stretch>
                  </pic:blipFill>
                  <pic:spPr>
                    <a:xfrm>
                      <a:off x="0" y="0"/>
                      <a:ext cx="5669280" cy="3644537"/>
                    </a:xfrm>
                    <a:prstGeom prst="rect"/>
                  </pic:spPr>
                </pic:pic>
              </a:graphicData>
            </a:graphic>
          </wp:inline>
        </w:drawing>
      </w:r>
    </w:p>
    <w:p>
      <w:pPr>
        <w:spacing w:after="160"/>
        <w:jc w:val="center"/>
      </w:pPr>
      <w:r>
        <w:rPr>
          <w:rFonts w:ascii="Times New Roman" w:hAnsi="Times New Roman"/>
          <w:i/>
          <w:color w:val="3C3C3C"/>
          <w:sz w:val="18"/>
        </w:rPr>
        <w:t>Fig. 3. Unsupervised Gaussian Mixture Model clustering across the Dual-Distribution Asymmetry Index (DDAI) and Volume Excess Kurtosis (gamma_2), demonstrating distinct separation between Rotational Balance and Initiative Trend regimes.</w:t>
      </w:r>
    </w:p>
    <w:p>
      <w:pPr>
        <w:pStyle w:val="Heading2"/>
        <w:spacing w:before="160" w:after="60"/>
      </w:pPr>
      <w:r>
        <w:rPr>
          <w:rFonts w:ascii="Times New Roman" w:hAnsi="Times New Roman"/>
          <w:b/>
          <w:color w:val="1E508C"/>
          <w:sz w:val="22"/>
        </w:rPr>
        <w:t>C. Acceptance vs. Rejection Dynamics (TPAM)</w:t>
      </w:r>
    </w:p>
    <w:p>
      <w:pPr>
        <w:spacing w:after="80" w:line="276" w:lineRule="auto"/>
        <w:jc w:val="both"/>
      </w:pPr>
      <w:r>
        <w:rPr>
          <w:rFonts w:ascii="Times New Roman" w:hAnsi="Times New Roman"/>
          <w:i w:val="0"/>
          <w:sz w:val="20"/>
        </w:rPr>
        <w:t>As illustrated in Fig. 4, price excursions outside the prior Value Area with TPAM &lt; 0.15 displayed an 82.4% empirical probability of mean-reverting into the Value Area. In contrast, excursions maintaining TPAM &gt;= 0.40 established sustained directional trends 78.9% of the time, validating TPAM's efficacy in eliminating false breakout traps.</w:t>
      </w:r>
    </w:p>
    <w:p>
      <w:pPr>
        <w:spacing w:before="160" w:after="60"/>
        <w:jc w:val="center"/>
      </w:pPr>
      <w:r>
        <w:drawing>
          <wp:inline xmlns:a="http://schemas.openxmlformats.org/drawingml/2006/main" xmlns:pic="http://schemas.openxmlformats.org/drawingml/2006/picture">
            <wp:extent cx="5669280" cy="3401568"/>
            <wp:docPr id="4" name="Picture 4"/>
            <wp:cNvGraphicFramePr>
              <a:graphicFrameLocks noChangeAspect="1"/>
            </wp:cNvGraphicFramePr>
            <a:graphic>
              <a:graphicData uri="http://schemas.openxmlformats.org/drawingml/2006/picture">
                <pic:pic>
                  <pic:nvPicPr>
                    <pic:cNvPr id="0" name="fig4_tpam_reversion.png"/>
                    <pic:cNvPicPr/>
                  </pic:nvPicPr>
                  <pic:blipFill>
                    <a:blip r:embed="rId12"/>
                    <a:stretch>
                      <a:fillRect/>
                    </a:stretch>
                  </pic:blipFill>
                  <pic:spPr>
                    <a:xfrm>
                      <a:off x="0" y="0"/>
                      <a:ext cx="5669280" cy="3401568"/>
                    </a:xfrm>
                    <a:prstGeom prst="rect"/>
                  </pic:spPr>
                </pic:pic>
              </a:graphicData>
            </a:graphic>
          </wp:inline>
        </w:drawing>
      </w:r>
    </w:p>
    <w:p>
      <w:pPr>
        <w:spacing w:after="160"/>
        <w:jc w:val="center"/>
      </w:pPr>
      <w:r>
        <w:rPr>
          <w:rFonts w:ascii="Times New Roman" w:hAnsi="Times New Roman"/>
          <w:i/>
          <w:color w:val="3C3C3C"/>
          <w:sz w:val="18"/>
        </w:rPr>
        <w:t>Fig. 4. Empirical probability of price mean-reverting back into the prior Value Area as a function of the Thermodynamic Price Acceptance Metric (TPAM), confirming a sharp transition from auction rejection to sustained trend discovery.</w:t>
      </w:r>
    </w:p>
    <w:p>
      <w:pPr>
        <w:pStyle w:val="Heading1"/>
        <w:spacing w:before="240" w:after="80"/>
      </w:pPr>
      <w:r>
        <w:rPr>
          <w:rFonts w:ascii="Times New Roman" w:hAnsi="Times New Roman"/>
          <w:b/>
          <w:color w:val="003366"/>
          <w:sz w:val="26"/>
        </w:rPr>
        <w:t>VI. NOVELTY BENCHMARKING &amp; SYSTEM READINESS</w:t>
      </w:r>
    </w:p>
    <w:p>
      <w:pPr>
        <w:spacing w:after="80" w:line="276" w:lineRule="auto"/>
        <w:jc w:val="both"/>
      </w:pPr>
      <w:r>
        <w:rPr>
          <w:rFonts w:ascii="Times New Roman" w:hAnsi="Times New Roman"/>
          <w:i w:val="0"/>
          <w:sz w:val="20"/>
        </w:rPr>
        <w:t>Table IV benchmarks the AlphaPulse platform against prominent commercial trading platforms, screeners, and academic machine learning bots.</w:t>
      </w:r>
    </w:p>
    <w:p>
      <w:pPr>
        <w:spacing w:before="160" w:after="60"/>
        <w:jc w:val="center"/>
      </w:pPr>
      <w:r>
        <w:rPr>
          <w:rFonts w:ascii="Times New Roman" w:hAnsi="Times New Roman"/>
          <w:b/>
          <w:color w:val="003366"/>
          <w:sz w:val="19"/>
        </w:rPr>
        <w:t>TABLE IV: COMPREHENSIVE NOVELTY AND BENCHMARKING MATRIX</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2160"/>
            <w:shd w:fill="003366"/>
            <w:tcMar>
              <w:top w:w="100" w:type="dxa"/>
              <w:bottom w:w="100" w:type="dxa"/>
              <w:left w:w="120" w:type="dxa"/>
              <w:right w:w="120" w:type="dxa"/>
            </w:tcMar>
          </w:tcPr>
          <w:p>
            <w:pPr>
              <w:jc w:val="center"/>
            </w:pPr>
            <w:r>
              <w:rPr>
                <w:rFonts w:ascii="Times New Roman" w:hAnsi="Times New Roman"/>
                <w:b/>
                <w:color w:val="FFFFFF"/>
                <w:sz w:val="18"/>
              </w:rPr>
              <w:t>Evaluation Dimension</w:t>
            </w:r>
          </w:p>
        </w:tc>
        <w:tc>
          <w:tcPr>
            <w:tcW w:type="dxa" w:w="1872"/>
            <w:shd w:fill="003366"/>
            <w:tcMar>
              <w:top w:w="100" w:type="dxa"/>
              <w:bottom w:w="100" w:type="dxa"/>
              <w:left w:w="120" w:type="dxa"/>
              <w:right w:w="120" w:type="dxa"/>
            </w:tcMar>
          </w:tcPr>
          <w:p>
            <w:pPr>
              <w:jc w:val="center"/>
            </w:pPr>
            <w:r>
              <w:rPr>
                <w:rFonts w:ascii="Times New Roman" w:hAnsi="Times New Roman"/>
                <w:b/>
                <w:color w:val="FFFFFF"/>
                <w:sz w:val="18"/>
              </w:rPr>
              <w:t>TradingView</w:t>
            </w:r>
          </w:p>
        </w:tc>
        <w:tc>
          <w:tcPr>
            <w:tcW w:type="dxa" w:w="1872"/>
            <w:shd w:fill="003366"/>
            <w:tcMar>
              <w:top w:w="100" w:type="dxa"/>
              <w:bottom w:w="100" w:type="dxa"/>
              <w:left w:w="120" w:type="dxa"/>
              <w:right w:w="120" w:type="dxa"/>
            </w:tcMar>
          </w:tcPr>
          <w:p>
            <w:pPr>
              <w:jc w:val="center"/>
            </w:pPr>
            <w:r>
              <w:rPr>
                <w:rFonts w:ascii="Times New Roman" w:hAnsi="Times New Roman"/>
                <w:b/>
                <w:color w:val="FFFFFF"/>
                <w:sz w:val="18"/>
              </w:rPr>
              <w:t>TrendSpider</w:t>
            </w:r>
          </w:p>
        </w:tc>
        <w:tc>
          <w:tcPr>
            <w:tcW w:type="dxa" w:w="2016"/>
            <w:shd w:fill="003366"/>
            <w:tcMar>
              <w:top w:w="100" w:type="dxa"/>
              <w:bottom w:w="100" w:type="dxa"/>
              <w:left w:w="120" w:type="dxa"/>
              <w:right w:w="120" w:type="dxa"/>
            </w:tcMar>
          </w:tcPr>
          <w:p>
            <w:pPr>
              <w:jc w:val="center"/>
            </w:pPr>
            <w:r>
              <w:rPr>
                <w:rFonts w:ascii="Times New Roman" w:hAnsi="Times New Roman"/>
                <w:b/>
                <w:color w:val="FFFFFF"/>
                <w:sz w:val="18"/>
              </w:rPr>
              <w:t>Black-Box ML Bots</w:t>
            </w:r>
          </w:p>
        </w:tc>
        <w:tc>
          <w:tcPr>
            <w:tcW w:type="dxa" w:w="1872"/>
            <w:shd w:fill="003366"/>
            <w:tcMar>
              <w:top w:w="100" w:type="dxa"/>
              <w:bottom w:w="100" w:type="dxa"/>
              <w:left w:w="120" w:type="dxa"/>
              <w:right w:w="120" w:type="dxa"/>
            </w:tcMar>
          </w:tcPr>
          <w:p>
            <w:pPr>
              <w:jc w:val="center"/>
            </w:pPr>
            <w:r>
              <w:rPr>
                <w:rFonts w:ascii="Times New Roman" w:hAnsi="Times New Roman"/>
                <w:b/>
                <w:color w:val="FFFFFF"/>
                <w:sz w:val="18"/>
              </w:rPr>
              <w:t>AlphaPulse Engine</w:t>
            </w:r>
          </w:p>
        </w:tc>
      </w:tr>
      <w:tr>
        <w:tc>
          <w:tcPr>
            <w:tcW w:type="dxa" w:w="2160"/>
            <w:shd w:fill="FFFFFF"/>
            <w:tcMar>
              <w:top w:w="70" w:type="dxa"/>
              <w:bottom w:w="70" w:type="dxa"/>
              <w:left w:w="100" w:type="dxa"/>
              <w:right w:w="100" w:type="dxa"/>
            </w:tcMar>
          </w:tcPr>
          <w:p>
            <w:r>
              <w:rPr>
                <w:rFonts w:ascii="Times New Roman" w:hAnsi="Times New Roman"/>
                <w:sz w:val="17"/>
              </w:rPr>
              <w:t>Core Architecture</w:t>
            </w:r>
          </w:p>
        </w:tc>
        <w:tc>
          <w:tcPr>
            <w:tcW w:type="dxa" w:w="1872"/>
            <w:shd w:fill="FFFFFF"/>
            <w:tcMar>
              <w:top w:w="70" w:type="dxa"/>
              <w:bottom w:w="70" w:type="dxa"/>
              <w:left w:w="100" w:type="dxa"/>
              <w:right w:w="100" w:type="dxa"/>
            </w:tcMar>
          </w:tcPr>
          <w:p>
            <w:r>
              <w:rPr>
                <w:rFonts w:ascii="Times New Roman" w:hAnsi="Times New Roman"/>
                <w:sz w:val="17"/>
              </w:rPr>
              <w:t>Price Indicators</w:t>
            </w:r>
          </w:p>
        </w:tc>
        <w:tc>
          <w:tcPr>
            <w:tcW w:type="dxa" w:w="1872"/>
            <w:shd w:fill="FFFFFF"/>
            <w:tcMar>
              <w:top w:w="70" w:type="dxa"/>
              <w:bottom w:w="70" w:type="dxa"/>
              <w:left w:w="100" w:type="dxa"/>
              <w:right w:w="100" w:type="dxa"/>
            </w:tcMar>
          </w:tcPr>
          <w:p>
            <w:r>
              <w:rPr>
                <w:rFonts w:ascii="Times New Roman" w:hAnsi="Times New Roman"/>
                <w:sz w:val="17"/>
              </w:rPr>
              <w:t>Automated Heuristics</w:t>
            </w:r>
          </w:p>
        </w:tc>
        <w:tc>
          <w:tcPr>
            <w:tcW w:type="dxa" w:w="2016"/>
            <w:shd w:fill="FFFFFF"/>
            <w:tcMar>
              <w:top w:w="70" w:type="dxa"/>
              <w:bottom w:w="70" w:type="dxa"/>
              <w:left w:w="100" w:type="dxa"/>
              <w:right w:w="100" w:type="dxa"/>
            </w:tcMar>
          </w:tcPr>
          <w:p>
            <w:r>
              <w:rPr>
                <w:rFonts w:ascii="Times New Roman" w:hAnsi="Times New Roman"/>
                <w:sz w:val="17"/>
              </w:rPr>
              <w:t>Deep Neural Networks</w:t>
            </w:r>
          </w:p>
        </w:tc>
        <w:tc>
          <w:tcPr>
            <w:tcW w:type="dxa" w:w="1872"/>
            <w:shd w:fill="FFFFFF"/>
            <w:tcMar>
              <w:top w:w="70" w:type="dxa"/>
              <w:bottom w:w="70" w:type="dxa"/>
              <w:left w:w="100" w:type="dxa"/>
              <w:right w:w="100" w:type="dxa"/>
            </w:tcMar>
          </w:tcPr>
          <w:p>
            <w:r>
              <w:rPr>
                <w:rFonts w:ascii="Times New Roman" w:hAnsi="Times New Roman"/>
                <w:sz w:val="17"/>
              </w:rPr>
              <w:t>Auction Market Theory</w:t>
            </w:r>
          </w:p>
        </w:tc>
      </w:tr>
      <w:tr>
        <w:tc>
          <w:tcPr>
            <w:tcW w:type="dxa" w:w="2160"/>
            <w:shd w:fill="F4F6F9"/>
            <w:tcMar>
              <w:top w:w="70" w:type="dxa"/>
              <w:bottom w:w="70" w:type="dxa"/>
              <w:left w:w="100" w:type="dxa"/>
              <w:right w:w="100" w:type="dxa"/>
            </w:tcMar>
          </w:tcPr>
          <w:p>
            <w:r>
              <w:rPr>
                <w:rFonts w:ascii="Times New Roman" w:hAnsi="Times New Roman"/>
                <w:sz w:val="17"/>
              </w:rPr>
              <w:t>Volume Profile Automation</w:t>
            </w:r>
          </w:p>
        </w:tc>
        <w:tc>
          <w:tcPr>
            <w:tcW w:type="dxa" w:w="1872"/>
            <w:shd w:fill="F4F6F9"/>
            <w:tcMar>
              <w:top w:w="70" w:type="dxa"/>
              <w:bottom w:w="70" w:type="dxa"/>
              <w:left w:w="100" w:type="dxa"/>
              <w:right w:w="100" w:type="dxa"/>
            </w:tcMar>
          </w:tcPr>
          <w:p>
            <w:r>
              <w:rPr>
                <w:rFonts w:ascii="Times New Roman" w:hAnsi="Times New Roman"/>
                <w:sz w:val="17"/>
              </w:rPr>
              <w:t>Manual / Script Add-on</w:t>
            </w:r>
          </w:p>
        </w:tc>
        <w:tc>
          <w:tcPr>
            <w:tcW w:type="dxa" w:w="1872"/>
            <w:shd w:fill="F4F6F9"/>
            <w:tcMar>
              <w:top w:w="70" w:type="dxa"/>
              <w:bottom w:w="70" w:type="dxa"/>
              <w:left w:w="100" w:type="dxa"/>
              <w:right w:w="100" w:type="dxa"/>
            </w:tcMar>
          </w:tcPr>
          <w:p>
            <w:r>
              <w:rPr>
                <w:rFonts w:ascii="Times New Roman" w:hAnsi="Times New Roman"/>
                <w:sz w:val="17"/>
              </w:rPr>
              <w:t>Automated Charts</w:t>
            </w:r>
          </w:p>
        </w:tc>
        <w:tc>
          <w:tcPr>
            <w:tcW w:type="dxa" w:w="2016"/>
            <w:shd w:fill="F4F6F9"/>
            <w:tcMar>
              <w:top w:w="70" w:type="dxa"/>
              <w:bottom w:w="70" w:type="dxa"/>
              <w:left w:w="100" w:type="dxa"/>
              <w:right w:w="100" w:type="dxa"/>
            </w:tcMar>
          </w:tcPr>
          <w:p>
            <w:r>
              <w:rPr>
                <w:rFonts w:ascii="Times New Roman" w:hAnsi="Times New Roman"/>
                <w:sz w:val="17"/>
              </w:rPr>
              <w:t>Not Supported</w:t>
            </w:r>
          </w:p>
        </w:tc>
        <w:tc>
          <w:tcPr>
            <w:tcW w:type="dxa" w:w="1872"/>
            <w:shd w:fill="F4F6F9"/>
            <w:tcMar>
              <w:top w:w="70" w:type="dxa"/>
              <w:bottom w:w="70" w:type="dxa"/>
              <w:left w:w="100" w:type="dxa"/>
              <w:right w:w="100" w:type="dxa"/>
            </w:tcMar>
          </w:tcPr>
          <w:p>
            <w:r>
              <w:rPr>
                <w:rFonts w:ascii="Times New Roman" w:hAnsi="Times New Roman"/>
                <w:sz w:val="17"/>
              </w:rPr>
              <w:t>Native Vectorized Core</w:t>
            </w:r>
          </w:p>
        </w:tc>
      </w:tr>
      <w:tr>
        <w:tc>
          <w:tcPr>
            <w:tcW w:type="dxa" w:w="2160"/>
            <w:shd w:fill="FFFFFF"/>
            <w:tcMar>
              <w:top w:w="70" w:type="dxa"/>
              <w:bottom w:w="70" w:type="dxa"/>
              <w:left w:w="100" w:type="dxa"/>
              <w:right w:w="100" w:type="dxa"/>
            </w:tcMar>
          </w:tcPr>
          <w:p>
            <w:r>
              <w:rPr>
                <w:rFonts w:ascii="Times New Roman" w:hAnsi="Times New Roman"/>
                <w:sz w:val="17"/>
              </w:rPr>
              <w:t>Novel Microstructure Metrics</w:t>
            </w:r>
          </w:p>
        </w:tc>
        <w:tc>
          <w:tcPr>
            <w:tcW w:type="dxa" w:w="1872"/>
            <w:shd w:fill="FFFFFF"/>
            <w:tcMar>
              <w:top w:w="70" w:type="dxa"/>
              <w:bottom w:w="70" w:type="dxa"/>
              <w:left w:w="100" w:type="dxa"/>
              <w:right w:w="100" w:type="dxa"/>
            </w:tcMar>
          </w:tcPr>
          <w:p>
            <w:r>
              <w:rPr>
                <w:rFonts w:ascii="Times New Roman" w:hAnsi="Times New Roman"/>
                <w:sz w:val="17"/>
              </w:rPr>
              <w:t>Absent</w:t>
            </w:r>
          </w:p>
        </w:tc>
        <w:tc>
          <w:tcPr>
            <w:tcW w:type="dxa" w:w="1872"/>
            <w:shd w:fill="FFFFFF"/>
            <w:tcMar>
              <w:top w:w="70" w:type="dxa"/>
              <w:bottom w:w="70" w:type="dxa"/>
              <w:left w:w="100" w:type="dxa"/>
              <w:right w:w="100" w:type="dxa"/>
            </w:tcMar>
          </w:tcPr>
          <w:p>
            <w:r>
              <w:rPr>
                <w:rFonts w:ascii="Times New Roman" w:hAnsi="Times New Roman"/>
                <w:sz w:val="17"/>
              </w:rPr>
              <w:t>Absent</w:t>
            </w:r>
          </w:p>
        </w:tc>
        <w:tc>
          <w:tcPr>
            <w:tcW w:type="dxa" w:w="2016"/>
            <w:shd w:fill="FFFFFF"/>
            <w:tcMar>
              <w:top w:w="70" w:type="dxa"/>
              <w:bottom w:w="70" w:type="dxa"/>
              <w:left w:w="100" w:type="dxa"/>
              <w:right w:w="100" w:type="dxa"/>
            </w:tcMar>
          </w:tcPr>
          <w:p>
            <w:r>
              <w:rPr>
                <w:rFonts w:ascii="Times New Roman" w:hAnsi="Times New Roman"/>
                <w:sz w:val="17"/>
              </w:rPr>
              <w:t>Absent</w:t>
            </w:r>
          </w:p>
        </w:tc>
        <w:tc>
          <w:tcPr>
            <w:tcW w:type="dxa" w:w="1872"/>
            <w:shd w:fill="FFFFFF"/>
            <w:tcMar>
              <w:top w:w="70" w:type="dxa"/>
              <w:bottom w:w="70" w:type="dxa"/>
              <w:left w:w="100" w:type="dxa"/>
              <w:right w:w="100" w:type="dxa"/>
            </w:tcMar>
          </w:tcPr>
          <w:p>
            <w:r>
              <w:rPr>
                <w:rFonts w:ascii="Times New Roman" w:hAnsi="Times New Roman"/>
                <w:sz w:val="17"/>
              </w:rPr>
              <w:t>Native (DDAI &amp; TPAM)</w:t>
            </w:r>
          </w:p>
        </w:tc>
      </w:tr>
      <w:tr>
        <w:tc>
          <w:tcPr>
            <w:tcW w:type="dxa" w:w="2160"/>
            <w:shd w:fill="F4F6F9"/>
            <w:tcMar>
              <w:top w:w="70" w:type="dxa"/>
              <w:bottom w:w="70" w:type="dxa"/>
              <w:left w:w="100" w:type="dxa"/>
              <w:right w:w="100" w:type="dxa"/>
            </w:tcMar>
          </w:tcPr>
          <w:p>
            <w:r>
              <w:rPr>
                <w:rFonts w:ascii="Times New Roman" w:hAnsi="Times New Roman"/>
                <w:sz w:val="17"/>
              </w:rPr>
              <w:t>Explainable AI Layer (NLP)</w:t>
            </w:r>
          </w:p>
        </w:tc>
        <w:tc>
          <w:tcPr>
            <w:tcW w:type="dxa" w:w="1872"/>
            <w:shd w:fill="F4F6F9"/>
            <w:tcMar>
              <w:top w:w="70" w:type="dxa"/>
              <w:bottom w:w="70" w:type="dxa"/>
              <w:left w:w="100" w:type="dxa"/>
              <w:right w:w="100" w:type="dxa"/>
            </w:tcMar>
          </w:tcPr>
          <w:p>
            <w:r>
              <w:rPr>
                <w:rFonts w:ascii="Times New Roman" w:hAnsi="Times New Roman"/>
                <w:sz w:val="17"/>
              </w:rPr>
              <w:t>Absent</w:t>
            </w:r>
          </w:p>
        </w:tc>
        <w:tc>
          <w:tcPr>
            <w:tcW w:type="dxa" w:w="1872"/>
            <w:shd w:fill="F4F6F9"/>
            <w:tcMar>
              <w:top w:w="70" w:type="dxa"/>
              <w:bottom w:w="70" w:type="dxa"/>
              <w:left w:w="100" w:type="dxa"/>
              <w:right w:w="100" w:type="dxa"/>
            </w:tcMar>
          </w:tcPr>
          <w:p>
            <w:r>
              <w:rPr>
                <w:rFonts w:ascii="Times New Roman" w:hAnsi="Times New Roman"/>
                <w:sz w:val="17"/>
              </w:rPr>
              <w:t>Absent</w:t>
            </w:r>
          </w:p>
        </w:tc>
        <w:tc>
          <w:tcPr>
            <w:tcW w:type="dxa" w:w="2016"/>
            <w:shd w:fill="F4F6F9"/>
            <w:tcMar>
              <w:top w:w="70" w:type="dxa"/>
              <w:bottom w:w="70" w:type="dxa"/>
              <w:left w:w="100" w:type="dxa"/>
              <w:right w:w="100" w:type="dxa"/>
            </w:tcMar>
          </w:tcPr>
          <w:p>
            <w:r>
              <w:rPr>
                <w:rFonts w:ascii="Times New Roman" w:hAnsi="Times New Roman"/>
                <w:sz w:val="17"/>
              </w:rPr>
              <w:t>Opaque Weights</w:t>
            </w:r>
          </w:p>
        </w:tc>
        <w:tc>
          <w:tcPr>
            <w:tcW w:type="dxa" w:w="1872"/>
            <w:shd w:fill="F4F6F9"/>
            <w:tcMar>
              <w:top w:w="70" w:type="dxa"/>
              <w:bottom w:w="70" w:type="dxa"/>
              <w:left w:w="100" w:type="dxa"/>
              <w:right w:w="100" w:type="dxa"/>
            </w:tcMar>
          </w:tcPr>
          <w:p>
            <w:r>
              <w:rPr>
                <w:rFonts w:ascii="Times New Roman" w:hAnsi="Times New Roman"/>
                <w:sz w:val="17"/>
              </w:rPr>
              <w:t>Native Deterministic XAI</w:t>
            </w:r>
          </w:p>
        </w:tc>
      </w:tr>
      <w:tr>
        <w:tc>
          <w:tcPr>
            <w:tcW w:type="dxa" w:w="2160"/>
            <w:shd w:fill="FFFFFF"/>
            <w:tcMar>
              <w:top w:w="70" w:type="dxa"/>
              <w:bottom w:w="70" w:type="dxa"/>
              <w:left w:w="100" w:type="dxa"/>
              <w:right w:w="100" w:type="dxa"/>
            </w:tcMar>
          </w:tcPr>
          <w:p>
            <w:r>
              <w:rPr>
                <w:rFonts w:ascii="Times New Roman" w:hAnsi="Times New Roman"/>
                <w:sz w:val="17"/>
              </w:rPr>
              <w:t>Regulatory Compliance</w:t>
            </w:r>
          </w:p>
        </w:tc>
        <w:tc>
          <w:tcPr>
            <w:tcW w:type="dxa" w:w="1872"/>
            <w:shd w:fill="FFFFFF"/>
            <w:tcMar>
              <w:top w:w="70" w:type="dxa"/>
              <w:bottom w:w="70" w:type="dxa"/>
              <w:left w:w="100" w:type="dxa"/>
              <w:right w:w="100" w:type="dxa"/>
            </w:tcMar>
          </w:tcPr>
          <w:p>
            <w:r>
              <w:rPr>
                <w:rFonts w:ascii="Times New Roman" w:hAnsi="Times New Roman"/>
                <w:sz w:val="17"/>
              </w:rPr>
              <w:t>Sell Signals</w:t>
            </w:r>
          </w:p>
        </w:tc>
        <w:tc>
          <w:tcPr>
            <w:tcW w:type="dxa" w:w="1872"/>
            <w:shd w:fill="FFFFFF"/>
            <w:tcMar>
              <w:top w:w="70" w:type="dxa"/>
              <w:bottom w:w="70" w:type="dxa"/>
              <w:left w:w="100" w:type="dxa"/>
              <w:right w:w="100" w:type="dxa"/>
            </w:tcMar>
          </w:tcPr>
          <w:p>
            <w:r>
              <w:rPr>
                <w:rFonts w:ascii="Times New Roman" w:hAnsi="Times New Roman"/>
                <w:sz w:val="17"/>
              </w:rPr>
              <w:t>Breakout Alerts</w:t>
            </w:r>
          </w:p>
        </w:tc>
        <w:tc>
          <w:tcPr>
            <w:tcW w:type="dxa" w:w="2016"/>
            <w:shd w:fill="FFFFFF"/>
            <w:tcMar>
              <w:top w:w="70" w:type="dxa"/>
              <w:bottom w:w="70" w:type="dxa"/>
              <w:left w:w="100" w:type="dxa"/>
              <w:right w:w="100" w:type="dxa"/>
            </w:tcMar>
          </w:tcPr>
          <w:p>
            <w:r>
              <w:rPr>
                <w:rFonts w:ascii="Times New Roman" w:hAnsi="Times New Roman"/>
                <w:sz w:val="17"/>
              </w:rPr>
              <w:t>Black-Box Trade Flags</w:t>
            </w:r>
          </w:p>
        </w:tc>
        <w:tc>
          <w:tcPr>
            <w:tcW w:type="dxa" w:w="1872"/>
            <w:shd w:fill="FFFFFF"/>
            <w:tcMar>
              <w:top w:w="70" w:type="dxa"/>
              <w:bottom w:w="70" w:type="dxa"/>
              <w:left w:w="100" w:type="dxa"/>
              <w:right w:w="100" w:type="dxa"/>
            </w:tcMar>
          </w:tcPr>
          <w:p>
            <w:r>
              <w:rPr>
                <w:rFonts w:ascii="Times New Roman" w:hAnsi="Times New Roman"/>
                <w:sz w:val="17"/>
              </w:rPr>
              <w:t>Strictly Educational (Compliant)</w:t>
            </w:r>
          </w:p>
        </w:tc>
      </w:tr>
      <w:tr>
        <w:tc>
          <w:tcPr>
            <w:tcW w:type="dxa" w:w="2160"/>
            <w:shd w:fill="F4F6F9"/>
            <w:tcMar>
              <w:top w:w="70" w:type="dxa"/>
              <w:bottom w:w="70" w:type="dxa"/>
              <w:left w:w="100" w:type="dxa"/>
              <w:right w:w="100" w:type="dxa"/>
            </w:tcMar>
          </w:tcPr>
          <w:p>
            <w:r>
              <w:rPr>
                <w:rFonts w:ascii="Times New Roman" w:hAnsi="Times New Roman"/>
                <w:sz w:val="17"/>
              </w:rPr>
              <w:t>Technology Readiness Level</w:t>
            </w:r>
          </w:p>
        </w:tc>
        <w:tc>
          <w:tcPr>
            <w:tcW w:type="dxa" w:w="1872"/>
            <w:shd w:fill="F4F6F9"/>
            <w:tcMar>
              <w:top w:w="70" w:type="dxa"/>
              <w:bottom w:w="70" w:type="dxa"/>
              <w:left w:w="100" w:type="dxa"/>
              <w:right w:w="100" w:type="dxa"/>
            </w:tcMar>
          </w:tcPr>
          <w:p>
            <w:r>
              <w:rPr>
                <w:rFonts w:ascii="Times New Roman" w:hAnsi="Times New Roman"/>
                <w:sz w:val="17"/>
              </w:rPr>
              <w:t>Commercial SaaS</w:t>
            </w:r>
          </w:p>
        </w:tc>
        <w:tc>
          <w:tcPr>
            <w:tcW w:type="dxa" w:w="1872"/>
            <w:shd w:fill="F4F6F9"/>
            <w:tcMar>
              <w:top w:w="70" w:type="dxa"/>
              <w:bottom w:w="70" w:type="dxa"/>
              <w:left w:w="100" w:type="dxa"/>
              <w:right w:w="100" w:type="dxa"/>
            </w:tcMar>
          </w:tcPr>
          <w:p>
            <w:r>
              <w:rPr>
                <w:rFonts w:ascii="Times New Roman" w:hAnsi="Times New Roman"/>
                <w:sz w:val="17"/>
              </w:rPr>
              <w:t>Commercial SaaS</w:t>
            </w:r>
          </w:p>
        </w:tc>
        <w:tc>
          <w:tcPr>
            <w:tcW w:type="dxa" w:w="2016"/>
            <w:shd w:fill="F4F6F9"/>
            <w:tcMar>
              <w:top w:w="70" w:type="dxa"/>
              <w:bottom w:w="70" w:type="dxa"/>
              <w:left w:w="100" w:type="dxa"/>
              <w:right w:w="100" w:type="dxa"/>
            </w:tcMar>
          </w:tcPr>
          <w:p>
            <w:r>
              <w:rPr>
                <w:rFonts w:ascii="Times New Roman" w:hAnsi="Times New Roman"/>
                <w:sz w:val="17"/>
              </w:rPr>
              <w:t>TRL-3 (Research Prototype)</w:t>
            </w:r>
          </w:p>
        </w:tc>
        <w:tc>
          <w:tcPr>
            <w:tcW w:type="dxa" w:w="1872"/>
            <w:shd w:fill="F4F6F9"/>
            <w:tcMar>
              <w:top w:w="70" w:type="dxa"/>
              <w:bottom w:w="70" w:type="dxa"/>
              <w:left w:w="100" w:type="dxa"/>
              <w:right w:w="100" w:type="dxa"/>
            </w:tcMar>
          </w:tcPr>
          <w:p>
            <w:r>
              <w:rPr>
                <w:rFonts w:ascii="Times New Roman" w:hAnsi="Times New Roman"/>
                <w:sz w:val="17"/>
              </w:rPr>
              <w:t>TRL-6 (Operational Prototype)</w:t>
            </w:r>
          </w:p>
        </w:tc>
      </w:tr>
      <w:tr>
        <w:tc>
          <w:tcPr>
            <w:tcW w:type="dxa" w:w="2160"/>
            <w:shd w:fill="FFFFFF"/>
            <w:tcMar>
              <w:top w:w="70" w:type="dxa"/>
              <w:bottom w:w="70" w:type="dxa"/>
              <w:left w:w="100" w:type="dxa"/>
              <w:right w:w="100" w:type="dxa"/>
            </w:tcMar>
          </w:tcPr>
          <w:p>
            <w:r>
              <w:rPr>
                <w:rFonts w:ascii="Times New Roman" w:hAnsi="Times New Roman"/>
                <w:sz w:val="17"/>
              </w:rPr>
              <w:t>Innovation Score (/10)</w:t>
            </w:r>
          </w:p>
        </w:tc>
        <w:tc>
          <w:tcPr>
            <w:tcW w:type="dxa" w:w="1872"/>
            <w:shd w:fill="FFFFFF"/>
            <w:tcMar>
              <w:top w:w="70" w:type="dxa"/>
              <w:bottom w:w="70" w:type="dxa"/>
              <w:left w:w="100" w:type="dxa"/>
              <w:right w:w="100" w:type="dxa"/>
            </w:tcMar>
          </w:tcPr>
          <w:p>
            <w:r>
              <w:rPr>
                <w:rFonts w:ascii="Times New Roman" w:hAnsi="Times New Roman"/>
                <w:sz w:val="17"/>
              </w:rPr>
              <w:t>5.5 / 10</w:t>
            </w:r>
          </w:p>
        </w:tc>
        <w:tc>
          <w:tcPr>
            <w:tcW w:type="dxa" w:w="1872"/>
            <w:shd w:fill="FFFFFF"/>
            <w:tcMar>
              <w:top w:w="70" w:type="dxa"/>
              <w:bottom w:w="70" w:type="dxa"/>
              <w:left w:w="100" w:type="dxa"/>
              <w:right w:w="100" w:type="dxa"/>
            </w:tcMar>
          </w:tcPr>
          <w:p>
            <w:r>
              <w:rPr>
                <w:rFonts w:ascii="Times New Roman" w:hAnsi="Times New Roman"/>
                <w:sz w:val="17"/>
              </w:rPr>
              <w:t>6.5 / 10</w:t>
            </w:r>
          </w:p>
        </w:tc>
        <w:tc>
          <w:tcPr>
            <w:tcW w:type="dxa" w:w="2016"/>
            <w:shd w:fill="FFFFFF"/>
            <w:tcMar>
              <w:top w:w="70" w:type="dxa"/>
              <w:bottom w:w="70" w:type="dxa"/>
              <w:left w:w="100" w:type="dxa"/>
              <w:right w:w="100" w:type="dxa"/>
            </w:tcMar>
          </w:tcPr>
          <w:p>
            <w:r>
              <w:rPr>
                <w:rFonts w:ascii="Times New Roman" w:hAnsi="Times New Roman"/>
                <w:sz w:val="17"/>
              </w:rPr>
              <w:t>6.0 / 10</w:t>
            </w:r>
          </w:p>
        </w:tc>
        <w:tc>
          <w:tcPr>
            <w:tcW w:type="dxa" w:w="1872"/>
            <w:shd w:fill="FFFFFF"/>
            <w:tcMar>
              <w:top w:w="70" w:type="dxa"/>
              <w:bottom w:w="70" w:type="dxa"/>
              <w:left w:w="100" w:type="dxa"/>
              <w:right w:w="100" w:type="dxa"/>
            </w:tcMar>
          </w:tcPr>
          <w:p>
            <w:r>
              <w:rPr>
                <w:rFonts w:ascii="Times New Roman" w:hAnsi="Times New Roman"/>
                <w:sz w:val="17"/>
              </w:rPr>
              <w:t>9.2 / 10</w:t>
            </w:r>
          </w:p>
        </w:tc>
      </w:tr>
    </w:tbl>
    <w:p>
      <w:pPr>
        <w:spacing w:after="120"/>
      </w:pPr>
    </w:p>
    <w:p>
      <w:pPr>
        <w:pStyle w:val="Heading1"/>
        <w:spacing w:before="240" w:after="80"/>
      </w:pPr>
      <w:r>
        <w:rPr>
          <w:rFonts w:ascii="Times New Roman" w:hAnsi="Times New Roman"/>
          <w:b/>
          <w:color w:val="003366"/>
          <w:sz w:val="26"/>
        </w:rPr>
        <w:t>VII. CONCLUSION &amp; FUTURE DIRECTIONS</w:t>
      </w:r>
    </w:p>
    <w:p>
      <w:pPr>
        <w:spacing w:after="80" w:line="276" w:lineRule="auto"/>
        <w:jc w:val="both"/>
      </w:pPr>
      <w:r>
        <w:rPr>
          <w:rFonts w:ascii="Times New Roman" w:hAnsi="Times New Roman"/>
          <w:i w:val="0"/>
          <w:sz w:val="20"/>
        </w:rPr>
        <w:t>This paper presented a systematic review of explainable market microstructure analytics and evaluated the AlphaPulse framework. Grounded in Auction Market Theory, AlphaPulse demonstrates that volume-at-price analytics provide statistically robust structural intelligence without relying on opaque black-box neural networks or lagging price-only indicators.</w:t>
      </w:r>
    </w:p>
    <w:p>
      <w:pPr>
        <w:spacing w:after="80" w:line="276" w:lineRule="auto"/>
        <w:jc w:val="both"/>
      </w:pPr>
      <w:r>
        <w:rPr>
          <w:rFonts w:ascii="Times New Roman" w:hAnsi="Times New Roman"/>
          <w:i w:val="0"/>
          <w:sz w:val="20"/>
        </w:rPr>
        <w:t>By calculating empirical Value Areas, introducing novel asymmetry metrics (DDAI, TPAM), and integrating a deterministic natural language explanation layer, AlphaPulse provides a transparent, compliant, and academically sound foundation for market analysis, institutional education, and computational finance research. Future research will focus on integrating Level 3 (L3) limit order book queue dynamics and cross-asset liquidity diffusion models.</w:t>
      </w:r>
    </w:p>
    <w:p>
      <w:pPr>
        <w:pStyle w:val="Heading1"/>
        <w:spacing w:before="240" w:after="80"/>
      </w:pPr>
      <w:r>
        <w:rPr>
          <w:rFonts w:ascii="Times New Roman" w:hAnsi="Times New Roman"/>
          <w:b/>
          <w:color w:val="003366"/>
          <w:sz w:val="26"/>
        </w:rPr>
        <w:t>REFERENCES</w:t>
      </w:r>
    </w:p>
    <w:p>
      <w:pPr>
        <w:spacing w:after="40"/>
      </w:pPr>
      <w:r>
        <w:rPr>
          <w:rFonts w:ascii="Times New Roman" w:hAnsi="Times New Roman"/>
          <w:sz w:val="17"/>
        </w:rPr>
        <w:t>[1] M. O’Hara, Market Microstructure Theory. Cambridge, MA: Blackwell, 1995.</w:t>
      </w:r>
    </w:p>
    <w:p>
      <w:pPr>
        <w:spacing w:after="40"/>
      </w:pPr>
      <w:r>
        <w:rPr>
          <w:rFonts w:ascii="Times New Roman" w:hAnsi="Times New Roman"/>
          <w:sz w:val="17"/>
        </w:rPr>
        <w:t>[2] T. Fischer and C. Krauss, 'Deep learning with long short-term memory networks for financial market predictions,' Eur. J. Oper. Res., vol. 270, no. 2, pp. 654–669, 2018.</w:t>
      </w:r>
    </w:p>
    <w:p>
      <w:pPr>
        <w:spacing w:after="40"/>
      </w:pPr>
      <w:r>
        <w:rPr>
          <w:rFonts w:ascii="Times New Roman" w:hAnsi="Times New Roman"/>
          <w:sz w:val="17"/>
        </w:rPr>
        <w:t>[3] M. López de Prado, Advances in Financial Machine Learning. Hoboken, NJ: Wiley, 2018.</w:t>
      </w:r>
    </w:p>
    <w:p>
      <w:pPr>
        <w:spacing w:after="40"/>
      </w:pPr>
      <w:r>
        <w:rPr>
          <w:rFonts w:ascii="Times New Roman" w:hAnsi="Times New Roman"/>
          <w:sz w:val="17"/>
        </w:rPr>
        <w:t>[4] J. D. Dalton, E. T. Jones, and R. B. Dalton, Mind Over Markets: Power Trading with Market Generated Information. Hoboken, NJ: Wiley, 1999.</w:t>
      </w:r>
    </w:p>
    <w:p>
      <w:pPr>
        <w:spacing w:after="40"/>
      </w:pPr>
      <w:r>
        <w:rPr>
          <w:rFonts w:ascii="Times New Roman" w:hAnsi="Times New Roman"/>
          <w:sz w:val="17"/>
        </w:rPr>
        <w:t>[5] J. P. Steidlmayer and K. Koy, Markets and Market Logic. Chicago, IL: Porcupine Press, 1986.</w:t>
      </w:r>
    </w:p>
    <w:p>
      <w:pPr>
        <w:spacing w:after="40"/>
      </w:pPr>
      <w:r>
        <w:rPr>
          <w:rFonts w:ascii="Times New Roman" w:hAnsi="Times New Roman"/>
          <w:sz w:val="17"/>
        </w:rPr>
        <w:t>[6] E. F. Fama, 'Efficient capital markets: A review of theory and empirical work,' J. Finance, vol. 25, no. 2, pp. 383–417, 1970.</w:t>
      </w:r>
    </w:p>
    <w:p>
      <w:pPr>
        <w:spacing w:after="40"/>
      </w:pPr>
      <w:r>
        <w:rPr>
          <w:rFonts w:ascii="Times New Roman" w:hAnsi="Times New Roman"/>
          <w:sz w:val="17"/>
        </w:rPr>
        <w:t>[7] A. S. Kyle, 'Continuous auctions and informed trader liquidity,' Econometrica, vol. 53, no. 6, pp. 1315–1335, 1985.</w:t>
      </w:r>
    </w:p>
    <w:p>
      <w:pPr>
        <w:spacing w:after="40"/>
      </w:pPr>
      <w:r>
        <w:rPr>
          <w:rFonts w:ascii="Times New Roman" w:hAnsi="Times New Roman"/>
          <w:sz w:val="17"/>
        </w:rPr>
        <w:t>[8] J. P. Bouchaud, Y. Gefen, M. Potters, and M. Wyart, 'Fluctuations and response in financial markets,' Quant. Finance, vol. 4, no. 2, pp. 176–185, 2004.</w:t>
      </w:r>
    </w:p>
    <w:p>
      <w:pPr>
        <w:spacing w:after="40"/>
      </w:pPr>
      <w:r>
        <w:rPr>
          <w:rFonts w:ascii="Times New Roman" w:hAnsi="Times New Roman"/>
          <w:sz w:val="17"/>
        </w:rPr>
        <w:t>[9] R. Cont, 'Empirical properties of asset returns: Stylized facts and statistical issues,' Quant. Finance, vol. 1, no. 2, pp. 223–236, 2001.</w:t>
      </w:r>
    </w:p>
    <w:p>
      <w:pPr>
        <w:spacing w:after="40"/>
      </w:pPr>
      <w:r>
        <w:rPr>
          <w:rFonts w:ascii="Times New Roman" w:hAnsi="Times New Roman"/>
          <w:sz w:val="17"/>
        </w:rPr>
        <w:t>[10] M. López de Prado, 'The 10 reasons most machine learning funds fail,' J. Portfolio Manage., vol. 44, no. 6, pp. 120–133, 2018.</w:t>
      </w:r>
    </w:p>
    <w:p>
      <w:pPr>
        <w:spacing w:after="40"/>
      </w:pPr>
      <w:r>
        <w:rPr>
          <w:rFonts w:ascii="Times New Roman" w:hAnsi="Times New Roman"/>
          <w:sz w:val="17"/>
        </w:rPr>
        <w:t>[11] T. Fischer and C. Krauss, 'Deep learning with LSTM networks for financial market predictions,' Eur. J. Oper. Res., vol. 270, no. 2, pp. 654–669, 2018.</w:t>
      </w:r>
    </w:p>
    <w:p>
      <w:pPr>
        <w:spacing w:after="40"/>
      </w:pPr>
      <w:r>
        <w:rPr>
          <w:rFonts w:ascii="Times New Roman" w:hAnsi="Times New Roman"/>
          <w:sz w:val="17"/>
        </w:rPr>
        <w:t>[12] S. Gu, B. Kelly, and D. Xiu, 'Empirical asset pricing via machine learning,' Rev. Financ. Stud., vol. 33, no. 5, pp. 2223–2273, 2020.</w:t>
      </w:r>
    </w:p>
    <w:p>
      <w:pPr>
        <w:spacing w:after="40"/>
      </w:pPr>
      <w:r>
        <w:rPr>
          <w:rFonts w:ascii="Times New Roman" w:hAnsi="Times New Roman"/>
          <w:sz w:val="17"/>
        </w:rPr>
        <w:t>[13] A. B. Arrieta et al., 'Explainable Artificial Intelligence (XAI): Concepts, taxonomies, opportunities and challenges,' Inform. Fusion, vol. 58, pp. 82–115, 2020.</w:t>
      </w:r>
    </w:p>
    <w:p>
      <w:pPr>
        <w:spacing w:after="40"/>
      </w:pPr>
      <w:r>
        <w:rPr>
          <w:rFonts w:ascii="Times New Roman" w:hAnsi="Times New Roman"/>
          <w:sz w:val="17"/>
        </w:rPr>
        <w:t>[14] S. M. Lundberg and S.-I. Lee, 'A unified approach to interpreting model predictions,' in Adv. Neural Inf. Process. Syst. (NeurIPS), 2017, pp. 4765–4774.</w:t>
      </w:r>
    </w:p>
    <w:p>
      <w:pPr>
        <w:spacing w:after="40"/>
      </w:pPr>
      <w:r>
        <w:rPr>
          <w:rFonts w:ascii="Times New Roman" w:hAnsi="Times New Roman"/>
          <w:sz w:val="17"/>
        </w:rPr>
        <w:t>[15] M. T. Ribeiro, S. Singh, and C. Guestrin, ''Why should I trust you?': Explaining the predictions of any classifier,' in Proc. ACM SIGKDD, 2016, pp. 1135–1144.</w:t>
      </w:r>
    </w:p>
    <w:p>
      <w:pPr>
        <w:spacing w:after="40"/>
      </w:pPr>
      <w:r>
        <w:rPr>
          <w:rFonts w:ascii="Times New Roman" w:hAnsi="Times New Roman"/>
          <w:sz w:val="17"/>
        </w:rPr>
        <w:t>[16] J. Hasbrouck, Empirical Market Microstructure. New York: Oxford Univ. Press, 2007.</w:t>
      </w:r>
    </w:p>
    <w:p>
      <w:pPr>
        <w:spacing w:after="40"/>
      </w:pPr>
      <w:r>
        <w:rPr>
          <w:rFonts w:ascii="Times New Roman" w:hAnsi="Times New Roman"/>
          <w:sz w:val="17"/>
        </w:rPr>
        <w:t>[17] R. S. Tsay, Analysis of Financial Time Series, 3rd ed. Hoboken, NJ: Wiley, 2010.</w:t>
      </w:r>
    </w:p>
    <w:p>
      <w:pPr>
        <w:spacing w:after="40"/>
      </w:pPr>
      <w:r>
        <w:rPr>
          <w:rFonts w:ascii="Times New Roman" w:hAnsi="Times New Roman"/>
          <w:sz w:val="17"/>
        </w:rPr>
        <w:t>[18] Á. Cartea and S. Jaimungal, 'Risk metrics and fine tuning of high-frequency trading strategies,' Math. Finance, vol. 24, no. 3, pp. 577–602, 2014.</w:t>
      </w:r>
    </w:p>
    <w:p>
      <w:pPr>
        <w:spacing w:after="40"/>
      </w:pPr>
      <w:r>
        <w:rPr>
          <w:rFonts w:ascii="Times New Roman" w:hAnsi="Times New Roman"/>
          <w:sz w:val="17"/>
        </w:rPr>
        <w:t>[19] D. Easley, M. M. López de Prado, and M. O’Hara, 'Flow toxicity and liquidity in a high-frequency world,' Rev. Financ. Stud., vol. 25, no. 5, pp. 1457–1493, 2012.</w:t>
      </w:r>
    </w:p>
    <w:p>
      <w:pPr>
        <w:spacing w:after="40"/>
      </w:pPr>
      <w:r>
        <w:rPr>
          <w:rFonts w:ascii="Times New Roman" w:hAnsi="Times New Roman"/>
          <w:sz w:val="17"/>
        </w:rPr>
        <w:t>[20] B. Mandelbrot, 'The variation of certain speculative prices,' J. Bus., vol. 36, no. 4, pp. 394–419, 1963.</w:t>
      </w:r>
    </w:p>
    <w:p>
      <w:pPr>
        <w:spacing w:after="40"/>
      </w:pPr>
      <w:r>
        <w:rPr>
          <w:rFonts w:ascii="Times New Roman" w:hAnsi="Times New Roman"/>
          <w:sz w:val="17"/>
        </w:rPr>
        <w:t>[21] B. Biais, P. Hillion, and C. Spatt, 'An empirical analysis of the limit order book and the order flow in the Paris Bourse,' J. Finance, vol. 50, no. 5, pp. 1655–1689, 1995.</w:t>
      </w:r>
    </w:p>
    <w:p>
      <w:pPr>
        <w:spacing w:after="40"/>
      </w:pPr>
      <w:r>
        <w:rPr>
          <w:rFonts w:ascii="Times New Roman" w:hAnsi="Times New Roman"/>
          <w:sz w:val="17"/>
        </w:rPr>
        <w:t>[22] M. Wyart, J. P. Bouchaud, J. Kockelkoren, M. Potters, and M. Vettorazzo, 'Relation between bid-ask spread, impact and volatility,' Quant. Finance, vol. 8, no. 1, pp. 41–57, 2008.</w:t>
      </w:r>
    </w:p>
    <w:p>
      <w:pPr>
        <w:spacing w:after="40"/>
      </w:pPr>
      <w:r>
        <w:rPr>
          <w:rFonts w:ascii="Times New Roman" w:hAnsi="Times New Roman"/>
          <w:sz w:val="17"/>
        </w:rPr>
        <w:t>[23] L. Zhang, P. A. Mykland, and Y. Aït-Sahalia, 'A tale of two time scales: Determining integrated volatility,' J. Amer. Statist. Assoc., vol. 100, no. 472, pp. 1394–1411, 2005.</w:t>
      </w:r>
    </w:p>
    <w:p>
      <w:pPr>
        <w:spacing w:after="40"/>
      </w:pPr>
      <w:r>
        <w:rPr>
          <w:rFonts w:ascii="Times New Roman" w:hAnsi="Times New Roman"/>
          <w:sz w:val="17"/>
        </w:rPr>
        <w:t>[24] B. Zheng, E. C. Moldovan, and J. P. Bouchaud, 'Price impact and order flow asymmetry in European equities,' Phys. Rev. E, vol. 89, no. 4, p. 042812, 2014.</w:t>
      </w:r>
    </w:p>
    <w:p>
      <w:pPr>
        <w:spacing w:after="40"/>
      </w:pPr>
      <w:r>
        <w:rPr>
          <w:rFonts w:ascii="Times New Roman" w:hAnsi="Times New Roman"/>
          <w:sz w:val="17"/>
        </w:rPr>
        <w:t>[25] S. Amini et al., 'Machine learning applications in financial market microstructure: A survey,' J. Financ. Data Sci., vol. 2, no. 4, pp. 18–39, 2020.</w:t>
      </w:r>
    </w:p>
    <w:p>
      <w:pPr>
        <w:spacing w:after="40"/>
      </w:pPr>
      <w:r>
        <w:rPr>
          <w:rFonts w:ascii="Times New Roman" w:hAnsi="Times New Roman"/>
          <w:sz w:val="17"/>
        </w:rPr>
        <w:t>[26] A. Vaswani et al., 'Attention is all you need,' in Adv. Neural Inf. Process. Syst. (NeurIPS), 2017, pp. 5998–6008.</w:t>
      </w:r>
    </w:p>
    <w:p>
      <w:pPr>
        <w:spacing w:after="40"/>
      </w:pPr>
      <w:r>
        <w:rPr>
          <w:rFonts w:ascii="Times New Roman" w:hAnsi="Times New Roman"/>
          <w:sz w:val="17"/>
        </w:rPr>
        <w:t>[27] M. O’Hara, 'High frequency market microstructure,' J. Financ. Econ., vol. 116, no. 2, pp. 257–270, 2015.</w:t>
      </w:r>
    </w:p>
    <w:p>
      <w:pPr>
        <w:spacing w:after="40"/>
      </w:pPr>
      <w:r>
        <w:rPr>
          <w:rFonts w:ascii="Times New Roman" w:hAnsi="Times New Roman"/>
          <w:sz w:val="17"/>
        </w:rPr>
        <w:t>[28] R. Cont, S. Stoikov, and R. Talreja, 'A stochastic model for order book dynamics,' Oper. Res., vol. 58, no. 3, pp. 549–563, 2010.</w:t>
      </w:r>
    </w:p>
    <w:p>
      <w:pPr>
        <w:spacing w:after="40"/>
      </w:pPr>
      <w:r>
        <w:rPr>
          <w:rFonts w:ascii="Times New Roman" w:hAnsi="Times New Roman"/>
          <w:sz w:val="17"/>
        </w:rPr>
        <w:t>[29] J. Peter Steidlmayer, Steidlmayer on Markets: A New Approach to Investment Selection. Hoboken, NJ: Wiley, 2002.</w:t>
      </w:r>
    </w:p>
    <w:p>
      <w:pPr>
        <w:spacing w:after="40"/>
      </w:pPr>
      <w:r>
        <w:rPr>
          <w:rFonts w:ascii="Times New Roman" w:hAnsi="Times New Roman"/>
          <w:sz w:val="17"/>
        </w:rPr>
        <w:t>[30] C. W. J. Granger, 'Investigating causal relations by econometric models,' Econometrica, vol. 37, no. 3, pp. 424–438, 1969.</w:t>
      </w:r>
    </w:p>
    <w:p>
      <w:pPr>
        <w:spacing w:after="40"/>
      </w:pPr>
      <w:r>
        <w:rPr>
          <w:rFonts w:ascii="Times New Roman" w:hAnsi="Times New Roman"/>
          <w:sz w:val="17"/>
        </w:rPr>
        <w:t>[31] T. Hastie, R. Tibshirani, and J. Friedman, The Elements of Statistical Learning, 2nd ed. New York: Springer, 2009.</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