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Times New Roman" w:hAnsi="Times New Roman"/>
          <w:b/>
          <w:sz w:val="32"/>
        </w:rPr>
        <w:t>AlphaPulse: Practical Market Structure Analytics Through Continuous Auction Profiling and Transparent Machine Learning</w:t>
      </w:r>
    </w:p>
    <w:p>
      <w:pPr>
        <w:spacing w:after="160"/>
        <w:jc w:val="center"/>
      </w:pPr>
      <w:r>
        <w:rPr>
          <w:rFonts w:ascii="Times New Roman" w:hAnsi="Times New Roman"/>
          <w:i/>
          <w:sz w:val="19"/>
        </w:rPr>
        <w:t>Manish Patil</w:t>
        <w:br/>
        <w:t>Department of Computer Science &amp; Engineering</w:t>
        <w:br/>
        <w:t>IEEE Student Member, Quantitative Microstructure Working Group</w:t>
        <w:br/>
        <w:t>Email: manishpatil@ieee.org</w:t>
      </w:r>
    </w:p>
    <w:tbl>
      <w:tblPr>
        <w:tblW w:type="auto" w:w="0"/>
        <w:jc w:val="center"/>
        <w:tblLook w:firstColumn="1" w:firstRow="1" w:lastColumn="0" w:lastRow="0" w:noHBand="0" w:noVBand="1" w:val="04A0"/>
      </w:tblPr>
      <w:tblGrid>
        <w:gridCol w:w="10080"/>
      </w:tblGrid>
      <w:tr>
        <w:tc>
          <w:tcPr>
            <w:tcW w:type="dxa" w:w="10080"/>
            <w:shd w:fill="F9FAFB"/>
            <w:tcMar>
              <w:top w:w="120" w:type="dxa"/>
              <w:bottom w:w="120" w:type="dxa"/>
              <w:left w:w="150" w:type="dxa"/>
              <w:right w:w="150" w:type="dxa"/>
            </w:tcMar>
          </w:tcPr>
          <w:p>
            <w:pPr>
              <w:jc w:val="both"/>
            </w:pPr>
            <w:r>
              <w:rPr>
                <w:rFonts w:ascii="Times New Roman" w:hAnsi="Times New Roman"/>
                <w:b/>
                <w:sz w:val="19"/>
              </w:rPr>
              <w:t xml:space="preserve">Abstract— </w:t>
            </w:r>
            <w:r>
              <w:rPr>
                <w:rFonts w:ascii="Times New Roman" w:hAnsi="Times New Roman"/>
                <w:sz w:val="19"/>
              </w:rPr>
              <w:t>Most retail traders rely on classic momentum indicators like RSI or MACD. Unfortunately, these tools calculate values strictly from closing prices over time, completely throwing away how volume was distributed across price levels. On the institutional side, quantitative teams frequently turn to deep learning models like LSTMs or Transformers to forecast price direction. While capable of capturing complex curve fittings, these networks behave as opaque black boxes that break down whenever market regimes shift from quiet ranges into violent trending runs. In this work, we take a different path. Instead of trying to guess tomorrow's closing price, we build an open-source framework called AlphaPulse that analyzes the market as a continuous two-sided auction. Drawing on Steidlmayer's Market Profile and Auction Market Theory, our engine maps traded volume directly onto discrete price quanta. It tracks where buyers and sellers agree on value (the Value Area), measures order-flow skew around the Point of Control, and uses unsupervised clustering alongside deterministic natural language generation to explain what the market is doing in plain English. Testing our approach across five years of 1-minute intraday tick data from the National Stock Exchange of India (NSE NIFTY 50, comprising ~465,000 observations), we find that prior session Value Area boundaries act as meaningful structural pivot zones in roughly 71.4% of tests (p &lt; 0.001). By providing clear structural context rather than risky buy/sell signals, AlphaPulse offers an auditable, educational platform that helps traders and researchers understand institutional liquidity without black-box guesswork.</w:t>
              <w:br/>
              <w:br/>
              <w:t>Index Terms— Continuous double auction, market profile, volume distribution, value area, explainable AI, market microstructure, NIFTY 50.</w:t>
            </w:r>
          </w:p>
        </w:tc>
      </w:tr>
    </w:tbl>
    <w:p>
      <w:pPr>
        <w:spacing w:after="120"/>
      </w:pPr>
    </w:p>
    <w:p>
      <w:pPr>
        <w:pStyle w:val="Heading1"/>
        <w:spacing w:before="240" w:after="80"/>
      </w:pPr>
      <w:r>
        <w:rPr>
          <w:rFonts w:ascii="Times New Roman" w:hAnsi="Times New Roman"/>
          <w:b/>
          <w:color w:val="000000"/>
          <w:sz w:val="24"/>
        </w:rPr>
        <w:t>I. INTRODUCTION</w:t>
      </w:r>
    </w:p>
    <w:p>
      <w:pPr>
        <w:spacing w:after="80" w:line="276" w:lineRule="auto"/>
        <w:jc w:val="both"/>
      </w:pPr>
      <w:r>
        <w:rPr>
          <w:rFonts w:ascii="Times New Roman" w:hAnsi="Times New Roman"/>
          <w:i w:val="0"/>
          <w:sz w:val="20"/>
        </w:rPr>
        <w:t>When retail investors open a charting screen, they almost always look at time-aggregated candles—such as 5-minute or daily bars—layered with technical indicators like RSI, MACD, or Bollinger Bands. What many do not realize is that almost all of these tools share a built-in mathematical flaw: they only care about closing prices over chronological time steps:</w:t>
      </w:r>
    </w:p>
    <w:tbl>
      <w:tblPr>
        <w:tblW w:type="auto" w:w="0"/>
        <w:jc w:val="center"/>
        <w:tblLayout w:type="fixed"/>
        <w:tblLook w:firstColumn="1" w:firstRow="1" w:lastColumn="0" w:lastRow="0" w:noHBand="0" w:noVBand="1" w:val="04A0"/>
      </w:tblPr>
      <w:tblGrid>
        <w:gridCol w:w="5040"/>
        <w:gridCol w:w="5040"/>
      </w:tblGrid>
      <w:tr>
        <w:tc>
          <w:tcPr>
            <w:tcW w:type="dxa" w:w="8352"/>
            <w:shd w:fill="FAFAFA"/>
            <w:tcMar>
              <w:top w:w="50" w:type="dxa"/>
              <w:bottom w:w="50" w:type="dxa"/>
              <w:left w:w="80" w:type="dxa"/>
              <w:right w:w="80" w:type="dxa"/>
            </w:tcMar>
          </w:tcPr>
          <w:p>
            <w:pPr>
              <w:jc w:val="center"/>
            </w:pPr>
            <w:r>
              <w:rPr>
                <w:rFonts w:ascii="Times New Roman" w:hAnsi="Times New Roman"/>
                <w:i/>
                <w:sz w:val="19"/>
              </w:rPr>
              <w:t>Indicator_t = f(P_close, t)</w:t>
            </w:r>
          </w:p>
        </w:tc>
        <w:tc>
          <w:tcPr>
            <w:tcW w:type="dxa" w:w="1008"/>
            <w:shd w:fill="FAFAFA"/>
            <w:tcMar>
              <w:top w:w="50" w:type="dxa"/>
              <w:bottom w:w="50" w:type="dxa"/>
              <w:left w:w="80" w:type="dxa"/>
              <w:right w:w="80" w:type="dxa"/>
            </w:tcMar>
          </w:tcPr>
          <w:p>
            <w:pPr>
              <w:jc w:val="right"/>
            </w:pPr>
            <w:r>
              <w:rPr>
                <w:rFonts w:ascii="Times New Roman" w:hAnsi="Times New Roman"/>
                <w:b/>
                <w:sz w:val="19"/>
              </w:rPr>
              <w:t>(1)</w:t>
            </w:r>
          </w:p>
        </w:tc>
      </w:tr>
    </w:tbl>
    <w:p>
      <w:pPr>
        <w:spacing w:after="60"/>
      </w:pPr>
    </w:p>
    <w:p>
      <w:pPr>
        <w:spacing w:after="80" w:line="276" w:lineRule="auto"/>
        <w:jc w:val="both"/>
      </w:pPr>
      <w:r>
        <w:rPr>
          <w:rFonts w:ascii="Times New Roman" w:hAnsi="Times New Roman"/>
          <w:i w:val="0"/>
          <w:sz w:val="20"/>
        </w:rPr>
        <w:t>By boiling an entire session down into four numbers (Open, High, Low, Close) and stacking volume at the bottom of the screen, these indicators discard the most important question in market microstructure: at what specific price levels did participants actually transact their capital? An intraday rally driven by thin, speculative retail volume looks identical on a standard candlestick chart to a move backed by heavy institutional accumulation. Yet their underlying structural resilience is completely different [1].</w:t>
      </w:r>
    </w:p>
    <w:p>
      <w:pPr>
        <w:spacing w:after="80" w:line="276" w:lineRule="auto"/>
        <w:jc w:val="both"/>
      </w:pPr>
      <w:r>
        <w:rPr>
          <w:rFonts w:ascii="Times New Roman" w:hAnsi="Times New Roman"/>
          <w:i w:val="0"/>
          <w:sz w:val="20"/>
        </w:rPr>
        <w:t>Over the past decade, financial computer science has tried to solve this forecasting challenge by applying deep learning models. Researchers and algorithmic shops have trained LSTMs, GRUs, and Transformer architectures directly on raw OHLC series [2]. While these networks can fit historical curves well, they suffer from two major real-world shortcomings. First, financial time series have a notoriously low signal-to-noise ratio and change their statistical properties across macroeconomic regimes. As a result, high-capacity neural networks frequently latch onto temporary market noise and collapse when market volatility spikes [3]. Second, they output unexplainable probability scalars:</w:t>
      </w:r>
    </w:p>
    <w:tbl>
      <w:tblPr>
        <w:tblW w:type="auto" w:w="0"/>
        <w:jc w:val="center"/>
        <w:tblLayout w:type="fixed"/>
        <w:tblLook w:firstColumn="1" w:firstRow="1" w:lastColumn="0" w:lastRow="0" w:noHBand="0" w:noVBand="1" w:val="04A0"/>
      </w:tblPr>
      <w:tblGrid>
        <w:gridCol w:w="5040"/>
        <w:gridCol w:w="5040"/>
      </w:tblGrid>
      <w:tr>
        <w:tc>
          <w:tcPr>
            <w:tcW w:type="dxa" w:w="8352"/>
            <w:shd w:fill="FAFAFA"/>
            <w:tcMar>
              <w:top w:w="50" w:type="dxa"/>
              <w:bottom w:w="50" w:type="dxa"/>
              <w:left w:w="80" w:type="dxa"/>
              <w:right w:w="80" w:type="dxa"/>
            </w:tcMar>
          </w:tcPr>
          <w:p>
            <w:pPr>
              <w:jc w:val="center"/>
            </w:pPr>
            <w:r>
              <w:rPr>
                <w:rFonts w:ascii="Times New Roman" w:hAnsi="Times New Roman"/>
                <w:i/>
                <w:sz w:val="19"/>
              </w:rPr>
              <w:t>y_hat_t in [0, 1]</w:t>
            </w:r>
          </w:p>
        </w:tc>
        <w:tc>
          <w:tcPr>
            <w:tcW w:type="dxa" w:w="1008"/>
            <w:shd w:fill="FAFAFA"/>
            <w:tcMar>
              <w:top w:w="50" w:type="dxa"/>
              <w:bottom w:w="50" w:type="dxa"/>
              <w:left w:w="80" w:type="dxa"/>
              <w:right w:w="80" w:type="dxa"/>
            </w:tcMar>
          </w:tcPr>
          <w:p>
            <w:pPr>
              <w:jc w:val="right"/>
            </w:pPr>
            <w:r>
              <w:rPr>
                <w:rFonts w:ascii="Times New Roman" w:hAnsi="Times New Roman"/>
                <w:b/>
                <w:sz w:val="19"/>
              </w:rPr>
              <w:t>(2)</w:t>
            </w:r>
          </w:p>
        </w:tc>
      </w:tr>
    </w:tbl>
    <w:p>
      <w:pPr>
        <w:spacing w:after="60"/>
      </w:pPr>
    </w:p>
    <w:p>
      <w:pPr>
        <w:spacing w:after="80" w:line="276" w:lineRule="auto"/>
        <w:jc w:val="both"/>
      </w:pPr>
      <w:r>
        <w:rPr>
          <w:rFonts w:ascii="Times New Roman" w:hAnsi="Times New Roman"/>
          <w:i w:val="0"/>
          <w:sz w:val="20"/>
        </w:rPr>
        <w:t>A black-box prediction like 'y_hat = 0.72' gives a trader or risk officer no clue about why the model made that call. Under tighter regulatory standards from agencies like SEBI and the SEC, ungrounded automated signal platforms also carry heavy legal liabilities when retail capital gets wiped out by model drift.</w:t>
      </w:r>
    </w:p>
    <w:p>
      <w:pPr>
        <w:spacing w:after="80" w:line="276" w:lineRule="auto"/>
        <w:jc w:val="both"/>
      </w:pPr>
      <w:r>
        <w:rPr>
          <w:rFonts w:ascii="Times New Roman" w:hAnsi="Times New Roman"/>
          <w:i w:val="0"/>
          <w:sz w:val="20"/>
        </w:rPr>
        <w:t>In this paper, we explore an alternative framework called AlphaPulse. We step away from predictive directional forecasting and instead treat the market as what it actually is: an ongoing, two-sided continuous double auction designed to facilitate trade. By formalizing J. Peter Steidlmayer's Market Profile concepts into verifiable algorithms, AlphaPulse maps where trade volume concentrates, quantifies structural balance, and translates multi-dimensional auction metrics into human-readable educational diagnostics.</w:t>
      </w:r>
    </w:p>
    <w:p>
      <w:pPr>
        <w:pStyle w:val="Heading1"/>
        <w:spacing w:before="240" w:after="80"/>
      </w:pPr>
      <w:r>
        <w:rPr>
          <w:rFonts w:ascii="Times New Roman" w:hAnsi="Times New Roman"/>
          <w:b/>
          <w:color w:val="000000"/>
          <w:sz w:val="24"/>
        </w:rPr>
        <w:t>II. THE MECHANICS OF CONTINUOUS AUCTIONS</w:t>
      </w:r>
    </w:p>
    <w:p>
      <w:pPr>
        <w:spacing w:after="80" w:line="276" w:lineRule="auto"/>
        <w:jc w:val="both"/>
      </w:pPr>
      <w:r>
        <w:rPr>
          <w:rFonts w:ascii="Times New Roman" w:hAnsi="Times New Roman"/>
          <w:i w:val="0"/>
          <w:sz w:val="20"/>
        </w:rPr>
        <w:t>Auction Market Theory (AMT) originated on the trading floors of the Chicago Board of Trade (CBOT) in the 1980s through the work of J. Peter Steidlmayer [5]. The central idea is straightforward: financial exchanges are not casinos; they are clearing mechanisms designed to help buyers and sellers find a mutually acceptable price. Price acts as an advertising tool to attract liquidity, time regulates how long an opportunity remains available, and volume confirms whether that price is accepted or rejected.</w:t>
      </w:r>
    </w:p>
    <w:p>
      <w:pPr>
        <w:spacing w:after="80" w:line="276" w:lineRule="auto"/>
        <w:jc w:val="both"/>
      </w:pPr>
      <w:r>
        <w:rPr>
          <w:rFonts w:ascii="Times New Roman" w:hAnsi="Times New Roman"/>
          <w:i w:val="0"/>
          <w:sz w:val="20"/>
        </w:rPr>
        <w:t>In any continuous auction, the market shifts back and forth between two primary states:</w:t>
      </w:r>
    </w:p>
    <w:p>
      <w:pPr>
        <w:spacing w:after="80" w:line="276" w:lineRule="auto"/>
        <w:jc w:val="both"/>
      </w:pPr>
      <w:r>
        <w:rPr>
          <w:rFonts w:ascii="Times New Roman" w:hAnsi="Times New Roman"/>
          <w:i w:val="0"/>
          <w:sz w:val="20"/>
        </w:rPr>
        <w:t>1) Balanced Rotational Auction: Here, buyers and sellers agree on what constitutes fair value. Price rotates back and forth across a relatively narrow range, forming an approximately bell-shaped (Gaussian) volume distribution. In profile terminology, the central band containing 68.2% of the session's total traded volume is defined as the Value Area (VA):</w:t>
      </w:r>
    </w:p>
    <w:tbl>
      <w:tblPr>
        <w:tblW w:type="auto" w:w="0"/>
        <w:jc w:val="center"/>
        <w:tblLayout w:type="fixed"/>
        <w:tblLook w:firstColumn="1" w:firstRow="1" w:lastColumn="0" w:lastRow="0" w:noHBand="0" w:noVBand="1" w:val="04A0"/>
      </w:tblPr>
      <w:tblGrid>
        <w:gridCol w:w="5040"/>
        <w:gridCol w:w="5040"/>
      </w:tblGrid>
      <w:tr>
        <w:tc>
          <w:tcPr>
            <w:tcW w:type="dxa" w:w="8352"/>
            <w:shd w:fill="FAFAFA"/>
            <w:tcMar>
              <w:top w:w="50" w:type="dxa"/>
              <w:bottom w:w="50" w:type="dxa"/>
              <w:left w:w="80" w:type="dxa"/>
              <w:right w:w="80" w:type="dxa"/>
            </w:tcMar>
          </w:tcPr>
          <w:p>
            <w:pPr>
              <w:jc w:val="center"/>
            </w:pPr>
            <w:r>
              <w:rPr>
                <w:rFonts w:ascii="Times New Roman" w:hAnsi="Times New Roman"/>
                <w:i/>
                <w:sz w:val="19"/>
              </w:rPr>
              <w:t>Integral_{p in VA} H(p) dp = 0.682 * Total_Volume</w:t>
            </w:r>
          </w:p>
        </w:tc>
        <w:tc>
          <w:tcPr>
            <w:tcW w:type="dxa" w:w="1008"/>
            <w:shd w:fill="FAFAFA"/>
            <w:tcMar>
              <w:top w:w="50" w:type="dxa"/>
              <w:bottom w:w="50" w:type="dxa"/>
              <w:left w:w="80" w:type="dxa"/>
              <w:right w:w="80" w:type="dxa"/>
            </w:tcMar>
          </w:tcPr>
          <w:p>
            <w:pPr>
              <w:jc w:val="right"/>
            </w:pPr>
            <w:r>
              <w:rPr>
                <w:rFonts w:ascii="Times New Roman" w:hAnsi="Times New Roman"/>
                <w:b/>
                <w:sz w:val="19"/>
              </w:rPr>
              <w:t>(3)</w:t>
            </w:r>
          </w:p>
        </w:tc>
      </w:tr>
    </w:tbl>
    <w:p>
      <w:pPr>
        <w:spacing w:after="60"/>
      </w:pPr>
    </w:p>
    <w:p>
      <w:pPr>
        <w:spacing w:after="80" w:line="276" w:lineRule="auto"/>
        <w:jc w:val="both"/>
      </w:pPr>
      <w:r>
        <w:rPr>
          <w:rFonts w:ascii="Times New Roman" w:hAnsi="Times New Roman"/>
          <w:i w:val="0"/>
          <w:sz w:val="20"/>
        </w:rPr>
        <w:t>where H(p) is the discrete volume transacted at price tick p. The single price level that saw the heaviest trading volume is labeled the Volume Point of Control (VPOC).</w:t>
      </w:r>
    </w:p>
    <w:p>
      <w:pPr>
        <w:spacing w:after="80" w:line="276" w:lineRule="auto"/>
        <w:jc w:val="both"/>
      </w:pPr>
      <w:r>
        <w:rPr>
          <w:rFonts w:ascii="Times New Roman" w:hAnsi="Times New Roman"/>
          <w:i w:val="0"/>
          <w:sz w:val="20"/>
        </w:rPr>
        <w:t>2) Initiative Imbalance: When fresh fundamental news or order flow enters the market, the old consensus breaks. Aggressive market participants overpower passive liquidity, driving price outside the Value Area in search of new price levels where two-sided trade can resume. Table I summarizes how these dynamic auction behaviors translate into classical profile shapes.</w:t>
      </w:r>
    </w:p>
    <w:p>
      <w:pPr>
        <w:spacing w:before="160" w:after="60"/>
        <w:jc w:val="center"/>
      </w:pPr>
      <w:r>
        <w:rPr>
          <w:rFonts w:ascii="Times New Roman" w:hAnsi="Times New Roman"/>
          <w:b/>
          <w:sz w:val="19"/>
        </w:rPr>
        <w:t>TABLE I: AUCTION PROFILE SHAPES AND MARKET BEHAVIOR</w:t>
      </w:r>
    </w:p>
    <w:tbl>
      <w:tblPr>
        <w:tblW w:type="auto" w:w="0"/>
        <w:jc w:val="center"/>
        <w:tblLayout w:type="fixed"/>
        <w:tblLook w:firstColumn="1" w:firstRow="1" w:lastColumn="0" w:lastRow="0" w:noHBand="0" w:noVBand="1" w:val="04A0"/>
      </w:tblPr>
      <w:tblGrid>
        <w:gridCol w:w="2520"/>
        <w:gridCol w:w="2520"/>
        <w:gridCol w:w="2520"/>
        <w:gridCol w:w="2520"/>
      </w:tblGrid>
      <w:tr>
        <w:tc>
          <w:tcPr>
            <w:tcW w:type="dxa" w:w="1872"/>
            <w:shd w:fill="2C3E50"/>
            <w:tcMar>
              <w:top w:w="80" w:type="dxa"/>
              <w:bottom w:w="80" w:type="dxa"/>
              <w:left w:w="100" w:type="dxa"/>
              <w:right w:w="100" w:type="dxa"/>
            </w:tcMar>
          </w:tcPr>
          <w:p>
            <w:pPr>
              <w:jc w:val="center"/>
            </w:pPr>
            <w:r>
              <w:rPr>
                <w:rFonts w:ascii="Times New Roman" w:hAnsi="Times New Roman"/>
                <w:b/>
                <w:color w:val="FFFFFF"/>
                <w:sz w:val="18"/>
              </w:rPr>
              <w:t>Profile Shape</w:t>
            </w:r>
          </w:p>
        </w:tc>
        <w:tc>
          <w:tcPr>
            <w:tcW w:type="dxa" w:w="2592"/>
            <w:shd w:fill="2C3E50"/>
            <w:tcMar>
              <w:top w:w="80" w:type="dxa"/>
              <w:bottom w:w="80" w:type="dxa"/>
              <w:left w:w="100" w:type="dxa"/>
              <w:right w:w="100" w:type="dxa"/>
            </w:tcMar>
          </w:tcPr>
          <w:p>
            <w:pPr>
              <w:jc w:val="center"/>
            </w:pPr>
            <w:r>
              <w:rPr>
                <w:rFonts w:ascii="Times New Roman" w:hAnsi="Times New Roman"/>
                <w:b/>
                <w:color w:val="FFFFFF"/>
                <w:sz w:val="18"/>
              </w:rPr>
              <w:t>Visual Geometry</w:t>
            </w:r>
          </w:p>
        </w:tc>
        <w:tc>
          <w:tcPr>
            <w:tcW w:type="dxa" w:w="3312"/>
            <w:shd w:fill="2C3E50"/>
            <w:tcMar>
              <w:top w:w="80" w:type="dxa"/>
              <w:bottom w:w="80" w:type="dxa"/>
              <w:left w:w="100" w:type="dxa"/>
              <w:right w:w="100" w:type="dxa"/>
            </w:tcMar>
          </w:tcPr>
          <w:p>
            <w:pPr>
              <w:jc w:val="center"/>
            </w:pPr>
            <w:r>
              <w:rPr>
                <w:rFonts w:ascii="Times New Roman" w:hAnsi="Times New Roman"/>
                <w:b/>
                <w:color w:val="FFFFFF"/>
                <w:sz w:val="18"/>
              </w:rPr>
              <w:t>What It Means in the Auction</w:t>
            </w:r>
          </w:p>
        </w:tc>
        <w:tc>
          <w:tcPr>
            <w:tcW w:type="dxa" w:w="2016"/>
            <w:shd w:fill="2C3E50"/>
            <w:tcMar>
              <w:top w:w="80" w:type="dxa"/>
              <w:bottom w:w="80" w:type="dxa"/>
              <w:left w:w="100" w:type="dxa"/>
              <w:right w:w="100" w:type="dxa"/>
            </w:tcMar>
          </w:tcPr>
          <w:p>
            <w:pPr>
              <w:jc w:val="center"/>
            </w:pPr>
            <w:r>
              <w:rPr>
                <w:rFonts w:ascii="Times New Roman" w:hAnsi="Times New Roman"/>
                <w:b/>
                <w:color w:val="FFFFFF"/>
                <w:sz w:val="18"/>
              </w:rPr>
              <w:t>Main Participant Type</w:t>
            </w:r>
          </w:p>
        </w:tc>
      </w:tr>
      <w:tr>
        <w:tc>
          <w:tcPr>
            <w:tcW w:type="dxa" w:w="1872"/>
            <w:shd w:fill="FFFFFF"/>
            <w:tcMar>
              <w:top w:w="60" w:type="dxa"/>
              <w:bottom w:w="60" w:type="dxa"/>
              <w:left w:w="80" w:type="dxa"/>
              <w:right w:w="80" w:type="dxa"/>
            </w:tcMar>
          </w:tcPr>
          <w:p>
            <w:r>
              <w:rPr>
                <w:rFonts w:ascii="Times New Roman" w:hAnsi="Times New Roman"/>
                <w:sz w:val="17"/>
              </w:rPr>
              <w:t>Normal Day</w:t>
            </w:r>
          </w:p>
        </w:tc>
        <w:tc>
          <w:tcPr>
            <w:tcW w:type="dxa" w:w="2592"/>
            <w:shd w:fill="FFFFFF"/>
            <w:tcMar>
              <w:top w:w="60" w:type="dxa"/>
              <w:bottom w:w="60" w:type="dxa"/>
              <w:left w:w="80" w:type="dxa"/>
              <w:right w:w="80" w:type="dxa"/>
            </w:tcMar>
          </w:tcPr>
          <w:p>
            <w:r>
              <w:rPr>
                <w:rFonts w:ascii="Times New Roman" w:hAnsi="Times New Roman"/>
                <w:sz w:val="17"/>
              </w:rPr>
              <w:t>Symmetrical Bell Curve</w:t>
            </w:r>
          </w:p>
        </w:tc>
        <w:tc>
          <w:tcPr>
            <w:tcW w:type="dxa" w:w="3312"/>
            <w:shd w:fill="FFFFFF"/>
            <w:tcMar>
              <w:top w:w="60" w:type="dxa"/>
              <w:bottom w:w="60" w:type="dxa"/>
              <w:left w:w="80" w:type="dxa"/>
              <w:right w:w="80" w:type="dxa"/>
            </w:tcMar>
          </w:tcPr>
          <w:p>
            <w:r>
              <w:rPr>
                <w:rFonts w:ascii="Times New Roman" w:hAnsi="Times New Roman"/>
                <w:sz w:val="17"/>
              </w:rPr>
              <w:t>Calm, balanced two-sided trading; prices stay within value.</w:t>
            </w:r>
          </w:p>
        </w:tc>
        <w:tc>
          <w:tcPr>
            <w:tcW w:type="dxa" w:w="2016"/>
            <w:shd w:fill="FFFFFF"/>
            <w:tcMar>
              <w:top w:w="60" w:type="dxa"/>
              <w:bottom w:w="60" w:type="dxa"/>
              <w:left w:w="80" w:type="dxa"/>
              <w:right w:w="80" w:type="dxa"/>
            </w:tcMar>
          </w:tcPr>
          <w:p>
            <w:r>
              <w:rPr>
                <w:rFonts w:ascii="Times New Roman" w:hAnsi="Times New Roman"/>
                <w:sz w:val="17"/>
              </w:rPr>
              <w:t>Responsive (mean-reverters)</w:t>
            </w:r>
          </w:p>
        </w:tc>
      </w:tr>
      <w:tr>
        <w:tc>
          <w:tcPr>
            <w:tcW w:type="dxa" w:w="1872"/>
            <w:shd w:fill="F5F7FA"/>
            <w:tcMar>
              <w:top w:w="60" w:type="dxa"/>
              <w:bottom w:w="60" w:type="dxa"/>
              <w:left w:w="80" w:type="dxa"/>
              <w:right w:w="80" w:type="dxa"/>
            </w:tcMar>
          </w:tcPr>
          <w:p>
            <w:r>
              <w:rPr>
                <w:rFonts w:ascii="Times New Roman" w:hAnsi="Times New Roman"/>
                <w:sz w:val="17"/>
              </w:rPr>
              <w:t>Trend Day</w:t>
            </w:r>
          </w:p>
        </w:tc>
        <w:tc>
          <w:tcPr>
            <w:tcW w:type="dxa" w:w="2592"/>
            <w:shd w:fill="F5F7FA"/>
            <w:tcMar>
              <w:top w:w="60" w:type="dxa"/>
              <w:bottom w:w="60" w:type="dxa"/>
              <w:left w:w="80" w:type="dxa"/>
              <w:right w:w="80" w:type="dxa"/>
            </w:tcMar>
          </w:tcPr>
          <w:p>
            <w:r>
              <w:rPr>
                <w:rFonts w:ascii="Times New Roman" w:hAnsi="Times New Roman"/>
                <w:sz w:val="17"/>
              </w:rPr>
              <w:t>Elongated, wide vertical range</w:t>
            </w:r>
          </w:p>
        </w:tc>
        <w:tc>
          <w:tcPr>
            <w:tcW w:type="dxa" w:w="3312"/>
            <w:shd w:fill="F5F7FA"/>
            <w:tcMar>
              <w:top w:w="60" w:type="dxa"/>
              <w:bottom w:w="60" w:type="dxa"/>
              <w:left w:w="80" w:type="dxa"/>
              <w:right w:w="80" w:type="dxa"/>
            </w:tcMar>
          </w:tcPr>
          <w:p>
            <w:r>
              <w:rPr>
                <w:rFonts w:ascii="Times New Roman" w:hAnsi="Times New Roman"/>
                <w:sz w:val="17"/>
              </w:rPr>
              <w:t>Aggressive directional initiative; market searches for new value.</w:t>
            </w:r>
          </w:p>
        </w:tc>
        <w:tc>
          <w:tcPr>
            <w:tcW w:type="dxa" w:w="2016"/>
            <w:shd w:fill="F5F7FA"/>
            <w:tcMar>
              <w:top w:w="60" w:type="dxa"/>
              <w:bottom w:w="60" w:type="dxa"/>
              <w:left w:w="80" w:type="dxa"/>
              <w:right w:w="80" w:type="dxa"/>
            </w:tcMar>
          </w:tcPr>
          <w:p>
            <w:r>
              <w:rPr>
                <w:rFonts w:ascii="Times New Roman" w:hAnsi="Times New Roman"/>
                <w:sz w:val="17"/>
              </w:rPr>
              <w:t>Initiative (trend-seekers)</w:t>
            </w:r>
          </w:p>
        </w:tc>
      </w:tr>
      <w:tr>
        <w:tc>
          <w:tcPr>
            <w:tcW w:type="dxa" w:w="1872"/>
            <w:shd w:fill="FFFFFF"/>
            <w:tcMar>
              <w:top w:w="60" w:type="dxa"/>
              <w:bottom w:w="60" w:type="dxa"/>
              <w:left w:w="80" w:type="dxa"/>
              <w:right w:w="80" w:type="dxa"/>
            </w:tcMar>
          </w:tcPr>
          <w:p>
            <w:r>
              <w:rPr>
                <w:rFonts w:ascii="Times New Roman" w:hAnsi="Times New Roman"/>
                <w:sz w:val="17"/>
              </w:rPr>
              <w:t>Double Distribution</w:t>
            </w:r>
          </w:p>
        </w:tc>
        <w:tc>
          <w:tcPr>
            <w:tcW w:type="dxa" w:w="2592"/>
            <w:shd w:fill="FFFFFF"/>
            <w:tcMar>
              <w:top w:w="60" w:type="dxa"/>
              <w:bottom w:w="60" w:type="dxa"/>
              <w:left w:w="80" w:type="dxa"/>
              <w:right w:w="80" w:type="dxa"/>
            </w:tcMar>
          </w:tcPr>
          <w:p>
            <w:r>
              <w:rPr>
                <w:rFonts w:ascii="Times New Roman" w:hAnsi="Times New Roman"/>
                <w:sz w:val="17"/>
              </w:rPr>
              <w:t>Bimodal with two volume humps</w:t>
            </w:r>
          </w:p>
        </w:tc>
        <w:tc>
          <w:tcPr>
            <w:tcW w:type="dxa" w:w="3312"/>
            <w:shd w:fill="FFFFFF"/>
            <w:tcMar>
              <w:top w:w="60" w:type="dxa"/>
              <w:bottom w:w="60" w:type="dxa"/>
              <w:left w:w="80" w:type="dxa"/>
              <w:right w:w="80" w:type="dxa"/>
            </w:tcMar>
          </w:tcPr>
          <w:p>
            <w:r>
              <w:rPr>
                <w:rFonts w:ascii="Times New Roman" w:hAnsi="Times New Roman"/>
                <w:sz w:val="17"/>
              </w:rPr>
              <w:t>Old value broke down; price paused and built a second balance zone.</w:t>
            </w:r>
          </w:p>
        </w:tc>
        <w:tc>
          <w:tcPr>
            <w:tcW w:type="dxa" w:w="2016"/>
            <w:shd w:fill="FFFFFF"/>
            <w:tcMar>
              <w:top w:w="60" w:type="dxa"/>
              <w:bottom w:w="60" w:type="dxa"/>
              <w:left w:w="80" w:type="dxa"/>
              <w:right w:w="80" w:type="dxa"/>
            </w:tcMar>
          </w:tcPr>
          <w:p>
            <w:r>
              <w:rPr>
                <w:rFonts w:ascii="Times New Roman" w:hAnsi="Times New Roman"/>
                <w:sz w:val="17"/>
              </w:rPr>
              <w:t>Initiative breakout</w:t>
            </w:r>
          </w:p>
        </w:tc>
      </w:tr>
      <w:tr>
        <w:tc>
          <w:tcPr>
            <w:tcW w:type="dxa" w:w="1872"/>
            <w:shd w:fill="F5F7FA"/>
            <w:tcMar>
              <w:top w:w="60" w:type="dxa"/>
              <w:bottom w:w="60" w:type="dxa"/>
              <w:left w:w="80" w:type="dxa"/>
              <w:right w:w="80" w:type="dxa"/>
            </w:tcMar>
          </w:tcPr>
          <w:p>
            <w:r>
              <w:rPr>
                <w:rFonts w:ascii="Times New Roman" w:hAnsi="Times New Roman"/>
                <w:sz w:val="17"/>
              </w:rPr>
              <w:t>P-Shaped Profile</w:t>
            </w:r>
          </w:p>
        </w:tc>
        <w:tc>
          <w:tcPr>
            <w:tcW w:type="dxa" w:w="2592"/>
            <w:shd w:fill="F5F7FA"/>
            <w:tcMar>
              <w:top w:w="60" w:type="dxa"/>
              <w:bottom w:w="60" w:type="dxa"/>
              <w:left w:w="80" w:type="dxa"/>
              <w:right w:w="80" w:type="dxa"/>
            </w:tcMar>
          </w:tcPr>
          <w:p>
            <w:r>
              <w:rPr>
                <w:rFonts w:ascii="Times New Roman" w:hAnsi="Times New Roman"/>
                <w:sz w:val="17"/>
              </w:rPr>
              <w:t>Thin lower stem, fat top belly</w:t>
            </w:r>
          </w:p>
        </w:tc>
        <w:tc>
          <w:tcPr>
            <w:tcW w:type="dxa" w:w="3312"/>
            <w:shd w:fill="F5F7FA"/>
            <w:tcMar>
              <w:top w:w="60" w:type="dxa"/>
              <w:bottom w:w="60" w:type="dxa"/>
              <w:left w:w="80" w:type="dxa"/>
              <w:right w:w="80" w:type="dxa"/>
            </w:tcMar>
          </w:tcPr>
          <w:p>
            <w:r>
              <w:rPr>
                <w:rFonts w:ascii="Times New Roman" w:hAnsi="Times New Roman"/>
                <w:sz w:val="17"/>
              </w:rPr>
              <w:t>Short-sellers covering; aggressive buying into resistance.</w:t>
            </w:r>
          </w:p>
        </w:tc>
        <w:tc>
          <w:tcPr>
            <w:tcW w:type="dxa" w:w="2016"/>
            <w:shd w:fill="F5F7FA"/>
            <w:tcMar>
              <w:top w:w="60" w:type="dxa"/>
              <w:bottom w:w="60" w:type="dxa"/>
              <w:left w:w="80" w:type="dxa"/>
              <w:right w:w="80" w:type="dxa"/>
            </w:tcMar>
          </w:tcPr>
          <w:p>
            <w:r>
              <w:rPr>
                <w:rFonts w:ascii="Times New Roman" w:hAnsi="Times New Roman"/>
                <w:sz w:val="17"/>
              </w:rPr>
              <w:t>Responsive buyers</w:t>
            </w:r>
          </w:p>
        </w:tc>
      </w:tr>
      <w:tr>
        <w:tc>
          <w:tcPr>
            <w:tcW w:type="dxa" w:w="1872"/>
            <w:shd w:fill="FFFFFF"/>
            <w:tcMar>
              <w:top w:w="60" w:type="dxa"/>
              <w:bottom w:w="60" w:type="dxa"/>
              <w:left w:w="80" w:type="dxa"/>
              <w:right w:w="80" w:type="dxa"/>
            </w:tcMar>
          </w:tcPr>
          <w:p>
            <w:r>
              <w:rPr>
                <w:rFonts w:ascii="Times New Roman" w:hAnsi="Times New Roman"/>
                <w:sz w:val="17"/>
              </w:rPr>
              <w:t>b-Shaped Profile</w:t>
            </w:r>
          </w:p>
        </w:tc>
        <w:tc>
          <w:tcPr>
            <w:tcW w:type="dxa" w:w="2592"/>
            <w:shd w:fill="FFFFFF"/>
            <w:tcMar>
              <w:top w:w="60" w:type="dxa"/>
              <w:bottom w:w="60" w:type="dxa"/>
              <w:left w:w="80" w:type="dxa"/>
              <w:right w:w="80" w:type="dxa"/>
            </w:tcMar>
          </w:tcPr>
          <w:p>
            <w:r>
              <w:rPr>
                <w:rFonts w:ascii="Times New Roman" w:hAnsi="Times New Roman"/>
                <w:sz w:val="17"/>
              </w:rPr>
              <w:t>Fat bottom belly, thin upper stem</w:t>
            </w:r>
          </w:p>
        </w:tc>
        <w:tc>
          <w:tcPr>
            <w:tcW w:type="dxa" w:w="3312"/>
            <w:shd w:fill="FFFFFF"/>
            <w:tcMar>
              <w:top w:w="60" w:type="dxa"/>
              <w:bottom w:w="60" w:type="dxa"/>
              <w:left w:w="80" w:type="dxa"/>
              <w:right w:w="80" w:type="dxa"/>
            </w:tcMar>
          </w:tcPr>
          <w:p>
            <w:r>
              <w:rPr>
                <w:rFonts w:ascii="Times New Roman" w:hAnsi="Times New Roman"/>
                <w:sz w:val="17"/>
              </w:rPr>
              <w:t>Long liquidation; aggressive selling down into support.</w:t>
            </w:r>
          </w:p>
        </w:tc>
        <w:tc>
          <w:tcPr>
            <w:tcW w:type="dxa" w:w="2016"/>
            <w:shd w:fill="FFFFFF"/>
            <w:tcMar>
              <w:top w:w="60" w:type="dxa"/>
              <w:bottom w:w="60" w:type="dxa"/>
              <w:left w:w="80" w:type="dxa"/>
              <w:right w:w="80" w:type="dxa"/>
            </w:tcMar>
          </w:tcPr>
          <w:p>
            <w:r>
              <w:rPr>
                <w:rFonts w:ascii="Times New Roman" w:hAnsi="Times New Roman"/>
                <w:sz w:val="17"/>
              </w:rPr>
              <w:t>Responsive sellers</w:t>
            </w:r>
          </w:p>
        </w:tc>
      </w:tr>
      <w:tr>
        <w:tc>
          <w:tcPr>
            <w:tcW w:type="dxa" w:w="1872"/>
            <w:shd w:fill="F5F7FA"/>
            <w:tcMar>
              <w:top w:w="60" w:type="dxa"/>
              <w:bottom w:w="60" w:type="dxa"/>
              <w:left w:w="80" w:type="dxa"/>
              <w:right w:w="80" w:type="dxa"/>
            </w:tcMar>
          </w:tcPr>
          <w:p>
            <w:r>
              <w:rPr>
                <w:rFonts w:ascii="Times New Roman" w:hAnsi="Times New Roman"/>
                <w:sz w:val="17"/>
              </w:rPr>
              <w:t>Neutral Day</w:t>
            </w:r>
          </w:p>
        </w:tc>
        <w:tc>
          <w:tcPr>
            <w:tcW w:type="dxa" w:w="2592"/>
            <w:shd w:fill="F5F7FA"/>
            <w:tcMar>
              <w:top w:w="60" w:type="dxa"/>
              <w:bottom w:w="60" w:type="dxa"/>
              <w:left w:w="80" w:type="dxa"/>
              <w:right w:w="80" w:type="dxa"/>
            </w:tcMar>
          </w:tcPr>
          <w:p>
            <w:r>
              <w:rPr>
                <w:rFonts w:ascii="Times New Roman" w:hAnsi="Times New Roman"/>
                <w:sz w:val="17"/>
              </w:rPr>
              <w:t>Wide opening range, small close</w:t>
            </w:r>
          </w:p>
        </w:tc>
        <w:tc>
          <w:tcPr>
            <w:tcW w:type="dxa" w:w="3312"/>
            <w:shd w:fill="F5F7FA"/>
            <w:tcMar>
              <w:top w:w="60" w:type="dxa"/>
              <w:bottom w:w="60" w:type="dxa"/>
              <w:left w:w="80" w:type="dxa"/>
              <w:right w:w="80" w:type="dxa"/>
            </w:tcMar>
          </w:tcPr>
          <w:p>
            <w:r>
              <w:rPr>
                <w:rFonts w:ascii="Times New Roman" w:hAnsi="Times New Roman"/>
                <w:sz w:val="17"/>
              </w:rPr>
              <w:t>Both buyers and sellers fought for control; ended in deadlock.</w:t>
            </w:r>
          </w:p>
        </w:tc>
        <w:tc>
          <w:tcPr>
            <w:tcW w:type="dxa" w:w="2016"/>
            <w:shd w:fill="F5F7FA"/>
            <w:tcMar>
              <w:top w:w="60" w:type="dxa"/>
              <w:bottom w:w="60" w:type="dxa"/>
              <w:left w:w="80" w:type="dxa"/>
              <w:right w:w="80" w:type="dxa"/>
            </w:tcMar>
          </w:tcPr>
          <w:p>
            <w:r>
              <w:rPr>
                <w:rFonts w:ascii="Times New Roman" w:hAnsi="Times New Roman"/>
                <w:sz w:val="17"/>
              </w:rPr>
              <w:t>Two-sided balance</w:t>
            </w:r>
          </w:p>
        </w:tc>
      </w:tr>
    </w:tbl>
    <w:p>
      <w:pPr>
        <w:spacing w:after="80"/>
      </w:pPr>
    </w:p>
    <w:p>
      <w:pPr>
        <w:spacing w:before="160" w:after="60"/>
        <w:jc w:val="center"/>
      </w:pPr>
      <w:r>
        <w:drawing>
          <wp:inline xmlns:a="http://schemas.openxmlformats.org/drawingml/2006/main" xmlns:pic="http://schemas.openxmlformats.org/drawingml/2006/picture">
            <wp:extent cx="5486400" cy="2468880"/>
            <wp:docPr id="1" name="Picture 1"/>
            <wp:cNvGraphicFramePr>
              <a:graphicFrameLocks noChangeAspect="1"/>
            </wp:cNvGraphicFramePr>
            <a:graphic>
              <a:graphicData uri="http://schemas.openxmlformats.org/drawingml/2006/picture">
                <pic:pic>
                  <pic:nvPicPr>
                    <pic:cNvPr id="0" name="fig1_auction_profile.png"/>
                    <pic:cNvPicPr/>
                  </pic:nvPicPr>
                  <pic:blipFill>
                    <a:blip r:embed="rId9"/>
                    <a:stretch>
                      <a:fillRect/>
                    </a:stretch>
                  </pic:blipFill>
                  <pic:spPr>
                    <a:xfrm>
                      <a:off x="0" y="0"/>
                      <a:ext cx="5486400" cy="2468880"/>
                    </a:xfrm>
                    <a:prstGeom prst="rect"/>
                  </pic:spPr>
                </pic:pic>
              </a:graphicData>
            </a:graphic>
          </wp:inline>
        </w:drawing>
      </w:r>
    </w:p>
    <w:p>
      <w:pPr>
        <w:spacing w:after="160"/>
        <w:jc w:val="center"/>
      </w:pPr>
      <w:r>
        <w:rPr>
          <w:rFonts w:ascii="Times New Roman" w:hAnsi="Times New Roman"/>
          <w:i/>
          <w:sz w:val="18"/>
        </w:rPr>
        <w:t>Fig. 1. How a continuous intraday price path (left) converts into a discrete horizontal Volume Profile H(p) (right), highlighting the VPOC and the central 68.2% Value Area boundaries (VAH and VAL).</w:t>
      </w:r>
    </w:p>
    <w:p>
      <w:pPr>
        <w:pStyle w:val="Heading1"/>
        <w:spacing w:before="240" w:after="80"/>
      </w:pPr>
      <w:r>
        <w:rPr>
          <w:rFonts w:ascii="Times New Roman" w:hAnsi="Times New Roman"/>
          <w:b/>
          <w:color w:val="000000"/>
          <w:sz w:val="24"/>
        </w:rPr>
        <w:t>III. WHAT PREVIOUS STUDIES SHOW</w:t>
      </w:r>
    </w:p>
    <w:p>
      <w:pPr>
        <w:spacing w:after="80" w:line="276" w:lineRule="auto"/>
        <w:jc w:val="both"/>
      </w:pPr>
      <w:r>
        <w:rPr>
          <w:rFonts w:ascii="Times New Roman" w:hAnsi="Times New Roman"/>
          <w:i w:val="0"/>
          <w:sz w:val="20"/>
        </w:rPr>
        <w:t>To see where AlphaPulse fits, we examined four decades of market microstructure and financial machine learning research:</w:t>
      </w:r>
    </w:p>
    <w:p>
      <w:pPr>
        <w:spacing w:after="80" w:line="276" w:lineRule="auto"/>
        <w:jc w:val="both"/>
      </w:pPr>
      <w:r>
        <w:rPr>
          <w:rFonts w:ascii="Times New Roman" w:hAnsi="Times New Roman"/>
          <w:i w:val="0"/>
          <w:sz w:val="20"/>
        </w:rPr>
        <w:t>Early Econometrics &amp; Auction Modeling: Fama's Efficient Market Hypothesis [6] provided the standard baseline, assuming price changes follow a random walk. However, Kyle [7] showed that order flow from informed traders directly pushes prices, proving that liquidity friction and order book imbalance cannot be ignored.</w:t>
      </w:r>
    </w:p>
    <w:p>
      <w:pPr>
        <w:spacing w:after="80" w:line="276" w:lineRule="auto"/>
        <w:jc w:val="both"/>
      </w:pPr>
      <w:r>
        <w:rPr>
          <w:rFonts w:ascii="Times New Roman" w:hAnsi="Times New Roman"/>
          <w:i w:val="0"/>
          <w:sz w:val="20"/>
        </w:rPr>
        <w:t>Non-Gaussian Market Realities: Works by Mandelbrot [18], Bouchaud et al. [8], and Cont [9] proved empirically that financial asset returns exhibit fat tails, volatility clustering, and long memory. These statistical properties invalidate simple Gaussian assumptions and explain why price tends to cluster around major institutional liquidity nodes.</w:t>
      </w:r>
    </w:p>
    <w:p>
      <w:pPr>
        <w:spacing w:after="80" w:line="276" w:lineRule="auto"/>
        <w:jc w:val="both"/>
      </w:pPr>
      <w:r>
        <w:rPr>
          <w:rFonts w:ascii="Times New Roman" w:hAnsi="Times New Roman"/>
          <w:i w:val="0"/>
          <w:sz w:val="20"/>
        </w:rPr>
        <w:t>The Limits of Machine Learning in Trading: Modern research by López de Prado [10] showed that a huge portion of backtested machine learning strategies fail out-of-sample due to multiple testing and cross-validation leakage. Fischer and Krauss [11] demonstrated that while LSTMs capture temporal sequences, their uninterpretable weights leave risk managers in the dark during market crises.</w:t>
      </w:r>
    </w:p>
    <w:p>
      <w:pPr>
        <w:spacing w:after="80" w:line="276" w:lineRule="auto"/>
        <w:jc w:val="both"/>
      </w:pPr>
      <w:r>
        <w:rPr>
          <w:rFonts w:ascii="Times New Roman" w:hAnsi="Times New Roman"/>
          <w:i w:val="0"/>
          <w:sz w:val="20"/>
        </w:rPr>
        <w:t>The Push for Explainable AI (XAI): While general interpretability tools like LIME [15] and SHAP [14] have gained ground in machine learning, applying them to raw, noisy financial ticks without domain-specific constraints often yields unstable results [13]. Table II compares these different approaches against our proposed engine.</w:t>
      </w:r>
    </w:p>
    <w:p>
      <w:pPr>
        <w:spacing w:before="160" w:after="60"/>
        <w:jc w:val="center"/>
      </w:pPr>
      <w:r>
        <w:rPr>
          <w:rFonts w:ascii="Times New Roman" w:hAnsi="Times New Roman"/>
          <w:b/>
          <w:sz w:val="19"/>
        </w:rPr>
        <w:t>TABLE II: COMPARING DIFFERENT MARKET ANALYSIS METHODS</w:t>
      </w:r>
    </w:p>
    <w:tbl>
      <w:tblPr>
        <w:tblW w:type="auto" w:w="0"/>
        <w:jc w:val="center"/>
        <w:tblLayout w:type="fixed"/>
        <w:tblLook w:firstColumn="1" w:firstRow="1" w:lastColumn="0" w:lastRow="0" w:noHBand="0" w:noVBand="1" w:val="04A0"/>
      </w:tblPr>
      <w:tblGrid>
        <w:gridCol w:w="2520"/>
        <w:gridCol w:w="2520"/>
        <w:gridCol w:w="2520"/>
        <w:gridCol w:w="2520"/>
      </w:tblGrid>
      <w:tr>
        <w:tc>
          <w:tcPr>
            <w:tcW w:type="dxa" w:w="2016"/>
            <w:shd w:fill="2C3E50"/>
            <w:tcMar>
              <w:top w:w="80" w:type="dxa"/>
              <w:bottom w:w="80" w:type="dxa"/>
              <w:left w:w="100" w:type="dxa"/>
              <w:right w:w="100" w:type="dxa"/>
            </w:tcMar>
          </w:tcPr>
          <w:p>
            <w:pPr>
              <w:jc w:val="center"/>
            </w:pPr>
            <w:r>
              <w:rPr>
                <w:rFonts w:ascii="Times New Roman" w:hAnsi="Times New Roman"/>
                <w:b/>
                <w:color w:val="FFFFFF"/>
                <w:sz w:val="18"/>
              </w:rPr>
              <w:t>Methodology</w:t>
            </w:r>
          </w:p>
        </w:tc>
        <w:tc>
          <w:tcPr>
            <w:tcW w:type="dxa" w:w="2592"/>
            <w:shd w:fill="2C3E50"/>
            <w:tcMar>
              <w:top w:w="80" w:type="dxa"/>
              <w:bottom w:w="80" w:type="dxa"/>
              <w:left w:w="100" w:type="dxa"/>
              <w:right w:w="100" w:type="dxa"/>
            </w:tcMar>
          </w:tcPr>
          <w:p>
            <w:pPr>
              <w:jc w:val="center"/>
            </w:pPr>
            <w:r>
              <w:rPr>
                <w:rFonts w:ascii="Times New Roman" w:hAnsi="Times New Roman"/>
                <w:b/>
                <w:color w:val="FFFFFF"/>
                <w:sz w:val="18"/>
              </w:rPr>
              <w:t>How It Works</w:t>
            </w:r>
          </w:p>
        </w:tc>
        <w:tc>
          <w:tcPr>
            <w:tcW w:type="dxa" w:w="2592"/>
            <w:shd w:fill="2C3E50"/>
            <w:tcMar>
              <w:top w:w="80" w:type="dxa"/>
              <w:bottom w:w="80" w:type="dxa"/>
              <w:left w:w="100" w:type="dxa"/>
              <w:right w:w="100" w:type="dxa"/>
            </w:tcMar>
          </w:tcPr>
          <w:p>
            <w:pPr>
              <w:jc w:val="center"/>
            </w:pPr>
            <w:r>
              <w:rPr>
                <w:rFonts w:ascii="Times New Roman" w:hAnsi="Times New Roman"/>
                <w:b/>
                <w:color w:val="FFFFFF"/>
                <w:sz w:val="18"/>
              </w:rPr>
              <w:t>Practical Advantages</w:t>
            </w:r>
          </w:p>
        </w:tc>
        <w:tc>
          <w:tcPr>
            <w:tcW w:type="dxa" w:w="2592"/>
            <w:shd w:fill="2C3E50"/>
            <w:tcMar>
              <w:top w:w="80" w:type="dxa"/>
              <w:bottom w:w="80" w:type="dxa"/>
              <w:left w:w="100" w:type="dxa"/>
              <w:right w:w="100" w:type="dxa"/>
            </w:tcMar>
          </w:tcPr>
          <w:p>
            <w:pPr>
              <w:jc w:val="center"/>
            </w:pPr>
            <w:r>
              <w:rPr>
                <w:rFonts w:ascii="Times New Roman" w:hAnsi="Times New Roman"/>
                <w:b/>
                <w:color w:val="FFFFFF"/>
                <w:sz w:val="18"/>
              </w:rPr>
              <w:t>Main Weaknesses</w:t>
            </w:r>
          </w:p>
        </w:tc>
      </w:tr>
      <w:tr>
        <w:tc>
          <w:tcPr>
            <w:tcW w:type="dxa" w:w="2016"/>
            <w:shd w:fill="FFFFFF"/>
            <w:tcMar>
              <w:top w:w="60" w:type="dxa"/>
              <w:bottom w:w="60" w:type="dxa"/>
              <w:left w:w="80" w:type="dxa"/>
              <w:right w:w="80" w:type="dxa"/>
            </w:tcMar>
          </w:tcPr>
          <w:p>
            <w:r>
              <w:rPr>
                <w:rFonts w:ascii="Times New Roman" w:hAnsi="Times New Roman"/>
                <w:sz w:val="17"/>
              </w:rPr>
              <w:t>Standard Indicators</w:t>
            </w:r>
          </w:p>
        </w:tc>
        <w:tc>
          <w:tcPr>
            <w:tcW w:type="dxa" w:w="2592"/>
            <w:shd w:fill="FFFFFF"/>
            <w:tcMar>
              <w:top w:w="60" w:type="dxa"/>
              <w:bottom w:w="60" w:type="dxa"/>
              <w:left w:w="80" w:type="dxa"/>
              <w:right w:w="80" w:type="dxa"/>
            </w:tcMar>
          </w:tcPr>
          <w:p>
            <w:r>
              <w:rPr>
                <w:rFonts w:ascii="Times New Roman" w:hAnsi="Times New Roman"/>
                <w:sz w:val="17"/>
              </w:rPr>
              <w:t>Simple price formulas (RSI, Moving Averages)</w:t>
            </w:r>
          </w:p>
        </w:tc>
        <w:tc>
          <w:tcPr>
            <w:tcW w:type="dxa" w:w="2592"/>
            <w:shd w:fill="FFFFFF"/>
            <w:tcMar>
              <w:top w:w="60" w:type="dxa"/>
              <w:bottom w:w="60" w:type="dxa"/>
              <w:left w:w="80" w:type="dxa"/>
              <w:right w:w="80" w:type="dxa"/>
            </w:tcMar>
          </w:tcPr>
          <w:p>
            <w:r>
              <w:rPr>
                <w:rFonts w:ascii="Times New Roman" w:hAnsi="Times New Roman"/>
                <w:sz w:val="17"/>
              </w:rPr>
              <w:t>Very fast to run; familiar to all traders.</w:t>
            </w:r>
          </w:p>
        </w:tc>
        <w:tc>
          <w:tcPr>
            <w:tcW w:type="dxa" w:w="2592"/>
            <w:shd w:fill="FFFFFF"/>
            <w:tcMar>
              <w:top w:w="60" w:type="dxa"/>
              <w:bottom w:w="60" w:type="dxa"/>
              <w:left w:w="80" w:type="dxa"/>
              <w:right w:w="80" w:type="dxa"/>
            </w:tcMar>
          </w:tcPr>
          <w:p>
            <w:r>
              <w:rPr>
                <w:rFonts w:ascii="Times New Roman" w:hAnsi="Times New Roman"/>
                <w:sz w:val="17"/>
              </w:rPr>
              <w:t>Lagging; ignores how volume is spread across price.</w:t>
            </w:r>
          </w:p>
        </w:tc>
      </w:tr>
      <w:tr>
        <w:tc>
          <w:tcPr>
            <w:tcW w:type="dxa" w:w="2016"/>
            <w:shd w:fill="F5F7FA"/>
            <w:tcMar>
              <w:top w:w="60" w:type="dxa"/>
              <w:bottom w:w="60" w:type="dxa"/>
              <w:left w:w="80" w:type="dxa"/>
              <w:right w:w="80" w:type="dxa"/>
            </w:tcMar>
          </w:tcPr>
          <w:p>
            <w:r>
              <w:rPr>
                <w:rFonts w:ascii="Times New Roman" w:hAnsi="Times New Roman"/>
                <w:sz w:val="17"/>
              </w:rPr>
              <w:t>Deep Neural Nets</w:t>
            </w:r>
          </w:p>
        </w:tc>
        <w:tc>
          <w:tcPr>
            <w:tcW w:type="dxa" w:w="2592"/>
            <w:shd w:fill="F5F7FA"/>
            <w:tcMar>
              <w:top w:w="60" w:type="dxa"/>
              <w:bottom w:w="60" w:type="dxa"/>
              <w:left w:w="80" w:type="dxa"/>
              <w:right w:w="80" w:type="dxa"/>
            </w:tcMar>
          </w:tcPr>
          <w:p>
            <w:r>
              <w:rPr>
                <w:rFonts w:ascii="Times New Roman" w:hAnsi="Times New Roman"/>
                <w:sz w:val="17"/>
              </w:rPr>
              <w:t>Multi-layer networks predicting price direction</w:t>
            </w:r>
          </w:p>
        </w:tc>
        <w:tc>
          <w:tcPr>
            <w:tcW w:type="dxa" w:w="2592"/>
            <w:shd w:fill="F5F7FA"/>
            <w:tcMar>
              <w:top w:w="60" w:type="dxa"/>
              <w:bottom w:w="60" w:type="dxa"/>
              <w:left w:w="80" w:type="dxa"/>
              <w:right w:w="80" w:type="dxa"/>
            </w:tcMar>
          </w:tcPr>
          <w:p>
            <w:r>
              <w:rPr>
                <w:rFonts w:ascii="Times New Roman" w:hAnsi="Times New Roman"/>
                <w:sz w:val="17"/>
              </w:rPr>
              <w:t>Finds non-linear patterns across large datasets.</w:t>
            </w:r>
          </w:p>
        </w:tc>
        <w:tc>
          <w:tcPr>
            <w:tcW w:type="dxa" w:w="2592"/>
            <w:shd w:fill="F5F7FA"/>
            <w:tcMar>
              <w:top w:w="60" w:type="dxa"/>
              <w:bottom w:w="60" w:type="dxa"/>
              <w:left w:w="80" w:type="dxa"/>
              <w:right w:w="80" w:type="dxa"/>
            </w:tcMar>
          </w:tcPr>
          <w:p>
            <w:r>
              <w:rPr>
                <w:rFonts w:ascii="Times New Roman" w:hAnsi="Times New Roman"/>
                <w:sz w:val="17"/>
              </w:rPr>
              <w:t>Opaque black box; prone to overfitting market noise.</w:t>
            </w:r>
          </w:p>
        </w:tc>
      </w:tr>
      <w:tr>
        <w:tc>
          <w:tcPr>
            <w:tcW w:type="dxa" w:w="2016"/>
            <w:shd w:fill="FFFFFF"/>
            <w:tcMar>
              <w:top w:w="60" w:type="dxa"/>
              <w:bottom w:w="60" w:type="dxa"/>
              <w:left w:w="80" w:type="dxa"/>
              <w:right w:w="80" w:type="dxa"/>
            </w:tcMar>
          </w:tcPr>
          <w:p>
            <w:r>
              <w:rPr>
                <w:rFonts w:ascii="Times New Roman" w:hAnsi="Times New Roman"/>
                <w:sz w:val="17"/>
              </w:rPr>
              <w:t>High-Frequency Tick ML</w:t>
            </w:r>
          </w:p>
        </w:tc>
        <w:tc>
          <w:tcPr>
            <w:tcW w:type="dxa" w:w="2592"/>
            <w:shd w:fill="FFFFFF"/>
            <w:tcMar>
              <w:top w:w="60" w:type="dxa"/>
              <w:bottom w:w="60" w:type="dxa"/>
              <w:left w:w="80" w:type="dxa"/>
              <w:right w:w="80" w:type="dxa"/>
            </w:tcMar>
          </w:tcPr>
          <w:p>
            <w:r>
              <w:rPr>
                <w:rFonts w:ascii="Times New Roman" w:hAnsi="Times New Roman"/>
                <w:sz w:val="17"/>
              </w:rPr>
              <w:t>Microsecond order book queue analysis</w:t>
            </w:r>
          </w:p>
        </w:tc>
        <w:tc>
          <w:tcPr>
            <w:tcW w:type="dxa" w:w="2592"/>
            <w:shd w:fill="FFFFFF"/>
            <w:tcMar>
              <w:top w:w="60" w:type="dxa"/>
              <w:bottom w:w="60" w:type="dxa"/>
              <w:left w:w="80" w:type="dxa"/>
              <w:right w:w="80" w:type="dxa"/>
            </w:tcMar>
          </w:tcPr>
          <w:p>
            <w:r>
              <w:rPr>
                <w:rFonts w:ascii="Times New Roman" w:hAnsi="Times New Roman"/>
                <w:sz w:val="17"/>
              </w:rPr>
              <w:t>Captures immediate resting liquidity imbalances.</w:t>
            </w:r>
          </w:p>
        </w:tc>
        <w:tc>
          <w:tcPr>
            <w:tcW w:type="dxa" w:w="2592"/>
            <w:shd w:fill="FFFFFF"/>
            <w:tcMar>
              <w:top w:w="60" w:type="dxa"/>
              <w:bottom w:w="60" w:type="dxa"/>
              <w:left w:w="80" w:type="dxa"/>
              <w:right w:w="80" w:type="dxa"/>
            </w:tcMar>
          </w:tcPr>
          <w:p>
            <w:r>
              <w:rPr>
                <w:rFonts w:ascii="Times New Roman" w:hAnsi="Times New Roman"/>
                <w:sz w:val="17"/>
              </w:rPr>
              <w:t>Extremely expensive compute; requires specialized tick feeds.</w:t>
            </w:r>
          </w:p>
        </w:tc>
      </w:tr>
      <w:tr>
        <w:tc>
          <w:tcPr>
            <w:tcW w:type="dxa" w:w="2016"/>
            <w:shd w:fill="F5F7FA"/>
            <w:tcMar>
              <w:top w:w="60" w:type="dxa"/>
              <w:bottom w:w="60" w:type="dxa"/>
              <w:left w:w="80" w:type="dxa"/>
              <w:right w:w="80" w:type="dxa"/>
            </w:tcMar>
          </w:tcPr>
          <w:p>
            <w:r>
              <w:rPr>
                <w:rFonts w:ascii="Times New Roman" w:hAnsi="Times New Roman"/>
                <w:sz w:val="17"/>
              </w:rPr>
              <w:t>AlphaPulse (Our Approach)</w:t>
            </w:r>
          </w:p>
        </w:tc>
        <w:tc>
          <w:tcPr>
            <w:tcW w:type="dxa" w:w="2592"/>
            <w:shd w:fill="F5F7FA"/>
            <w:tcMar>
              <w:top w:w="60" w:type="dxa"/>
              <w:bottom w:w="60" w:type="dxa"/>
              <w:left w:w="80" w:type="dxa"/>
              <w:right w:w="80" w:type="dxa"/>
            </w:tcMar>
          </w:tcPr>
          <w:p>
            <w:r>
              <w:rPr>
                <w:rFonts w:ascii="Times New Roman" w:hAnsi="Times New Roman"/>
                <w:sz w:val="17"/>
              </w:rPr>
              <w:t>Auction Market Theory + GMM clustering + XAI</w:t>
            </w:r>
          </w:p>
        </w:tc>
        <w:tc>
          <w:tcPr>
            <w:tcW w:type="dxa" w:w="2592"/>
            <w:shd w:fill="F5F7FA"/>
            <w:tcMar>
              <w:top w:w="60" w:type="dxa"/>
              <w:bottom w:w="60" w:type="dxa"/>
              <w:left w:w="80" w:type="dxa"/>
              <w:right w:w="80" w:type="dxa"/>
            </w:tcMar>
          </w:tcPr>
          <w:p>
            <w:r>
              <w:rPr>
                <w:rFonts w:ascii="Times New Roman" w:hAnsi="Times New Roman"/>
                <w:sz w:val="17"/>
              </w:rPr>
              <w:t>Transparent math; explainable plain English outputs.</w:t>
            </w:r>
          </w:p>
        </w:tc>
        <w:tc>
          <w:tcPr>
            <w:tcW w:type="dxa" w:w="2592"/>
            <w:shd w:fill="F5F7FA"/>
            <w:tcMar>
              <w:top w:w="60" w:type="dxa"/>
              <w:bottom w:w="60" w:type="dxa"/>
              <w:left w:w="80" w:type="dxa"/>
              <w:right w:w="80" w:type="dxa"/>
            </w:tcMar>
          </w:tcPr>
          <w:p>
            <w:r>
              <w:rPr>
                <w:rFonts w:ascii="Times New Roman" w:hAnsi="Times New Roman"/>
                <w:sz w:val="17"/>
              </w:rPr>
              <w:t>Requires continuous intraday feeds; strictly non-predictive.</w:t>
            </w:r>
          </w:p>
        </w:tc>
      </w:tr>
    </w:tbl>
    <w:p>
      <w:pPr>
        <w:spacing w:after="80"/>
      </w:pPr>
    </w:p>
    <w:p>
      <w:pPr>
        <w:pStyle w:val="Heading1"/>
        <w:spacing w:before="240" w:after="80"/>
      </w:pPr>
      <w:r>
        <w:rPr>
          <w:rFonts w:ascii="Times New Roman" w:hAnsi="Times New Roman"/>
          <w:b/>
          <w:color w:val="000000"/>
          <w:sz w:val="24"/>
        </w:rPr>
        <w:t>IV. HOW ALPHAPULSE WORKS</w:t>
      </w:r>
    </w:p>
    <w:p>
      <w:pPr>
        <w:spacing w:after="80" w:line="276" w:lineRule="auto"/>
        <w:jc w:val="both"/>
      </w:pPr>
      <w:r>
        <w:rPr>
          <w:rFonts w:ascii="Times New Roman" w:hAnsi="Times New Roman"/>
          <w:i w:val="0"/>
          <w:sz w:val="20"/>
        </w:rPr>
        <w:t>The AlphaPulse pipeline is structured as a modular four-tier engine that runs from raw tick ingestion down to plain-English semantic explanations:</w:t>
      </w:r>
    </w:p>
    <w:p>
      <w:pPr>
        <w:spacing w:after="80" w:line="276" w:lineRule="auto"/>
        <w:jc w:val="both"/>
      </w:pPr>
      <w:r>
        <w:rPr>
          <w:rFonts w:ascii="Times New Roman" w:hAnsi="Times New Roman"/>
          <w:i w:val="0"/>
          <w:sz w:val="20"/>
        </w:rPr>
        <w:t>1) Data Ingestion and Spatial Binning: Continuous trade records (Timestamp, Price, Volume) are ingested and mapped onto a discrete price grid matching the exchange's minimum tick size, creating an intraday matrix M(p, t).</w:t>
      </w:r>
    </w:p>
    <w:p>
      <w:pPr>
        <w:spacing w:after="80" w:line="276" w:lineRule="auto"/>
        <w:jc w:val="both"/>
      </w:pPr>
      <w:r>
        <w:rPr>
          <w:rFonts w:ascii="Times New Roman" w:hAnsi="Times New Roman"/>
          <w:i w:val="0"/>
          <w:sz w:val="20"/>
        </w:rPr>
        <w:t>2) Value Area &amp; VPOC Solver: The system identifies the price level with the highest total volume (VPOC) and then sweeps outward symmetrically until 68.2% of the cumulative session volume is captured between Value Area High (VAH) and Value Area Low (VAL).</w:t>
      </w:r>
    </w:p>
    <w:p>
      <w:pPr>
        <w:spacing w:after="80" w:line="276" w:lineRule="auto"/>
        <w:jc w:val="both"/>
      </w:pPr>
      <w:r>
        <w:rPr>
          <w:rFonts w:ascii="Times New Roman" w:hAnsi="Times New Roman"/>
          <w:i w:val="0"/>
          <w:sz w:val="20"/>
        </w:rPr>
        <w:t>3) Mathematical Microstructure Metrics: To avoid relying on subjective visual interpretations of profile charts, we formulate two objective metrics:</w:t>
      </w:r>
    </w:p>
    <w:p>
      <w:pPr>
        <w:spacing w:after="80" w:line="276" w:lineRule="auto"/>
        <w:jc w:val="both"/>
      </w:pPr>
      <w:r>
        <w:rPr>
          <w:rFonts w:ascii="Times New Roman" w:hAnsi="Times New Roman"/>
          <w:i w:val="0"/>
          <w:sz w:val="20"/>
        </w:rPr>
        <w:t>• Dual-Distribution Asymmetry Index (DDAI): Measures whether volume is skewed above or below the VPOC:</w:t>
      </w:r>
    </w:p>
    <w:tbl>
      <w:tblPr>
        <w:tblW w:type="auto" w:w="0"/>
        <w:jc w:val="center"/>
        <w:tblLayout w:type="fixed"/>
        <w:tblLook w:firstColumn="1" w:firstRow="1" w:lastColumn="0" w:lastRow="0" w:noHBand="0" w:noVBand="1" w:val="04A0"/>
      </w:tblPr>
      <w:tblGrid>
        <w:gridCol w:w="5040"/>
        <w:gridCol w:w="5040"/>
      </w:tblGrid>
      <w:tr>
        <w:tc>
          <w:tcPr>
            <w:tcW w:type="dxa" w:w="8352"/>
            <w:shd w:fill="FAFAFA"/>
            <w:tcMar>
              <w:top w:w="50" w:type="dxa"/>
              <w:bottom w:w="50" w:type="dxa"/>
              <w:left w:w="80" w:type="dxa"/>
              <w:right w:w="80" w:type="dxa"/>
            </w:tcMar>
          </w:tcPr>
          <w:p>
            <w:pPr>
              <w:jc w:val="center"/>
            </w:pPr>
            <w:r>
              <w:rPr>
                <w:rFonts w:ascii="Times New Roman" w:hAnsi="Times New Roman"/>
                <w:i/>
                <w:sz w:val="19"/>
              </w:rPr>
              <w:t>DDAI = (V_above - V_below) / Total_Volume</w:t>
            </w:r>
          </w:p>
        </w:tc>
        <w:tc>
          <w:tcPr>
            <w:tcW w:type="dxa" w:w="1008"/>
            <w:shd w:fill="FAFAFA"/>
            <w:tcMar>
              <w:top w:w="50" w:type="dxa"/>
              <w:bottom w:w="50" w:type="dxa"/>
              <w:left w:w="80" w:type="dxa"/>
              <w:right w:w="80" w:type="dxa"/>
            </w:tcMar>
          </w:tcPr>
          <w:p>
            <w:pPr>
              <w:jc w:val="right"/>
            </w:pPr>
            <w:r>
              <w:rPr>
                <w:rFonts w:ascii="Times New Roman" w:hAnsi="Times New Roman"/>
                <w:b/>
                <w:sz w:val="19"/>
              </w:rPr>
              <w:t>(4)</w:t>
            </w:r>
          </w:p>
        </w:tc>
      </w:tr>
    </w:tbl>
    <w:p>
      <w:pPr>
        <w:spacing w:after="60"/>
      </w:pPr>
    </w:p>
    <w:p>
      <w:pPr>
        <w:spacing w:after="80" w:line="276" w:lineRule="auto"/>
        <w:jc w:val="both"/>
      </w:pPr>
      <w:r>
        <w:rPr>
          <w:rFonts w:ascii="Times New Roman" w:hAnsi="Times New Roman"/>
          <w:i w:val="0"/>
          <w:sz w:val="20"/>
        </w:rPr>
        <w:t>When DDAI is above +0.30, buyers are actively transacting above value (P-profile). When DDAI drops below -0.30, sellers are dominating below value (b-profile).</w:t>
      </w:r>
    </w:p>
    <w:p>
      <w:pPr>
        <w:spacing w:after="80" w:line="276" w:lineRule="auto"/>
        <w:jc w:val="both"/>
      </w:pPr>
      <w:r>
        <w:rPr>
          <w:rFonts w:ascii="Times New Roman" w:hAnsi="Times New Roman"/>
          <w:i w:val="0"/>
          <w:sz w:val="20"/>
        </w:rPr>
        <w:t>• Thermodynamic Price Acceptance Metric (TPAM): Tracks whether a move outside the prior Value Area is supported by volume over time:</w:t>
      </w:r>
    </w:p>
    <w:tbl>
      <w:tblPr>
        <w:tblW w:type="auto" w:w="0"/>
        <w:jc w:val="center"/>
        <w:tblLayout w:type="fixed"/>
        <w:tblLook w:firstColumn="1" w:firstRow="1" w:lastColumn="0" w:lastRow="0" w:noHBand="0" w:noVBand="1" w:val="04A0"/>
      </w:tblPr>
      <w:tblGrid>
        <w:gridCol w:w="5040"/>
        <w:gridCol w:w="5040"/>
      </w:tblGrid>
      <w:tr>
        <w:tc>
          <w:tcPr>
            <w:tcW w:type="dxa" w:w="8352"/>
            <w:shd w:fill="FAFAFA"/>
            <w:tcMar>
              <w:top w:w="50" w:type="dxa"/>
              <w:bottom w:w="50" w:type="dxa"/>
              <w:left w:w="80" w:type="dxa"/>
              <w:right w:w="80" w:type="dxa"/>
            </w:tcMar>
          </w:tcPr>
          <w:p>
            <w:pPr>
              <w:jc w:val="center"/>
            </w:pPr>
            <w:r>
              <w:rPr>
                <w:rFonts w:ascii="Times New Roman" w:hAnsi="Times New Roman"/>
                <w:i/>
                <w:sz w:val="19"/>
              </w:rPr>
              <w:t>TPAM = Integral_{t_break}^T [ I(P_t not in VA_{t-1}) * (V_t / Total_Volume) ] dt</w:t>
            </w:r>
          </w:p>
        </w:tc>
        <w:tc>
          <w:tcPr>
            <w:tcW w:type="dxa" w:w="1008"/>
            <w:shd w:fill="FAFAFA"/>
            <w:tcMar>
              <w:top w:w="50" w:type="dxa"/>
              <w:bottom w:w="50" w:type="dxa"/>
              <w:left w:w="80" w:type="dxa"/>
              <w:right w:w="80" w:type="dxa"/>
            </w:tcMar>
          </w:tcPr>
          <w:p>
            <w:pPr>
              <w:jc w:val="right"/>
            </w:pPr>
            <w:r>
              <w:rPr>
                <w:rFonts w:ascii="Times New Roman" w:hAnsi="Times New Roman"/>
                <w:b/>
                <w:sz w:val="19"/>
              </w:rPr>
              <w:t>(5)</w:t>
            </w:r>
          </w:p>
        </w:tc>
      </w:tr>
    </w:tbl>
    <w:p>
      <w:pPr>
        <w:spacing w:after="60"/>
      </w:pPr>
    </w:p>
    <w:p>
      <w:pPr>
        <w:spacing w:after="80" w:line="276" w:lineRule="auto"/>
        <w:jc w:val="both"/>
      </w:pPr>
      <w:r>
        <w:rPr>
          <w:rFonts w:ascii="Times New Roman" w:hAnsi="Times New Roman"/>
          <w:i w:val="0"/>
          <w:sz w:val="20"/>
        </w:rPr>
        <w:t>If price breaks out on high sustained volume (TPAM &gt;= 0.40), the move represents true price acceptance. If price wanders outside on thin volume (TPAM &lt; 0.15), the move is rejected, signaling a failed auction and a likely rotation back to value.</w:t>
      </w:r>
    </w:p>
    <w:p>
      <w:pPr>
        <w:spacing w:after="80" w:line="276" w:lineRule="auto"/>
        <w:jc w:val="both"/>
      </w:pPr>
      <w:r>
        <w:rPr>
          <w:rFonts w:ascii="Times New Roman" w:hAnsi="Times New Roman"/>
          <w:i w:val="0"/>
          <w:sz w:val="20"/>
        </w:rPr>
        <w:t>4) Explainable Natural Language Generator: Instead of outputting cryptic probabilities, a rule-grounded semantic parser generates straightforward diagnostic sentences like: 'Price is auctioning above prior Value Area High; responsive sellers are absorbing aggressive buyers at extreme levels.'</w:t>
      </w:r>
    </w:p>
    <w:p>
      <w:pPr>
        <w:spacing w:before="160" w:after="60"/>
        <w:jc w:val="center"/>
      </w:pPr>
      <w:r>
        <w:drawing>
          <wp:inline xmlns:a="http://schemas.openxmlformats.org/drawingml/2006/main" xmlns:pic="http://schemas.openxmlformats.org/drawingml/2006/picture">
            <wp:extent cx="5486400" cy="2852928"/>
            <wp:docPr id="2" name="Picture 2"/>
            <wp:cNvGraphicFramePr>
              <a:graphicFrameLocks noChangeAspect="1"/>
            </wp:cNvGraphicFramePr>
            <a:graphic>
              <a:graphicData uri="http://schemas.openxmlformats.org/drawingml/2006/picture">
                <pic:pic>
                  <pic:nvPicPr>
                    <pic:cNvPr id="0" name="fig2_system_architecture.png"/>
                    <pic:cNvPicPr/>
                  </pic:nvPicPr>
                  <pic:blipFill>
                    <a:blip r:embed="rId10"/>
                    <a:stretch>
                      <a:fillRect/>
                    </a:stretch>
                  </pic:blipFill>
                  <pic:spPr>
                    <a:xfrm>
                      <a:off x="0" y="0"/>
                      <a:ext cx="5486400" cy="2852928"/>
                    </a:xfrm>
                    <a:prstGeom prst="rect"/>
                  </pic:spPr>
                </pic:pic>
              </a:graphicData>
            </a:graphic>
          </wp:inline>
        </w:drawing>
      </w:r>
    </w:p>
    <w:p>
      <w:pPr>
        <w:spacing w:after="160"/>
        <w:jc w:val="center"/>
      </w:pPr>
      <w:r>
        <w:rPr>
          <w:rFonts w:ascii="Times New Roman" w:hAnsi="Times New Roman"/>
          <w:i/>
          <w:sz w:val="18"/>
        </w:rPr>
        <w:t>Fig. 2. The four-tier AlphaPulse architecture, showing how raw trade data flows through the profile solver and statistical models into plain-English diagnostics.</w:t>
      </w:r>
    </w:p>
    <w:p>
      <w:pPr>
        <w:pStyle w:val="Heading1"/>
        <w:spacing w:before="240" w:after="80"/>
      </w:pPr>
      <w:r>
        <w:rPr>
          <w:rFonts w:ascii="Times New Roman" w:hAnsi="Times New Roman"/>
          <w:b/>
          <w:color w:val="000000"/>
          <w:sz w:val="24"/>
        </w:rPr>
        <w:t>V. EXPERIMENTAL FINDINGS &amp; DISCUSSION</w:t>
      </w:r>
    </w:p>
    <w:p>
      <w:pPr>
        <w:spacing w:after="80" w:line="276" w:lineRule="auto"/>
        <w:jc w:val="both"/>
      </w:pPr>
      <w:r>
        <w:rPr>
          <w:rFonts w:ascii="Times New Roman" w:hAnsi="Times New Roman"/>
          <w:i w:val="0"/>
          <w:sz w:val="20"/>
        </w:rPr>
        <w:t>To verify whether these profile concepts actually hold up in the real world, we evaluated five full years of 1-minute intraday data from the National Stock Exchange of India (NSE NIFTY 50 Index), spanning January 2021 through December 2025 (~465,000 observations across 1,240 trading sessions).</w:t>
      </w:r>
    </w:p>
    <w:p>
      <w:pPr>
        <w:pStyle w:val="Heading2"/>
        <w:spacing w:before="160" w:after="40"/>
      </w:pPr>
      <w:r>
        <w:rPr>
          <w:rFonts w:ascii="Times New Roman" w:hAnsi="Times New Roman"/>
          <w:b/>
          <w:color w:val="1E1E1E"/>
          <w:sz w:val="21"/>
        </w:rPr>
        <w:t>A. Do Value Area Levels Act as Real Support and Resistance?</w:t>
      </w:r>
    </w:p>
    <w:p>
      <w:pPr>
        <w:spacing w:after="80" w:line="276" w:lineRule="auto"/>
        <w:jc w:val="both"/>
      </w:pPr>
      <w:r>
        <w:rPr>
          <w:rFonts w:ascii="Times New Roman" w:hAnsi="Times New Roman"/>
          <w:i w:val="0"/>
          <w:sz w:val="20"/>
        </w:rPr>
        <w:t>We tested what happens when price approaches within 0.1% of the prior session's VAH or VAL levels. Across 1,240 sessions, price rotated back into the Value Area in 71.4% of non-trending tests (Student's t = 4.82, p &lt; 0.001). This confirms that Value Area boundaries act as genuine institutional inflection zones rather than random lines on a chart.</w:t>
      </w:r>
    </w:p>
    <w:p>
      <w:pPr>
        <w:spacing w:before="160" w:after="60"/>
        <w:jc w:val="center"/>
      </w:pPr>
      <w:r>
        <w:rPr>
          <w:rFonts w:ascii="Times New Roman" w:hAnsi="Times New Roman"/>
          <w:b/>
          <w:sz w:val="19"/>
        </w:rPr>
        <w:t>TABLE III: STATISTICAL TEST RESULTS ACROSS 5 YEARS OF NSE DATA</w:t>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2160"/>
            <w:shd w:fill="2C3E50"/>
            <w:tcMar>
              <w:top w:w="80" w:type="dxa"/>
              <w:bottom w:w="80" w:type="dxa"/>
              <w:left w:w="100" w:type="dxa"/>
              <w:right w:w="100" w:type="dxa"/>
            </w:tcMar>
          </w:tcPr>
          <w:p>
            <w:pPr>
              <w:jc w:val="center"/>
            </w:pPr>
            <w:r>
              <w:rPr>
                <w:rFonts w:ascii="Times New Roman" w:hAnsi="Times New Roman"/>
                <w:b/>
                <w:color w:val="FFFFFF"/>
                <w:sz w:val="18"/>
              </w:rPr>
              <w:t>Tested Phenomenon</w:t>
            </w:r>
          </w:p>
        </w:tc>
        <w:tc>
          <w:tcPr>
            <w:tcW w:type="dxa" w:w="2016"/>
            <w:shd w:fill="2C3E50"/>
            <w:tcMar>
              <w:top w:w="80" w:type="dxa"/>
              <w:bottom w:w="80" w:type="dxa"/>
              <w:left w:w="100" w:type="dxa"/>
              <w:right w:w="100" w:type="dxa"/>
            </w:tcMar>
          </w:tcPr>
          <w:p>
            <w:pPr>
              <w:jc w:val="center"/>
            </w:pPr>
            <w:r>
              <w:rPr>
                <w:rFonts w:ascii="Times New Roman" w:hAnsi="Times New Roman"/>
                <w:b/>
                <w:color w:val="FFFFFF"/>
                <w:sz w:val="18"/>
              </w:rPr>
              <w:t>What We Observed</w:t>
            </w:r>
          </w:p>
        </w:tc>
        <w:tc>
          <w:tcPr>
            <w:tcW w:type="dxa" w:w="2016"/>
            <w:shd w:fill="2C3E50"/>
            <w:tcMar>
              <w:top w:w="80" w:type="dxa"/>
              <w:bottom w:w="80" w:type="dxa"/>
              <w:left w:w="100" w:type="dxa"/>
              <w:right w:w="100" w:type="dxa"/>
            </w:tcMar>
          </w:tcPr>
          <w:p>
            <w:pPr>
              <w:jc w:val="center"/>
            </w:pPr>
            <w:r>
              <w:rPr>
                <w:rFonts w:ascii="Times New Roman" w:hAnsi="Times New Roman"/>
                <w:b/>
                <w:color w:val="FFFFFF"/>
                <w:sz w:val="18"/>
              </w:rPr>
              <w:t>Statistical Metric</w:t>
            </w:r>
          </w:p>
        </w:tc>
        <w:tc>
          <w:tcPr>
            <w:tcW w:type="dxa" w:w="1584"/>
            <w:shd w:fill="2C3E50"/>
            <w:tcMar>
              <w:top w:w="80" w:type="dxa"/>
              <w:bottom w:w="80" w:type="dxa"/>
              <w:left w:w="100" w:type="dxa"/>
              <w:right w:w="100" w:type="dxa"/>
            </w:tcMar>
          </w:tcPr>
          <w:p>
            <w:pPr>
              <w:jc w:val="center"/>
            </w:pPr>
            <w:r>
              <w:rPr>
                <w:rFonts w:ascii="Times New Roman" w:hAnsi="Times New Roman"/>
                <w:b/>
                <w:color w:val="FFFFFF"/>
                <w:sz w:val="18"/>
              </w:rPr>
              <w:t>p-value</w:t>
            </w:r>
          </w:p>
        </w:tc>
        <w:tc>
          <w:tcPr>
            <w:tcW w:type="dxa" w:w="2016"/>
            <w:shd w:fill="2C3E50"/>
            <w:tcMar>
              <w:top w:w="80" w:type="dxa"/>
              <w:bottom w:w="80" w:type="dxa"/>
              <w:left w:w="100" w:type="dxa"/>
              <w:right w:w="100" w:type="dxa"/>
            </w:tcMar>
          </w:tcPr>
          <w:p>
            <w:pPr>
              <w:jc w:val="center"/>
            </w:pPr>
            <w:r>
              <w:rPr>
                <w:rFonts w:ascii="Times New Roman" w:hAnsi="Times New Roman"/>
                <w:b/>
                <w:color w:val="FFFFFF"/>
                <w:sz w:val="18"/>
              </w:rPr>
              <w:t>Practical Conclusion</w:t>
            </w:r>
          </w:p>
        </w:tc>
      </w:tr>
      <w:tr>
        <w:tc>
          <w:tcPr>
            <w:tcW w:type="dxa" w:w="2160"/>
            <w:shd w:fill="FFFFFF"/>
            <w:tcMar>
              <w:top w:w="60" w:type="dxa"/>
              <w:bottom w:w="60" w:type="dxa"/>
              <w:left w:w="80" w:type="dxa"/>
              <w:right w:w="80" w:type="dxa"/>
            </w:tcMar>
          </w:tcPr>
          <w:p>
            <w:r>
              <w:rPr>
                <w:rFonts w:ascii="Times New Roman" w:hAnsi="Times New Roman"/>
                <w:sz w:val="17"/>
              </w:rPr>
              <w:t>VAH/VAL Reversal</w:t>
            </w:r>
          </w:p>
        </w:tc>
        <w:tc>
          <w:tcPr>
            <w:tcW w:type="dxa" w:w="2016"/>
            <w:shd w:fill="FFFFFF"/>
            <w:tcMar>
              <w:top w:w="60" w:type="dxa"/>
              <w:bottom w:w="60" w:type="dxa"/>
              <w:left w:w="80" w:type="dxa"/>
              <w:right w:w="80" w:type="dxa"/>
            </w:tcMar>
          </w:tcPr>
          <w:p>
            <w:r>
              <w:rPr>
                <w:rFonts w:ascii="Times New Roman" w:hAnsi="Times New Roman"/>
                <w:sz w:val="17"/>
              </w:rPr>
              <w:t>71.4% Mean-Reversion</w:t>
            </w:r>
          </w:p>
        </w:tc>
        <w:tc>
          <w:tcPr>
            <w:tcW w:type="dxa" w:w="2016"/>
            <w:shd w:fill="FFFFFF"/>
            <w:tcMar>
              <w:top w:w="60" w:type="dxa"/>
              <w:bottom w:w="60" w:type="dxa"/>
              <w:left w:w="80" w:type="dxa"/>
              <w:right w:w="80" w:type="dxa"/>
            </w:tcMar>
          </w:tcPr>
          <w:p>
            <w:r>
              <w:rPr>
                <w:rFonts w:ascii="Times New Roman" w:hAnsi="Times New Roman"/>
                <w:sz w:val="17"/>
              </w:rPr>
              <w:t>Student's t = 4.82</w:t>
            </w:r>
          </w:p>
        </w:tc>
        <w:tc>
          <w:tcPr>
            <w:tcW w:type="dxa" w:w="1584"/>
            <w:shd w:fill="FFFFFF"/>
            <w:tcMar>
              <w:top w:w="60" w:type="dxa"/>
              <w:bottom w:w="60" w:type="dxa"/>
              <w:left w:w="80" w:type="dxa"/>
              <w:right w:w="80" w:type="dxa"/>
            </w:tcMar>
          </w:tcPr>
          <w:p>
            <w:r>
              <w:rPr>
                <w:rFonts w:ascii="Times New Roman" w:hAnsi="Times New Roman"/>
                <w:sz w:val="17"/>
              </w:rPr>
              <w:t>p &lt; 0.001</w:t>
            </w:r>
          </w:p>
        </w:tc>
        <w:tc>
          <w:tcPr>
            <w:tcW w:type="dxa" w:w="2016"/>
            <w:shd w:fill="FFFFFF"/>
            <w:tcMar>
              <w:top w:w="60" w:type="dxa"/>
              <w:bottom w:w="60" w:type="dxa"/>
              <w:left w:w="80" w:type="dxa"/>
              <w:right w:w="80" w:type="dxa"/>
            </w:tcMar>
          </w:tcPr>
          <w:p>
            <w:r>
              <w:rPr>
                <w:rFonts w:ascii="Times New Roman" w:hAnsi="Times New Roman"/>
                <w:sz w:val="17"/>
              </w:rPr>
              <w:t>Levels act as real inflection zones.</w:t>
            </w:r>
          </w:p>
        </w:tc>
      </w:tr>
      <w:tr>
        <w:tc>
          <w:tcPr>
            <w:tcW w:type="dxa" w:w="2160"/>
            <w:shd w:fill="F5F7FA"/>
            <w:tcMar>
              <w:top w:w="60" w:type="dxa"/>
              <w:bottom w:w="60" w:type="dxa"/>
              <w:left w:w="80" w:type="dxa"/>
              <w:right w:w="80" w:type="dxa"/>
            </w:tcMar>
          </w:tcPr>
          <w:p>
            <w:r>
              <w:rPr>
                <w:rFonts w:ascii="Times New Roman" w:hAnsi="Times New Roman"/>
                <w:sz w:val="17"/>
              </w:rPr>
              <w:t>GMM Cluster Match</w:t>
            </w:r>
          </w:p>
        </w:tc>
        <w:tc>
          <w:tcPr>
            <w:tcW w:type="dxa" w:w="2016"/>
            <w:shd w:fill="F5F7FA"/>
            <w:tcMar>
              <w:top w:w="60" w:type="dxa"/>
              <w:bottom w:w="60" w:type="dxa"/>
              <w:left w:w="80" w:type="dxa"/>
              <w:right w:w="80" w:type="dxa"/>
            </w:tcMar>
          </w:tcPr>
          <w:p>
            <w:r>
              <w:rPr>
                <w:rFonts w:ascii="Times New Roman" w:hAnsi="Times New Roman"/>
                <w:sz w:val="17"/>
              </w:rPr>
              <w:t>91.2% Match with Expert Tags</w:t>
            </w:r>
          </w:p>
        </w:tc>
        <w:tc>
          <w:tcPr>
            <w:tcW w:type="dxa" w:w="2016"/>
            <w:shd w:fill="F5F7FA"/>
            <w:tcMar>
              <w:top w:w="60" w:type="dxa"/>
              <w:bottom w:w="60" w:type="dxa"/>
              <w:left w:w="80" w:type="dxa"/>
              <w:right w:w="80" w:type="dxa"/>
            </w:tcMar>
          </w:tcPr>
          <w:p>
            <w:r>
              <w:rPr>
                <w:rFonts w:ascii="Times New Roman" w:hAnsi="Times New Roman"/>
                <w:sz w:val="17"/>
              </w:rPr>
              <w:t>Cohen's kappa = 0.82</w:t>
            </w:r>
          </w:p>
        </w:tc>
        <w:tc>
          <w:tcPr>
            <w:tcW w:type="dxa" w:w="1584"/>
            <w:shd w:fill="F5F7FA"/>
            <w:tcMar>
              <w:top w:w="60" w:type="dxa"/>
              <w:bottom w:w="60" w:type="dxa"/>
              <w:left w:w="80" w:type="dxa"/>
              <w:right w:w="80" w:type="dxa"/>
            </w:tcMar>
          </w:tcPr>
          <w:p>
            <w:r>
              <w:rPr>
                <w:rFonts w:ascii="Times New Roman" w:hAnsi="Times New Roman"/>
                <w:sz w:val="17"/>
              </w:rPr>
              <w:t>p &lt; 0.001</w:t>
            </w:r>
          </w:p>
        </w:tc>
        <w:tc>
          <w:tcPr>
            <w:tcW w:type="dxa" w:w="2016"/>
            <w:shd w:fill="F5F7FA"/>
            <w:tcMar>
              <w:top w:w="60" w:type="dxa"/>
              <w:bottom w:w="60" w:type="dxa"/>
              <w:left w:w="80" w:type="dxa"/>
              <w:right w:w="80" w:type="dxa"/>
            </w:tcMar>
          </w:tcPr>
          <w:p>
            <w:r>
              <w:rPr>
                <w:rFonts w:ascii="Times New Roman" w:hAnsi="Times New Roman"/>
                <w:sz w:val="17"/>
              </w:rPr>
              <w:t>GMM reliably identifies day types.</w:t>
            </w:r>
          </w:p>
        </w:tc>
      </w:tr>
      <w:tr>
        <w:tc>
          <w:tcPr>
            <w:tcW w:type="dxa" w:w="2160"/>
            <w:shd w:fill="FFFFFF"/>
            <w:tcMar>
              <w:top w:w="60" w:type="dxa"/>
              <w:bottom w:w="60" w:type="dxa"/>
              <w:left w:w="80" w:type="dxa"/>
              <w:right w:w="80" w:type="dxa"/>
            </w:tcMar>
          </w:tcPr>
          <w:p>
            <w:r>
              <w:rPr>
                <w:rFonts w:ascii="Times New Roman" w:hAnsi="Times New Roman"/>
                <w:sz w:val="17"/>
              </w:rPr>
              <w:t>Failed Auction (TPAM &lt; 0.15)</w:t>
            </w:r>
          </w:p>
        </w:tc>
        <w:tc>
          <w:tcPr>
            <w:tcW w:type="dxa" w:w="2016"/>
            <w:shd w:fill="FFFFFF"/>
            <w:tcMar>
              <w:top w:w="60" w:type="dxa"/>
              <w:bottom w:w="60" w:type="dxa"/>
              <w:left w:w="80" w:type="dxa"/>
              <w:right w:w="80" w:type="dxa"/>
            </w:tcMar>
          </w:tcPr>
          <w:p>
            <w:r>
              <w:rPr>
                <w:rFonts w:ascii="Times New Roman" w:hAnsi="Times New Roman"/>
                <w:sz w:val="17"/>
              </w:rPr>
              <w:t>82.4% Returned into Value</w:t>
            </w:r>
          </w:p>
        </w:tc>
        <w:tc>
          <w:tcPr>
            <w:tcW w:type="dxa" w:w="2016"/>
            <w:shd w:fill="FFFFFF"/>
            <w:tcMar>
              <w:top w:w="60" w:type="dxa"/>
              <w:bottom w:w="60" w:type="dxa"/>
              <w:left w:w="80" w:type="dxa"/>
              <w:right w:w="80" w:type="dxa"/>
            </w:tcMar>
          </w:tcPr>
          <w:p>
            <w:r>
              <w:rPr>
                <w:rFonts w:ascii="Times New Roman" w:hAnsi="Times New Roman"/>
                <w:sz w:val="17"/>
              </w:rPr>
              <w:t>Chi-Square = 54.3</w:t>
            </w:r>
          </w:p>
        </w:tc>
        <w:tc>
          <w:tcPr>
            <w:tcW w:type="dxa" w:w="1584"/>
            <w:shd w:fill="FFFFFF"/>
            <w:tcMar>
              <w:top w:w="60" w:type="dxa"/>
              <w:bottom w:w="60" w:type="dxa"/>
              <w:left w:w="80" w:type="dxa"/>
              <w:right w:w="80" w:type="dxa"/>
            </w:tcMar>
          </w:tcPr>
          <w:p>
            <w:r>
              <w:rPr>
                <w:rFonts w:ascii="Times New Roman" w:hAnsi="Times New Roman"/>
                <w:sz w:val="17"/>
              </w:rPr>
              <w:t>p &lt; 0.001</w:t>
            </w:r>
          </w:p>
        </w:tc>
        <w:tc>
          <w:tcPr>
            <w:tcW w:type="dxa" w:w="2016"/>
            <w:shd w:fill="FFFFFF"/>
            <w:tcMar>
              <w:top w:w="60" w:type="dxa"/>
              <w:bottom w:w="60" w:type="dxa"/>
              <w:left w:w="80" w:type="dxa"/>
              <w:right w:w="80" w:type="dxa"/>
            </w:tcMar>
          </w:tcPr>
          <w:p>
            <w:r>
              <w:rPr>
                <w:rFonts w:ascii="Times New Roman" w:hAnsi="Times New Roman"/>
                <w:sz w:val="17"/>
              </w:rPr>
              <w:t>Reliably flags false breakouts.</w:t>
            </w:r>
          </w:p>
        </w:tc>
      </w:tr>
      <w:tr>
        <w:tc>
          <w:tcPr>
            <w:tcW w:type="dxa" w:w="2160"/>
            <w:shd w:fill="F5F7FA"/>
            <w:tcMar>
              <w:top w:w="60" w:type="dxa"/>
              <w:bottom w:w="60" w:type="dxa"/>
              <w:left w:w="80" w:type="dxa"/>
              <w:right w:w="80" w:type="dxa"/>
            </w:tcMar>
          </w:tcPr>
          <w:p>
            <w:r>
              <w:rPr>
                <w:rFonts w:ascii="Times New Roman" w:hAnsi="Times New Roman"/>
                <w:sz w:val="17"/>
              </w:rPr>
              <w:t>Initial Balance Extension</w:t>
            </w:r>
          </w:p>
        </w:tc>
        <w:tc>
          <w:tcPr>
            <w:tcW w:type="dxa" w:w="2016"/>
            <w:shd w:fill="F5F7FA"/>
            <w:tcMar>
              <w:top w:w="60" w:type="dxa"/>
              <w:bottom w:w="60" w:type="dxa"/>
              <w:left w:w="80" w:type="dxa"/>
              <w:right w:w="80" w:type="dxa"/>
            </w:tcMar>
          </w:tcPr>
          <w:p>
            <w:r>
              <w:rPr>
                <w:rFonts w:ascii="Times New Roman" w:hAnsi="Times New Roman"/>
                <w:sz w:val="17"/>
              </w:rPr>
              <w:t>81.6% Days Broke the Range</w:t>
            </w:r>
          </w:p>
        </w:tc>
        <w:tc>
          <w:tcPr>
            <w:tcW w:type="dxa" w:w="2016"/>
            <w:shd w:fill="F5F7FA"/>
            <w:tcMar>
              <w:top w:w="60" w:type="dxa"/>
              <w:bottom w:w="60" w:type="dxa"/>
              <w:left w:w="80" w:type="dxa"/>
              <w:right w:w="80" w:type="dxa"/>
            </w:tcMar>
          </w:tcPr>
          <w:p>
            <w:r>
              <w:rPr>
                <w:rFonts w:ascii="Times New Roman" w:hAnsi="Times New Roman"/>
                <w:sz w:val="17"/>
              </w:rPr>
              <w:t>Z-score = 14.2</w:t>
            </w:r>
          </w:p>
        </w:tc>
        <w:tc>
          <w:tcPr>
            <w:tcW w:type="dxa" w:w="1584"/>
            <w:shd w:fill="F5F7FA"/>
            <w:tcMar>
              <w:top w:w="60" w:type="dxa"/>
              <w:bottom w:w="60" w:type="dxa"/>
              <w:left w:w="80" w:type="dxa"/>
              <w:right w:w="80" w:type="dxa"/>
            </w:tcMar>
          </w:tcPr>
          <w:p>
            <w:r>
              <w:rPr>
                <w:rFonts w:ascii="Times New Roman" w:hAnsi="Times New Roman"/>
                <w:sz w:val="17"/>
              </w:rPr>
              <w:t>p &lt; 0.001</w:t>
            </w:r>
          </w:p>
        </w:tc>
        <w:tc>
          <w:tcPr>
            <w:tcW w:type="dxa" w:w="2016"/>
            <w:shd w:fill="F5F7FA"/>
            <w:tcMar>
              <w:top w:w="60" w:type="dxa"/>
              <w:bottom w:w="60" w:type="dxa"/>
              <w:left w:w="80" w:type="dxa"/>
              <w:right w:w="80" w:type="dxa"/>
            </w:tcMar>
          </w:tcPr>
          <w:p>
            <w:r>
              <w:rPr>
                <w:rFonts w:ascii="Times New Roman" w:hAnsi="Times New Roman"/>
                <w:sz w:val="17"/>
              </w:rPr>
              <w:t>Higher timeframe traders dominate.</w:t>
            </w:r>
          </w:p>
        </w:tc>
      </w:tr>
    </w:tbl>
    <w:p>
      <w:pPr>
        <w:spacing w:after="80"/>
      </w:pPr>
    </w:p>
    <w:p>
      <w:pPr>
        <w:pStyle w:val="Heading2"/>
        <w:spacing w:before="160" w:after="40"/>
      </w:pPr>
      <w:r>
        <w:rPr>
          <w:rFonts w:ascii="Times New Roman" w:hAnsi="Times New Roman"/>
          <w:b/>
          <w:color w:val="1E1E1E"/>
          <w:sz w:val="21"/>
        </w:rPr>
        <w:t>B. Unsupervised Market Regime Clustering</w:t>
      </w:r>
    </w:p>
    <w:p>
      <w:pPr>
        <w:spacing w:after="80" w:line="276" w:lineRule="auto"/>
        <w:jc w:val="both"/>
      </w:pPr>
      <w:r>
        <w:rPr>
          <w:rFonts w:ascii="Times New Roman" w:hAnsi="Times New Roman"/>
          <w:i w:val="0"/>
          <w:sz w:val="20"/>
        </w:rPr>
        <w:t>Using a Gaussian Mixture Model (GMM) trained on DDAI, volume kurtosis, and opening range extension ratios, the engine automatically categorized sessions into Rotational Days and Trend Days. As shown in Fig. 3, balanced days consistently display high positive excess kurtosis (gamma_2 &gt; 1.2), reflecting tight volume clustering around the VPOC. Trending days show negative kurtosis (gamma_2 &lt; -0.8), indicating volume was dragged across a wide price range.</w:t>
      </w:r>
    </w:p>
    <w:p>
      <w:pPr>
        <w:spacing w:before="160" w:after="60"/>
        <w:jc w:val="center"/>
      </w:pPr>
      <w:r>
        <w:drawing>
          <wp:inline xmlns:a="http://schemas.openxmlformats.org/drawingml/2006/main" xmlns:pic="http://schemas.openxmlformats.org/drawingml/2006/picture">
            <wp:extent cx="5486400" cy="3526971"/>
            <wp:docPr id="3" name="Picture 3"/>
            <wp:cNvGraphicFramePr>
              <a:graphicFrameLocks noChangeAspect="1"/>
            </wp:cNvGraphicFramePr>
            <a:graphic>
              <a:graphicData uri="http://schemas.openxmlformats.org/drawingml/2006/picture">
                <pic:pic>
                  <pic:nvPicPr>
                    <pic:cNvPr id="0" name="fig3_regime_clustering.png"/>
                    <pic:cNvPicPr/>
                  </pic:nvPicPr>
                  <pic:blipFill>
                    <a:blip r:embed="rId11"/>
                    <a:stretch>
                      <a:fillRect/>
                    </a:stretch>
                  </pic:blipFill>
                  <pic:spPr>
                    <a:xfrm>
                      <a:off x="0" y="0"/>
                      <a:ext cx="5486400" cy="3526971"/>
                    </a:xfrm>
                    <a:prstGeom prst="rect"/>
                  </pic:spPr>
                </pic:pic>
              </a:graphicData>
            </a:graphic>
          </wp:inline>
        </w:drawing>
      </w:r>
    </w:p>
    <w:p>
      <w:pPr>
        <w:spacing w:after="160"/>
        <w:jc w:val="center"/>
      </w:pPr>
      <w:r>
        <w:rPr>
          <w:rFonts w:ascii="Times New Roman" w:hAnsi="Times New Roman"/>
          <w:i/>
          <w:sz w:val="18"/>
        </w:rPr>
        <w:t>Fig. 3. GMM clustering across DDAI and Volume Kurtosis, showing clear separation between balanced rotational days and aggressive trending days.</w:t>
      </w:r>
    </w:p>
    <w:p>
      <w:pPr>
        <w:pStyle w:val="Heading2"/>
        <w:spacing w:before="160" w:after="40"/>
      </w:pPr>
      <w:r>
        <w:rPr>
          <w:rFonts w:ascii="Times New Roman" w:hAnsi="Times New Roman"/>
          <w:b/>
          <w:color w:val="1E1E1E"/>
          <w:sz w:val="21"/>
        </w:rPr>
        <w:t>C. Catching False Breakouts with TPAM</w:t>
      </w:r>
    </w:p>
    <w:p>
      <w:pPr>
        <w:spacing w:after="80" w:line="276" w:lineRule="auto"/>
        <w:jc w:val="both"/>
      </w:pPr>
      <w:r>
        <w:rPr>
          <w:rFonts w:ascii="Times New Roman" w:hAnsi="Times New Roman"/>
          <w:i w:val="0"/>
          <w:sz w:val="20"/>
        </w:rPr>
        <w:t>One of the biggest headaches for traders is buying a breakout only to have it immediately reverse. Our findings with TPAM highlight why this happens. When price pushed outside the prior Value Area but generated a TPAM of less than 0.15, price mean-reverted back inside the Value Area 82.4% of the time. However, when TPAM crossed 0.40, price went on to establish a sustained trend in 78.9% of cases (Fig. 4).</w:t>
      </w:r>
    </w:p>
    <w:p>
      <w:pPr>
        <w:spacing w:before="160" w:after="60"/>
        <w:jc w:val="center"/>
      </w:pPr>
      <w:r>
        <w:drawing>
          <wp:inline xmlns:a="http://schemas.openxmlformats.org/drawingml/2006/main" xmlns:pic="http://schemas.openxmlformats.org/drawingml/2006/picture">
            <wp:extent cx="5486400" cy="3291840"/>
            <wp:docPr id="4" name="Picture 4"/>
            <wp:cNvGraphicFramePr>
              <a:graphicFrameLocks noChangeAspect="1"/>
            </wp:cNvGraphicFramePr>
            <a:graphic>
              <a:graphicData uri="http://schemas.openxmlformats.org/drawingml/2006/picture">
                <pic:pic>
                  <pic:nvPicPr>
                    <pic:cNvPr id="0" name="fig4_tpam_reversion.png"/>
                    <pic:cNvPicPr/>
                  </pic:nvPicPr>
                  <pic:blipFill>
                    <a:blip r:embed="rId12"/>
                    <a:stretch>
                      <a:fillRect/>
                    </a:stretch>
                  </pic:blipFill>
                  <pic:spPr>
                    <a:xfrm>
                      <a:off x="0" y="0"/>
                      <a:ext cx="5486400" cy="3291840"/>
                    </a:xfrm>
                    <a:prstGeom prst="rect"/>
                  </pic:spPr>
                </pic:pic>
              </a:graphicData>
            </a:graphic>
          </wp:inline>
        </w:drawing>
      </w:r>
    </w:p>
    <w:p>
      <w:pPr>
        <w:spacing w:after="160"/>
        <w:jc w:val="center"/>
      </w:pPr>
      <w:r>
        <w:rPr>
          <w:rFonts w:ascii="Times New Roman" w:hAnsi="Times New Roman"/>
          <w:i/>
          <w:sz w:val="18"/>
        </w:rPr>
        <w:t>Fig. 4. Probability of price reversing back into the Value Area plotted against TPAM, showing a sharp drop once continuous volume confirms acceptance.</w:t>
      </w:r>
    </w:p>
    <w:p>
      <w:pPr>
        <w:pStyle w:val="Heading1"/>
        <w:spacing w:before="240" w:after="80"/>
      </w:pPr>
      <w:r>
        <w:rPr>
          <w:rFonts w:ascii="Times New Roman" w:hAnsi="Times New Roman"/>
          <w:b/>
          <w:color w:val="000000"/>
          <w:sz w:val="24"/>
        </w:rPr>
        <w:t>VI. HOW ALPHAPULSE COMPARES TO EXISTING TOOLS</w:t>
      </w:r>
    </w:p>
    <w:p>
      <w:pPr>
        <w:spacing w:after="80" w:line="276" w:lineRule="auto"/>
        <w:jc w:val="both"/>
      </w:pPr>
      <w:r>
        <w:rPr>
          <w:rFonts w:ascii="Times New Roman" w:hAnsi="Times New Roman"/>
          <w:i w:val="0"/>
          <w:sz w:val="20"/>
        </w:rPr>
        <w:t>Table IV compares AlphaPulse with popular commercial charting software, retail screeners, and academic deep learning bots.</w:t>
      </w:r>
    </w:p>
    <w:p>
      <w:pPr>
        <w:spacing w:before="160" w:after="60"/>
        <w:jc w:val="center"/>
      </w:pPr>
      <w:r>
        <w:rPr>
          <w:rFonts w:ascii="Times New Roman" w:hAnsi="Times New Roman"/>
          <w:b/>
          <w:sz w:val="19"/>
        </w:rPr>
        <w:t>TABLE IV: BENCHMARKING ALPHAPULSE AGAINST CURRENT PLATFORMS</w:t>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2160"/>
            <w:shd w:fill="2C3E50"/>
            <w:tcMar>
              <w:top w:w="80" w:type="dxa"/>
              <w:bottom w:w="80" w:type="dxa"/>
              <w:left w:w="100" w:type="dxa"/>
              <w:right w:w="100" w:type="dxa"/>
            </w:tcMar>
          </w:tcPr>
          <w:p>
            <w:pPr>
              <w:jc w:val="center"/>
            </w:pPr>
            <w:r>
              <w:rPr>
                <w:rFonts w:ascii="Times New Roman" w:hAnsi="Times New Roman"/>
                <w:b/>
                <w:color w:val="FFFFFF"/>
                <w:sz w:val="18"/>
              </w:rPr>
              <w:t>Feature / Dimension</w:t>
            </w:r>
          </w:p>
        </w:tc>
        <w:tc>
          <w:tcPr>
            <w:tcW w:type="dxa" w:w="1872"/>
            <w:shd w:fill="2C3E50"/>
            <w:tcMar>
              <w:top w:w="80" w:type="dxa"/>
              <w:bottom w:w="80" w:type="dxa"/>
              <w:left w:w="100" w:type="dxa"/>
              <w:right w:w="100" w:type="dxa"/>
            </w:tcMar>
          </w:tcPr>
          <w:p>
            <w:pPr>
              <w:jc w:val="center"/>
            </w:pPr>
            <w:r>
              <w:rPr>
                <w:rFonts w:ascii="Times New Roman" w:hAnsi="Times New Roman"/>
                <w:b/>
                <w:color w:val="FFFFFF"/>
                <w:sz w:val="18"/>
              </w:rPr>
              <w:t>TradingView</w:t>
            </w:r>
          </w:p>
        </w:tc>
        <w:tc>
          <w:tcPr>
            <w:tcW w:type="dxa" w:w="1872"/>
            <w:shd w:fill="2C3E50"/>
            <w:tcMar>
              <w:top w:w="80" w:type="dxa"/>
              <w:bottom w:w="80" w:type="dxa"/>
              <w:left w:w="100" w:type="dxa"/>
              <w:right w:w="100" w:type="dxa"/>
            </w:tcMar>
          </w:tcPr>
          <w:p>
            <w:pPr>
              <w:jc w:val="center"/>
            </w:pPr>
            <w:r>
              <w:rPr>
                <w:rFonts w:ascii="Times New Roman" w:hAnsi="Times New Roman"/>
                <w:b/>
                <w:color w:val="FFFFFF"/>
                <w:sz w:val="18"/>
              </w:rPr>
              <w:t>TrendSpider</w:t>
            </w:r>
          </w:p>
        </w:tc>
        <w:tc>
          <w:tcPr>
            <w:tcW w:type="dxa" w:w="1872"/>
            <w:shd w:fill="2C3E50"/>
            <w:tcMar>
              <w:top w:w="80" w:type="dxa"/>
              <w:bottom w:w="80" w:type="dxa"/>
              <w:left w:w="100" w:type="dxa"/>
              <w:right w:w="100" w:type="dxa"/>
            </w:tcMar>
          </w:tcPr>
          <w:p>
            <w:pPr>
              <w:jc w:val="center"/>
            </w:pPr>
            <w:r>
              <w:rPr>
                <w:rFonts w:ascii="Times New Roman" w:hAnsi="Times New Roman"/>
                <w:b/>
                <w:color w:val="FFFFFF"/>
                <w:sz w:val="18"/>
              </w:rPr>
              <w:t>Deep ML Bots</w:t>
            </w:r>
          </w:p>
        </w:tc>
        <w:tc>
          <w:tcPr>
            <w:tcW w:type="dxa" w:w="2016"/>
            <w:shd w:fill="2C3E50"/>
            <w:tcMar>
              <w:top w:w="80" w:type="dxa"/>
              <w:bottom w:w="80" w:type="dxa"/>
              <w:left w:w="100" w:type="dxa"/>
              <w:right w:w="100" w:type="dxa"/>
            </w:tcMar>
          </w:tcPr>
          <w:p>
            <w:pPr>
              <w:jc w:val="center"/>
            </w:pPr>
            <w:r>
              <w:rPr>
                <w:rFonts w:ascii="Times New Roman" w:hAnsi="Times New Roman"/>
                <w:b/>
                <w:color w:val="FFFFFF"/>
                <w:sz w:val="18"/>
              </w:rPr>
              <w:t>AlphaPulse Engine</w:t>
            </w:r>
          </w:p>
        </w:tc>
      </w:tr>
      <w:tr>
        <w:tc>
          <w:tcPr>
            <w:tcW w:type="dxa" w:w="2160"/>
            <w:shd w:fill="FFFFFF"/>
            <w:tcMar>
              <w:top w:w="60" w:type="dxa"/>
              <w:bottom w:w="60" w:type="dxa"/>
              <w:left w:w="80" w:type="dxa"/>
              <w:right w:w="80" w:type="dxa"/>
            </w:tcMar>
          </w:tcPr>
          <w:p>
            <w:r>
              <w:rPr>
                <w:rFonts w:ascii="Times New Roman" w:hAnsi="Times New Roman"/>
                <w:sz w:val="17"/>
              </w:rPr>
              <w:t>Core Method</w:t>
            </w:r>
          </w:p>
        </w:tc>
        <w:tc>
          <w:tcPr>
            <w:tcW w:type="dxa" w:w="1872"/>
            <w:shd w:fill="FFFFFF"/>
            <w:tcMar>
              <w:top w:w="60" w:type="dxa"/>
              <w:bottom w:w="60" w:type="dxa"/>
              <w:left w:w="80" w:type="dxa"/>
              <w:right w:w="80" w:type="dxa"/>
            </w:tcMar>
          </w:tcPr>
          <w:p>
            <w:r>
              <w:rPr>
                <w:rFonts w:ascii="Times New Roman" w:hAnsi="Times New Roman"/>
                <w:sz w:val="17"/>
              </w:rPr>
              <w:t>Price-based indicators</w:t>
            </w:r>
          </w:p>
        </w:tc>
        <w:tc>
          <w:tcPr>
            <w:tcW w:type="dxa" w:w="1872"/>
            <w:shd w:fill="FFFFFF"/>
            <w:tcMar>
              <w:top w:w="60" w:type="dxa"/>
              <w:bottom w:w="60" w:type="dxa"/>
              <w:left w:w="80" w:type="dxa"/>
              <w:right w:w="80" w:type="dxa"/>
            </w:tcMar>
          </w:tcPr>
          <w:p>
            <w:r>
              <w:rPr>
                <w:rFonts w:ascii="Times New Roman" w:hAnsi="Times New Roman"/>
                <w:sz w:val="17"/>
              </w:rPr>
              <w:t>Automated chart heuristics</w:t>
            </w:r>
          </w:p>
        </w:tc>
        <w:tc>
          <w:tcPr>
            <w:tcW w:type="dxa" w:w="1872"/>
            <w:shd w:fill="FFFFFF"/>
            <w:tcMar>
              <w:top w:w="60" w:type="dxa"/>
              <w:bottom w:w="60" w:type="dxa"/>
              <w:left w:w="80" w:type="dxa"/>
              <w:right w:w="80" w:type="dxa"/>
            </w:tcMar>
          </w:tcPr>
          <w:p>
            <w:r>
              <w:rPr>
                <w:rFonts w:ascii="Times New Roman" w:hAnsi="Times New Roman"/>
                <w:sz w:val="17"/>
              </w:rPr>
              <w:t>Deep neural networks</w:t>
            </w:r>
          </w:p>
        </w:tc>
        <w:tc>
          <w:tcPr>
            <w:tcW w:type="dxa" w:w="2016"/>
            <w:shd w:fill="FFFFFF"/>
            <w:tcMar>
              <w:top w:w="60" w:type="dxa"/>
              <w:bottom w:w="60" w:type="dxa"/>
              <w:left w:w="80" w:type="dxa"/>
              <w:right w:w="80" w:type="dxa"/>
            </w:tcMar>
          </w:tcPr>
          <w:p>
            <w:r>
              <w:rPr>
                <w:rFonts w:ascii="Times New Roman" w:hAnsi="Times New Roman"/>
                <w:sz w:val="17"/>
              </w:rPr>
              <w:t>Auction Market Theory</w:t>
            </w:r>
          </w:p>
        </w:tc>
      </w:tr>
      <w:tr>
        <w:tc>
          <w:tcPr>
            <w:tcW w:type="dxa" w:w="2160"/>
            <w:shd w:fill="F5F7FA"/>
            <w:tcMar>
              <w:top w:w="60" w:type="dxa"/>
              <w:bottom w:w="60" w:type="dxa"/>
              <w:left w:w="80" w:type="dxa"/>
              <w:right w:w="80" w:type="dxa"/>
            </w:tcMar>
          </w:tcPr>
          <w:p>
            <w:r>
              <w:rPr>
                <w:rFonts w:ascii="Times New Roman" w:hAnsi="Times New Roman"/>
                <w:sz w:val="17"/>
              </w:rPr>
              <w:t>Volume Profile</w:t>
            </w:r>
          </w:p>
        </w:tc>
        <w:tc>
          <w:tcPr>
            <w:tcW w:type="dxa" w:w="1872"/>
            <w:shd w:fill="F5F7FA"/>
            <w:tcMar>
              <w:top w:w="60" w:type="dxa"/>
              <w:bottom w:w="60" w:type="dxa"/>
              <w:left w:w="80" w:type="dxa"/>
              <w:right w:w="80" w:type="dxa"/>
            </w:tcMar>
          </w:tcPr>
          <w:p>
            <w:r>
              <w:rPr>
                <w:rFonts w:ascii="Times New Roman" w:hAnsi="Times New Roman"/>
                <w:sz w:val="17"/>
              </w:rPr>
              <w:t>Paid add-on script</w:t>
            </w:r>
          </w:p>
        </w:tc>
        <w:tc>
          <w:tcPr>
            <w:tcW w:type="dxa" w:w="1872"/>
            <w:shd w:fill="F5F7FA"/>
            <w:tcMar>
              <w:top w:w="60" w:type="dxa"/>
              <w:bottom w:w="60" w:type="dxa"/>
              <w:left w:w="80" w:type="dxa"/>
              <w:right w:w="80" w:type="dxa"/>
            </w:tcMar>
          </w:tcPr>
          <w:p>
            <w:r>
              <w:rPr>
                <w:rFonts w:ascii="Times New Roman" w:hAnsi="Times New Roman"/>
                <w:sz w:val="17"/>
              </w:rPr>
              <w:t>Basic automated overlays</w:t>
            </w:r>
          </w:p>
        </w:tc>
        <w:tc>
          <w:tcPr>
            <w:tcW w:type="dxa" w:w="1872"/>
            <w:shd w:fill="F5F7FA"/>
            <w:tcMar>
              <w:top w:w="60" w:type="dxa"/>
              <w:bottom w:w="60" w:type="dxa"/>
              <w:left w:w="80" w:type="dxa"/>
              <w:right w:w="80" w:type="dxa"/>
            </w:tcMar>
          </w:tcPr>
          <w:p>
            <w:r>
              <w:rPr>
                <w:rFonts w:ascii="Times New Roman" w:hAnsi="Times New Roman"/>
                <w:sz w:val="17"/>
              </w:rPr>
              <w:t>Not supported</w:t>
            </w:r>
          </w:p>
        </w:tc>
        <w:tc>
          <w:tcPr>
            <w:tcW w:type="dxa" w:w="2016"/>
            <w:shd w:fill="F5F7FA"/>
            <w:tcMar>
              <w:top w:w="60" w:type="dxa"/>
              <w:bottom w:w="60" w:type="dxa"/>
              <w:left w:w="80" w:type="dxa"/>
              <w:right w:w="80" w:type="dxa"/>
            </w:tcMar>
          </w:tcPr>
          <w:p>
            <w:r>
              <w:rPr>
                <w:rFonts w:ascii="Times New Roman" w:hAnsi="Times New Roman"/>
                <w:sz w:val="17"/>
              </w:rPr>
              <w:t>Native, open mathematical core</w:t>
            </w:r>
          </w:p>
        </w:tc>
      </w:tr>
      <w:tr>
        <w:tc>
          <w:tcPr>
            <w:tcW w:type="dxa" w:w="2160"/>
            <w:shd w:fill="FFFFFF"/>
            <w:tcMar>
              <w:top w:w="60" w:type="dxa"/>
              <w:bottom w:w="60" w:type="dxa"/>
              <w:left w:w="80" w:type="dxa"/>
              <w:right w:w="80" w:type="dxa"/>
            </w:tcMar>
          </w:tcPr>
          <w:p>
            <w:r>
              <w:rPr>
                <w:rFonts w:ascii="Times New Roman" w:hAnsi="Times New Roman"/>
                <w:sz w:val="17"/>
              </w:rPr>
              <w:t>New Microstructure Metrics</w:t>
            </w:r>
          </w:p>
        </w:tc>
        <w:tc>
          <w:tcPr>
            <w:tcW w:type="dxa" w:w="1872"/>
            <w:shd w:fill="FFFFFF"/>
            <w:tcMar>
              <w:top w:w="60" w:type="dxa"/>
              <w:bottom w:w="60" w:type="dxa"/>
              <w:left w:w="80" w:type="dxa"/>
              <w:right w:w="80" w:type="dxa"/>
            </w:tcMar>
          </w:tcPr>
          <w:p>
            <w:r>
              <w:rPr>
                <w:rFonts w:ascii="Times New Roman" w:hAnsi="Times New Roman"/>
                <w:sz w:val="17"/>
              </w:rPr>
              <w:t>None</w:t>
            </w:r>
          </w:p>
        </w:tc>
        <w:tc>
          <w:tcPr>
            <w:tcW w:type="dxa" w:w="1872"/>
            <w:shd w:fill="FFFFFF"/>
            <w:tcMar>
              <w:top w:w="60" w:type="dxa"/>
              <w:bottom w:w="60" w:type="dxa"/>
              <w:left w:w="80" w:type="dxa"/>
              <w:right w:w="80" w:type="dxa"/>
            </w:tcMar>
          </w:tcPr>
          <w:p>
            <w:r>
              <w:rPr>
                <w:rFonts w:ascii="Times New Roman" w:hAnsi="Times New Roman"/>
                <w:sz w:val="17"/>
              </w:rPr>
              <w:t>None</w:t>
            </w:r>
          </w:p>
        </w:tc>
        <w:tc>
          <w:tcPr>
            <w:tcW w:type="dxa" w:w="1872"/>
            <w:shd w:fill="FFFFFF"/>
            <w:tcMar>
              <w:top w:w="60" w:type="dxa"/>
              <w:bottom w:w="60" w:type="dxa"/>
              <w:left w:w="80" w:type="dxa"/>
              <w:right w:w="80" w:type="dxa"/>
            </w:tcMar>
          </w:tcPr>
          <w:p>
            <w:r>
              <w:rPr>
                <w:rFonts w:ascii="Times New Roman" w:hAnsi="Times New Roman"/>
                <w:sz w:val="17"/>
              </w:rPr>
              <w:t>None</w:t>
            </w:r>
          </w:p>
        </w:tc>
        <w:tc>
          <w:tcPr>
            <w:tcW w:type="dxa" w:w="2016"/>
            <w:shd w:fill="FFFFFF"/>
            <w:tcMar>
              <w:top w:w="60" w:type="dxa"/>
              <w:bottom w:w="60" w:type="dxa"/>
              <w:left w:w="80" w:type="dxa"/>
              <w:right w:w="80" w:type="dxa"/>
            </w:tcMar>
          </w:tcPr>
          <w:p>
            <w:r>
              <w:rPr>
                <w:rFonts w:ascii="Times New Roman" w:hAnsi="Times New Roman"/>
                <w:sz w:val="17"/>
              </w:rPr>
              <w:t>Native (DDAI &amp; TPAM)</w:t>
            </w:r>
          </w:p>
        </w:tc>
      </w:tr>
      <w:tr>
        <w:tc>
          <w:tcPr>
            <w:tcW w:type="dxa" w:w="2160"/>
            <w:shd w:fill="F5F7FA"/>
            <w:tcMar>
              <w:top w:w="60" w:type="dxa"/>
              <w:bottom w:w="60" w:type="dxa"/>
              <w:left w:w="80" w:type="dxa"/>
              <w:right w:w="80" w:type="dxa"/>
            </w:tcMar>
          </w:tcPr>
          <w:p>
            <w:r>
              <w:rPr>
                <w:rFonts w:ascii="Times New Roman" w:hAnsi="Times New Roman"/>
                <w:sz w:val="17"/>
              </w:rPr>
              <w:t>Explainability (XAI)</w:t>
            </w:r>
          </w:p>
        </w:tc>
        <w:tc>
          <w:tcPr>
            <w:tcW w:type="dxa" w:w="1872"/>
            <w:shd w:fill="F5F7FA"/>
            <w:tcMar>
              <w:top w:w="60" w:type="dxa"/>
              <w:bottom w:w="60" w:type="dxa"/>
              <w:left w:w="80" w:type="dxa"/>
              <w:right w:w="80" w:type="dxa"/>
            </w:tcMar>
          </w:tcPr>
          <w:p>
            <w:r>
              <w:rPr>
                <w:rFonts w:ascii="Times New Roman" w:hAnsi="Times New Roman"/>
                <w:sz w:val="17"/>
              </w:rPr>
              <w:t>None</w:t>
            </w:r>
          </w:p>
        </w:tc>
        <w:tc>
          <w:tcPr>
            <w:tcW w:type="dxa" w:w="1872"/>
            <w:shd w:fill="F5F7FA"/>
            <w:tcMar>
              <w:top w:w="60" w:type="dxa"/>
              <w:bottom w:w="60" w:type="dxa"/>
              <w:left w:w="80" w:type="dxa"/>
              <w:right w:w="80" w:type="dxa"/>
            </w:tcMar>
          </w:tcPr>
          <w:p>
            <w:r>
              <w:rPr>
                <w:rFonts w:ascii="Times New Roman" w:hAnsi="Times New Roman"/>
                <w:sz w:val="17"/>
              </w:rPr>
              <w:t>None</w:t>
            </w:r>
          </w:p>
        </w:tc>
        <w:tc>
          <w:tcPr>
            <w:tcW w:type="dxa" w:w="1872"/>
            <w:shd w:fill="F5F7FA"/>
            <w:tcMar>
              <w:top w:w="60" w:type="dxa"/>
              <w:bottom w:w="60" w:type="dxa"/>
              <w:left w:w="80" w:type="dxa"/>
              <w:right w:w="80" w:type="dxa"/>
            </w:tcMar>
          </w:tcPr>
          <w:p>
            <w:r>
              <w:rPr>
                <w:rFonts w:ascii="Times New Roman" w:hAnsi="Times New Roman"/>
                <w:sz w:val="17"/>
              </w:rPr>
              <w:t>Opaque neural weights</w:t>
            </w:r>
          </w:p>
        </w:tc>
        <w:tc>
          <w:tcPr>
            <w:tcW w:type="dxa" w:w="2016"/>
            <w:shd w:fill="F5F7FA"/>
            <w:tcMar>
              <w:top w:w="60" w:type="dxa"/>
              <w:bottom w:w="60" w:type="dxa"/>
              <w:left w:w="80" w:type="dxa"/>
              <w:right w:w="80" w:type="dxa"/>
            </w:tcMar>
          </w:tcPr>
          <w:p>
            <w:r>
              <w:rPr>
                <w:rFonts w:ascii="Times New Roman" w:hAnsi="Times New Roman"/>
                <w:sz w:val="17"/>
              </w:rPr>
              <w:t>Deterministic plain English</w:t>
            </w:r>
          </w:p>
        </w:tc>
      </w:tr>
      <w:tr>
        <w:tc>
          <w:tcPr>
            <w:tcW w:type="dxa" w:w="2160"/>
            <w:shd w:fill="FFFFFF"/>
            <w:tcMar>
              <w:top w:w="60" w:type="dxa"/>
              <w:bottom w:w="60" w:type="dxa"/>
              <w:left w:w="80" w:type="dxa"/>
              <w:right w:w="80" w:type="dxa"/>
            </w:tcMar>
          </w:tcPr>
          <w:p>
            <w:r>
              <w:rPr>
                <w:rFonts w:ascii="Times New Roman" w:hAnsi="Times New Roman"/>
                <w:sz w:val="17"/>
              </w:rPr>
              <w:t>Regulatory Position</w:t>
            </w:r>
          </w:p>
        </w:tc>
        <w:tc>
          <w:tcPr>
            <w:tcW w:type="dxa" w:w="1872"/>
            <w:shd w:fill="FFFFFF"/>
            <w:tcMar>
              <w:top w:w="60" w:type="dxa"/>
              <w:bottom w:w="60" w:type="dxa"/>
              <w:left w:w="80" w:type="dxa"/>
              <w:right w:w="80" w:type="dxa"/>
            </w:tcMar>
          </w:tcPr>
          <w:p>
            <w:r>
              <w:rPr>
                <w:rFonts w:ascii="Times New Roman" w:hAnsi="Times New Roman"/>
                <w:sz w:val="17"/>
              </w:rPr>
              <w:t>Disseminates trade signals</w:t>
            </w:r>
          </w:p>
        </w:tc>
        <w:tc>
          <w:tcPr>
            <w:tcW w:type="dxa" w:w="1872"/>
            <w:shd w:fill="FFFFFF"/>
            <w:tcMar>
              <w:top w:w="60" w:type="dxa"/>
              <w:bottom w:w="60" w:type="dxa"/>
              <w:left w:w="80" w:type="dxa"/>
              <w:right w:w="80" w:type="dxa"/>
            </w:tcMar>
          </w:tcPr>
          <w:p>
            <w:r>
              <w:rPr>
                <w:rFonts w:ascii="Times New Roman" w:hAnsi="Times New Roman"/>
                <w:sz w:val="17"/>
              </w:rPr>
              <w:t>Breakout alerts</w:t>
            </w:r>
          </w:p>
        </w:tc>
        <w:tc>
          <w:tcPr>
            <w:tcW w:type="dxa" w:w="1872"/>
            <w:shd w:fill="FFFFFF"/>
            <w:tcMar>
              <w:top w:w="60" w:type="dxa"/>
              <w:bottom w:w="60" w:type="dxa"/>
              <w:left w:w="80" w:type="dxa"/>
              <w:right w:w="80" w:type="dxa"/>
            </w:tcMar>
          </w:tcPr>
          <w:p>
            <w:r>
              <w:rPr>
                <w:rFonts w:ascii="Times New Roman" w:hAnsi="Times New Roman"/>
                <w:sz w:val="17"/>
              </w:rPr>
              <w:t>Automated trade flags</w:t>
            </w:r>
          </w:p>
        </w:tc>
        <w:tc>
          <w:tcPr>
            <w:tcW w:type="dxa" w:w="2016"/>
            <w:shd w:fill="FFFFFF"/>
            <w:tcMar>
              <w:top w:w="60" w:type="dxa"/>
              <w:bottom w:w="60" w:type="dxa"/>
              <w:left w:w="80" w:type="dxa"/>
              <w:right w:w="80" w:type="dxa"/>
            </w:tcMar>
          </w:tcPr>
          <w:p>
            <w:r>
              <w:rPr>
                <w:rFonts w:ascii="Times New Roman" w:hAnsi="Times New Roman"/>
                <w:sz w:val="17"/>
              </w:rPr>
              <w:t>Strictly educational diagnostics</w:t>
            </w:r>
          </w:p>
        </w:tc>
      </w:tr>
      <w:tr>
        <w:tc>
          <w:tcPr>
            <w:tcW w:type="dxa" w:w="2160"/>
            <w:shd w:fill="F5F7FA"/>
            <w:tcMar>
              <w:top w:w="60" w:type="dxa"/>
              <w:bottom w:w="60" w:type="dxa"/>
              <w:left w:w="80" w:type="dxa"/>
              <w:right w:w="80" w:type="dxa"/>
            </w:tcMar>
          </w:tcPr>
          <w:p>
            <w:r>
              <w:rPr>
                <w:rFonts w:ascii="Times New Roman" w:hAnsi="Times New Roman"/>
                <w:sz w:val="17"/>
              </w:rPr>
              <w:t>Implementation Stage</w:t>
            </w:r>
          </w:p>
        </w:tc>
        <w:tc>
          <w:tcPr>
            <w:tcW w:type="dxa" w:w="1872"/>
            <w:shd w:fill="F5F7FA"/>
            <w:tcMar>
              <w:top w:w="60" w:type="dxa"/>
              <w:bottom w:w="60" w:type="dxa"/>
              <w:left w:w="80" w:type="dxa"/>
              <w:right w:w="80" w:type="dxa"/>
            </w:tcMar>
          </w:tcPr>
          <w:p>
            <w:r>
              <w:rPr>
                <w:rFonts w:ascii="Times New Roman" w:hAnsi="Times New Roman"/>
                <w:sz w:val="17"/>
              </w:rPr>
              <w:t>Commercial SaaS</w:t>
            </w:r>
          </w:p>
        </w:tc>
        <w:tc>
          <w:tcPr>
            <w:tcW w:type="dxa" w:w="1872"/>
            <w:shd w:fill="F5F7FA"/>
            <w:tcMar>
              <w:top w:w="60" w:type="dxa"/>
              <w:bottom w:w="60" w:type="dxa"/>
              <w:left w:w="80" w:type="dxa"/>
              <w:right w:w="80" w:type="dxa"/>
            </w:tcMar>
          </w:tcPr>
          <w:p>
            <w:r>
              <w:rPr>
                <w:rFonts w:ascii="Times New Roman" w:hAnsi="Times New Roman"/>
                <w:sz w:val="17"/>
              </w:rPr>
              <w:t>Commercial SaaS</w:t>
            </w:r>
          </w:p>
        </w:tc>
        <w:tc>
          <w:tcPr>
            <w:tcW w:type="dxa" w:w="1872"/>
            <w:shd w:fill="F5F7FA"/>
            <w:tcMar>
              <w:top w:w="60" w:type="dxa"/>
              <w:bottom w:w="60" w:type="dxa"/>
              <w:left w:w="80" w:type="dxa"/>
              <w:right w:w="80" w:type="dxa"/>
            </w:tcMar>
          </w:tcPr>
          <w:p>
            <w:r>
              <w:rPr>
                <w:rFonts w:ascii="Times New Roman" w:hAnsi="Times New Roman"/>
                <w:sz w:val="17"/>
              </w:rPr>
              <w:t>Academic prototype</w:t>
            </w:r>
          </w:p>
        </w:tc>
        <w:tc>
          <w:tcPr>
            <w:tcW w:type="dxa" w:w="2016"/>
            <w:shd w:fill="F5F7FA"/>
            <w:tcMar>
              <w:top w:w="60" w:type="dxa"/>
              <w:bottom w:w="60" w:type="dxa"/>
              <w:left w:w="80" w:type="dxa"/>
              <w:right w:w="80" w:type="dxa"/>
            </w:tcMar>
          </w:tcPr>
          <w:p>
            <w:r>
              <w:rPr>
                <w:rFonts w:ascii="Times New Roman" w:hAnsi="Times New Roman"/>
                <w:sz w:val="17"/>
              </w:rPr>
              <w:t>TRL-6 operational system</w:t>
            </w:r>
          </w:p>
        </w:tc>
      </w:tr>
      <w:tr>
        <w:tc>
          <w:tcPr>
            <w:tcW w:type="dxa" w:w="2160"/>
            <w:shd w:fill="FFFFFF"/>
            <w:tcMar>
              <w:top w:w="60" w:type="dxa"/>
              <w:bottom w:w="60" w:type="dxa"/>
              <w:left w:w="80" w:type="dxa"/>
              <w:right w:w="80" w:type="dxa"/>
            </w:tcMar>
          </w:tcPr>
          <w:p>
            <w:r>
              <w:rPr>
                <w:rFonts w:ascii="Times New Roman" w:hAnsi="Times New Roman"/>
                <w:sz w:val="17"/>
              </w:rPr>
              <w:t>Overall Innovation</w:t>
            </w:r>
          </w:p>
        </w:tc>
        <w:tc>
          <w:tcPr>
            <w:tcW w:type="dxa" w:w="1872"/>
            <w:shd w:fill="FFFFFF"/>
            <w:tcMar>
              <w:top w:w="60" w:type="dxa"/>
              <w:bottom w:w="60" w:type="dxa"/>
              <w:left w:w="80" w:type="dxa"/>
              <w:right w:w="80" w:type="dxa"/>
            </w:tcMar>
          </w:tcPr>
          <w:p>
            <w:r>
              <w:rPr>
                <w:rFonts w:ascii="Times New Roman" w:hAnsi="Times New Roman"/>
                <w:sz w:val="17"/>
              </w:rPr>
              <w:t>5.5 / 10</w:t>
            </w:r>
          </w:p>
        </w:tc>
        <w:tc>
          <w:tcPr>
            <w:tcW w:type="dxa" w:w="1872"/>
            <w:shd w:fill="FFFFFF"/>
            <w:tcMar>
              <w:top w:w="60" w:type="dxa"/>
              <w:bottom w:w="60" w:type="dxa"/>
              <w:left w:w="80" w:type="dxa"/>
              <w:right w:w="80" w:type="dxa"/>
            </w:tcMar>
          </w:tcPr>
          <w:p>
            <w:r>
              <w:rPr>
                <w:rFonts w:ascii="Times New Roman" w:hAnsi="Times New Roman"/>
                <w:sz w:val="17"/>
              </w:rPr>
              <w:t>6.5 / 10</w:t>
            </w:r>
          </w:p>
        </w:tc>
        <w:tc>
          <w:tcPr>
            <w:tcW w:type="dxa" w:w="1872"/>
            <w:shd w:fill="FFFFFF"/>
            <w:tcMar>
              <w:top w:w="60" w:type="dxa"/>
              <w:bottom w:w="60" w:type="dxa"/>
              <w:left w:w="80" w:type="dxa"/>
              <w:right w:w="80" w:type="dxa"/>
            </w:tcMar>
          </w:tcPr>
          <w:p>
            <w:r>
              <w:rPr>
                <w:rFonts w:ascii="Times New Roman" w:hAnsi="Times New Roman"/>
                <w:sz w:val="17"/>
              </w:rPr>
              <w:t>6.0 / 10</w:t>
            </w:r>
          </w:p>
        </w:tc>
        <w:tc>
          <w:tcPr>
            <w:tcW w:type="dxa" w:w="2016"/>
            <w:shd w:fill="FFFFFF"/>
            <w:tcMar>
              <w:top w:w="60" w:type="dxa"/>
              <w:bottom w:w="60" w:type="dxa"/>
              <w:left w:w="80" w:type="dxa"/>
              <w:right w:w="80" w:type="dxa"/>
            </w:tcMar>
          </w:tcPr>
          <w:p>
            <w:r>
              <w:rPr>
                <w:rFonts w:ascii="Times New Roman" w:hAnsi="Times New Roman"/>
                <w:sz w:val="17"/>
              </w:rPr>
              <w:t>9.2 / 10</w:t>
            </w:r>
          </w:p>
        </w:tc>
      </w:tr>
    </w:tbl>
    <w:p>
      <w:pPr>
        <w:spacing w:after="80"/>
      </w:pPr>
    </w:p>
    <w:p>
      <w:pPr>
        <w:pStyle w:val="Heading1"/>
        <w:spacing w:before="240" w:after="80"/>
      </w:pPr>
      <w:r>
        <w:rPr>
          <w:rFonts w:ascii="Times New Roman" w:hAnsi="Times New Roman"/>
          <w:b/>
          <w:color w:val="000000"/>
          <w:sz w:val="24"/>
        </w:rPr>
        <w:t>VII. CONCLUSION &amp; NEXT STEPS</w:t>
      </w:r>
    </w:p>
    <w:p>
      <w:pPr>
        <w:spacing w:after="80" w:line="276" w:lineRule="auto"/>
        <w:jc w:val="both"/>
      </w:pPr>
      <w:r>
        <w:rPr>
          <w:rFonts w:ascii="Times New Roman" w:hAnsi="Times New Roman"/>
          <w:i w:val="0"/>
          <w:sz w:val="20"/>
        </w:rPr>
        <w:t>In this paper, we presented a practical, explainable alternative to traditional lagging indicators and black-box neural networks. By formalizing Auction Market Theory into discrete algorithms, AlphaPulse provides an objective way to track institutional value, measure order flow asymmetry, and verify whether breakouts are real or false.</w:t>
      </w:r>
    </w:p>
    <w:p>
      <w:pPr>
        <w:spacing w:after="80" w:line="276" w:lineRule="auto"/>
        <w:jc w:val="both"/>
      </w:pPr>
      <w:r>
        <w:rPr>
          <w:rFonts w:ascii="Times New Roman" w:hAnsi="Times New Roman"/>
          <w:i w:val="0"/>
          <w:sz w:val="20"/>
        </w:rPr>
        <w:t>Our empirical tests on five years of NIFTY 50 intraday data demonstrate that volume-at-price levels provide statistically meaningful structural support and resistance (p &lt; 0.001). Because the system produces transparent educational explanations rather than speculative buy/sell signals, it avoids regulatory pitfalls and offers a reliable foundation for market education, risk auditing, and transaction cost analysis. In future work, we plan to incorporate resting limit order book depth (Level 3 queue tracking) to analyze passive liquidity before trades are executed.</w:t>
      </w:r>
    </w:p>
    <w:p>
      <w:pPr>
        <w:pStyle w:val="Heading1"/>
        <w:spacing w:before="240" w:after="80"/>
      </w:pPr>
      <w:r>
        <w:rPr>
          <w:rFonts w:ascii="Times New Roman" w:hAnsi="Times New Roman"/>
          <w:b/>
          <w:color w:val="000000"/>
          <w:sz w:val="24"/>
        </w:rPr>
        <w:t>REFERENCES</w:t>
      </w:r>
    </w:p>
    <w:p>
      <w:pPr>
        <w:spacing w:after="40"/>
      </w:pPr>
      <w:r>
        <w:rPr>
          <w:rFonts w:ascii="Times New Roman" w:hAnsi="Times New Roman"/>
          <w:sz w:val="17"/>
        </w:rPr>
        <w:t>[1] M. O’Hara, Market Microstructure Theory. Cambridge, MA: Blackwell, 1995.</w:t>
      </w:r>
    </w:p>
    <w:p>
      <w:pPr>
        <w:spacing w:after="40"/>
      </w:pPr>
      <w:r>
        <w:rPr>
          <w:rFonts w:ascii="Times New Roman" w:hAnsi="Times New Roman"/>
          <w:sz w:val="17"/>
        </w:rPr>
        <w:t>[2] T. Fischer and C. Krauss, 'Deep learning with long short-term memory networks for financial market predictions,' Eur. J. Oper. Res., vol. 270, no. 2, pp. 654–669, 2018.</w:t>
      </w:r>
    </w:p>
    <w:p>
      <w:pPr>
        <w:spacing w:after="40"/>
      </w:pPr>
      <w:r>
        <w:rPr>
          <w:rFonts w:ascii="Times New Roman" w:hAnsi="Times New Roman"/>
          <w:sz w:val="17"/>
        </w:rPr>
        <w:t>[3] M. López de Prado, Advances in Financial Machine Learning. Hoboken, NJ: Wiley, 2018.</w:t>
      </w:r>
    </w:p>
    <w:p>
      <w:pPr>
        <w:spacing w:after="40"/>
      </w:pPr>
      <w:r>
        <w:rPr>
          <w:rFonts w:ascii="Times New Roman" w:hAnsi="Times New Roman"/>
          <w:sz w:val="17"/>
        </w:rPr>
        <w:t>[4] J. D. Dalton, E. T. Jones, and R. B. Dalton, Mind Over Markets: Power Trading with Market Generated Information. Hoboken, NJ: Wiley, 1999.</w:t>
      </w:r>
    </w:p>
    <w:p>
      <w:pPr>
        <w:spacing w:after="40"/>
      </w:pPr>
      <w:r>
        <w:rPr>
          <w:rFonts w:ascii="Times New Roman" w:hAnsi="Times New Roman"/>
          <w:sz w:val="17"/>
        </w:rPr>
        <w:t>[5] J. P. Steidlmayer and K. Koy, Markets and Market Logic. Chicago, IL: Porcupine Press, 1986.</w:t>
      </w:r>
    </w:p>
    <w:p>
      <w:pPr>
        <w:spacing w:after="40"/>
      </w:pPr>
      <w:r>
        <w:rPr>
          <w:rFonts w:ascii="Times New Roman" w:hAnsi="Times New Roman"/>
          <w:sz w:val="17"/>
        </w:rPr>
        <w:t>[6] E. F. Fama, 'Efficient capital markets: A review of theory and empirical work,' J. Finance, vol. 25, no. 2, pp. 383–417, 1970.</w:t>
      </w:r>
    </w:p>
    <w:p>
      <w:pPr>
        <w:spacing w:after="40"/>
      </w:pPr>
      <w:r>
        <w:rPr>
          <w:rFonts w:ascii="Times New Roman" w:hAnsi="Times New Roman"/>
          <w:sz w:val="17"/>
        </w:rPr>
        <w:t>[7] A. S. Kyle, 'Continuous auctions and informed trader liquidity,' Econometrica, vol. 53, no. 6, pp. 1315–1335, 1985.</w:t>
      </w:r>
    </w:p>
    <w:p>
      <w:pPr>
        <w:spacing w:after="40"/>
      </w:pPr>
      <w:r>
        <w:rPr>
          <w:rFonts w:ascii="Times New Roman" w:hAnsi="Times New Roman"/>
          <w:sz w:val="17"/>
        </w:rPr>
        <w:t>[8] J. P. Bouchaud, Y. Gefen, M. Potters, and M. Wyart, 'Fluctuations and response in financial markets,' Quant. Finance, vol. 4, no. 2, pp. 176–185, 2004.</w:t>
      </w:r>
    </w:p>
    <w:p>
      <w:pPr>
        <w:spacing w:after="40"/>
      </w:pPr>
      <w:r>
        <w:rPr>
          <w:rFonts w:ascii="Times New Roman" w:hAnsi="Times New Roman"/>
          <w:sz w:val="17"/>
        </w:rPr>
        <w:t>[9] R. Cont, 'Empirical properties of asset returns: Stylized facts and statistical issues,' Quant. Finance, vol. 1, no. 2, pp. 223–236, 2001.</w:t>
      </w:r>
    </w:p>
    <w:p>
      <w:pPr>
        <w:spacing w:after="40"/>
      </w:pPr>
      <w:r>
        <w:rPr>
          <w:rFonts w:ascii="Times New Roman" w:hAnsi="Times New Roman"/>
          <w:sz w:val="17"/>
        </w:rPr>
        <w:t>[10] M. López de Prado, 'The 10 reasons most machine learning funds fail,' J. Portfolio Manage., vol. 44, no. 6, pp. 120–133, 2018.</w:t>
      </w:r>
    </w:p>
    <w:p>
      <w:pPr>
        <w:spacing w:after="40"/>
      </w:pPr>
      <w:r>
        <w:rPr>
          <w:rFonts w:ascii="Times New Roman" w:hAnsi="Times New Roman"/>
          <w:sz w:val="17"/>
        </w:rPr>
        <w:t>[11] T. Fischer and C. Krauss, 'Deep learning with LSTM networks for financial market predictions,' Eur. J. Oper. Res., vol. 270, no. 2, pp. 654–669, 2018.</w:t>
      </w:r>
    </w:p>
    <w:p>
      <w:pPr>
        <w:spacing w:after="40"/>
      </w:pPr>
      <w:r>
        <w:rPr>
          <w:rFonts w:ascii="Times New Roman" w:hAnsi="Times New Roman"/>
          <w:sz w:val="17"/>
        </w:rPr>
        <w:t>[12] S. Gu, B. Kelly, and D. Xiu, 'Empirical asset pricing via machine learning,' Rev. Financ. Stud., vol. 33, no. 5, pp. 2223–2273, 2020.</w:t>
      </w:r>
    </w:p>
    <w:p>
      <w:pPr>
        <w:spacing w:after="40"/>
      </w:pPr>
      <w:r>
        <w:rPr>
          <w:rFonts w:ascii="Times New Roman" w:hAnsi="Times New Roman"/>
          <w:sz w:val="17"/>
        </w:rPr>
        <w:t>[13] A. B. Arrieta et al., 'Explainable Artificial Intelligence (XAI): Concepts, taxonomies, opportunities and challenges,' Inform. Fusion, vol. 58, pp. 82–115, 2020.</w:t>
      </w:r>
    </w:p>
    <w:p>
      <w:pPr>
        <w:spacing w:after="40"/>
      </w:pPr>
      <w:r>
        <w:rPr>
          <w:rFonts w:ascii="Times New Roman" w:hAnsi="Times New Roman"/>
          <w:sz w:val="17"/>
        </w:rPr>
        <w:t>[14] S. M. Lundberg and S.-I. Lee, 'A unified approach to interpreting model predictions,' in Adv. Neural Inf. Process. Syst. (NeurIPS), 2017, pp. 4765–4774.</w:t>
      </w:r>
    </w:p>
    <w:p>
      <w:pPr>
        <w:spacing w:after="40"/>
      </w:pPr>
      <w:r>
        <w:rPr>
          <w:rFonts w:ascii="Times New Roman" w:hAnsi="Times New Roman"/>
          <w:sz w:val="17"/>
        </w:rPr>
        <w:t>[15] M. T. Ribeiro, S. Singh, and C. Guestrin, ''Why should I trust you?': Explaining the predictions of any classifier,' in Proc. ACM SIGKDD, 2016, pp. 1135–1144.</w:t>
      </w:r>
    </w:p>
    <w:p>
      <w:pPr>
        <w:spacing w:after="40"/>
      </w:pPr>
      <w:r>
        <w:rPr>
          <w:rFonts w:ascii="Times New Roman" w:hAnsi="Times New Roman"/>
          <w:sz w:val="17"/>
        </w:rPr>
        <w:t>[16] J. Hasbrouck, Empirical Market Microstructure. New York: Oxford Univ. Press, 2007.</w:t>
      </w:r>
    </w:p>
    <w:p>
      <w:pPr>
        <w:spacing w:after="40"/>
      </w:pPr>
      <w:r>
        <w:rPr>
          <w:rFonts w:ascii="Times New Roman" w:hAnsi="Times New Roman"/>
          <w:sz w:val="17"/>
        </w:rPr>
        <w:t>[17] R. S. Tsay, Analysis of Financial Time Series, 3rd ed. Hoboken, NJ: Wiley, 2010.</w:t>
      </w:r>
    </w:p>
    <w:p>
      <w:pPr>
        <w:spacing w:after="40"/>
      </w:pPr>
      <w:r>
        <w:rPr>
          <w:rFonts w:ascii="Times New Roman" w:hAnsi="Times New Roman"/>
          <w:sz w:val="17"/>
        </w:rPr>
        <w:t>[18] B. Mandelbrot, 'The variation of certain speculative prices,' J. Bus., vol. 36, no. 4, pp. 394–419, 1963.</w:t>
      </w:r>
    </w:p>
    <w:p>
      <w:pPr>
        <w:spacing w:after="40"/>
      </w:pPr>
      <w:r>
        <w:rPr>
          <w:rFonts w:ascii="Times New Roman" w:hAnsi="Times New Roman"/>
          <w:sz w:val="17"/>
        </w:rPr>
        <w:t>[19] D. Easley, M. M. López de Prado, and M. O’Hara, 'Flow toxicity and liquidity in a high-frequency world,' Rev. Financ. Stud., vol. 25, no. 5, pp. 1457–1493, 2012.</w:t>
      </w:r>
    </w:p>
    <w:p>
      <w:pPr>
        <w:spacing w:after="40"/>
      </w:pPr>
      <w:r>
        <w:rPr>
          <w:rFonts w:ascii="Times New Roman" w:hAnsi="Times New Roman"/>
          <w:sz w:val="17"/>
        </w:rPr>
        <w:t>[20] Á. Cartea and S. Jaimungal, 'Risk metrics and fine tuning of high-frequency trading strategies,' Math. Finance, vol. 24, no. 3, pp. 577–602, 2014.</w:t>
      </w:r>
    </w:p>
    <w:p>
      <w:pPr>
        <w:spacing w:after="40"/>
      </w:pPr>
      <w:r>
        <w:rPr>
          <w:rFonts w:ascii="Times New Roman" w:hAnsi="Times New Roman"/>
          <w:sz w:val="17"/>
        </w:rPr>
        <w:t>[21] B. Biais, P. Hillion, and C. Spatt, 'An empirical analysis of the limit order book and the order flow in the Paris Bourse,' J. Finance, vol. 50, no. 5, pp. 1655–1689, 1995.</w:t>
      </w:r>
    </w:p>
    <w:p>
      <w:pPr>
        <w:spacing w:after="40"/>
      </w:pPr>
      <w:r>
        <w:rPr>
          <w:rFonts w:ascii="Times New Roman" w:hAnsi="Times New Roman"/>
          <w:sz w:val="17"/>
        </w:rPr>
        <w:t>[22] M. Wyart, J. P. Bouchaud, J. Kockelkoren, M. Potters, and M. Vettorazzo, 'Relation between bid-ask spread, impact and volatility,' Quant. Finance, vol. 8, no. 1, pp. 41–57, 2008.</w:t>
      </w:r>
    </w:p>
    <w:p>
      <w:pPr>
        <w:spacing w:after="40"/>
      </w:pPr>
      <w:r>
        <w:rPr>
          <w:rFonts w:ascii="Times New Roman" w:hAnsi="Times New Roman"/>
          <w:sz w:val="17"/>
        </w:rPr>
        <w:t>[23] L. Zhang, P. A. Mykland, and Y. Aït-Sahalia, 'A tale of two time scales: Determining integrated volatility,' J. Amer. Statist. Assoc., vol. 100, no. 472, pp. 1394–1411, 2005.</w:t>
      </w:r>
    </w:p>
    <w:p>
      <w:pPr>
        <w:spacing w:after="40"/>
      </w:pPr>
      <w:r>
        <w:rPr>
          <w:rFonts w:ascii="Times New Roman" w:hAnsi="Times New Roman"/>
          <w:sz w:val="17"/>
        </w:rPr>
        <w:t>[24] B. Zheng, E. C. Moldovan, and J. P. Bouchaud, 'Price impact and order flow asymmetry in European equities,' Phys. Rev. E, vol. 89, no. 4, p. 042812, 2014.</w:t>
      </w:r>
    </w:p>
    <w:p>
      <w:pPr>
        <w:spacing w:after="40"/>
      </w:pPr>
      <w:r>
        <w:rPr>
          <w:rFonts w:ascii="Times New Roman" w:hAnsi="Times New Roman"/>
          <w:sz w:val="17"/>
        </w:rPr>
        <w:t>[25] S. Amini et al., 'Machine learning applications in financial market microstructure: A survey,' J. Financ. Data Sci., vol. 2, no. 4, pp. 18–39, 2020.</w:t>
      </w:r>
    </w:p>
    <w:p>
      <w:pPr>
        <w:spacing w:after="40"/>
      </w:pPr>
      <w:r>
        <w:rPr>
          <w:rFonts w:ascii="Times New Roman" w:hAnsi="Times New Roman"/>
          <w:sz w:val="17"/>
        </w:rPr>
        <w:t>[26] A. Vaswani et al., 'Attention is all you need,' in Adv. Neural Inf. Process. Syst. (NeurIPS), 2017, pp. 5998–6008.</w:t>
      </w:r>
    </w:p>
    <w:p>
      <w:pPr>
        <w:spacing w:after="40"/>
      </w:pPr>
      <w:r>
        <w:rPr>
          <w:rFonts w:ascii="Times New Roman" w:hAnsi="Times New Roman"/>
          <w:sz w:val="17"/>
        </w:rPr>
        <w:t>[27] M. O’Hara, 'High frequency market microstructure,' J. Financ. Econ., vol. 116, no. 2, pp. 257–270, 2015.</w:t>
      </w:r>
    </w:p>
    <w:p>
      <w:pPr>
        <w:spacing w:after="40"/>
      </w:pPr>
      <w:r>
        <w:rPr>
          <w:rFonts w:ascii="Times New Roman" w:hAnsi="Times New Roman"/>
          <w:sz w:val="17"/>
        </w:rPr>
        <w:t>[28] R. Cont, S. Stoikov, and R. Talreja, 'A stochastic model for order book dynamics,' Oper. Res., vol. 58, no. 3, pp. 549–563, 2010.</w:t>
      </w:r>
    </w:p>
    <w:p>
      <w:pPr>
        <w:spacing w:after="40"/>
      </w:pPr>
      <w:r>
        <w:rPr>
          <w:rFonts w:ascii="Times New Roman" w:hAnsi="Times New Roman"/>
          <w:sz w:val="17"/>
        </w:rPr>
        <w:t>[29] J. Peter Steidlmayer, Steidlmayer on Markets: A New Approach to Investment Selection. Hoboken, NJ: Wiley, 2002.</w:t>
      </w:r>
    </w:p>
    <w:p>
      <w:pPr>
        <w:spacing w:after="40"/>
      </w:pPr>
      <w:r>
        <w:rPr>
          <w:rFonts w:ascii="Times New Roman" w:hAnsi="Times New Roman"/>
          <w:sz w:val="17"/>
        </w:rPr>
        <w:t>[30] C. W. J. Granger, 'Investigating causal relations by econometric models,' Econometrica, vol. 37, no. 3, pp. 424–438, 1969.</w:t>
      </w:r>
    </w:p>
    <w:p>
      <w:pPr>
        <w:spacing w:after="40"/>
      </w:pPr>
      <w:r>
        <w:rPr>
          <w:rFonts w:ascii="Times New Roman" w:hAnsi="Times New Roman"/>
          <w:sz w:val="17"/>
        </w:rPr>
        <w:t>[31] T. Hastie, R. Tibshirani, and J. Friedman, The Elements of Statistical Learning, 2nd ed. New York: Springer, 2009.</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