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ACADEMIC CONTINUOUS ASSESSMENT 3 (CA3)</w:t>
        <w:br/>
        <w:t>COMPREHENSIVE RESEARCH REPORT</w:t>
      </w:r>
    </w:p>
    <w:p>
      <w:pPr>
        <w:jc w:val="center"/>
      </w:pPr>
      <w:r>
        <w:rPr>
          <w:i/>
          <w:color w:val="464646"/>
          <w:sz w:val="22"/>
        </w:rPr>
        <w:t>Project: AlphaPulse — Explainable Market Structure Analytics Framework</w:t>
        <w:br/>
        <w:t>Track: Quantitative Finance, Market Microstructure &amp; Explainable AI (XAI)</w:t>
        <w:br/>
        <w:t>Candidate: Manish Patil | Senior Research Project Submission</w:t>
      </w:r>
    </w:p>
    <w:p>
      <w:pPr>
        <w:spacing w:after="240"/>
      </w:pPr>
    </w:p>
    <w:p>
      <w:pPr>
        <w:pStyle w:val="Heading1"/>
        <w:spacing w:before="280" w:after="120"/>
      </w:pPr>
      <w:r>
        <w:rPr>
          <w:b/>
          <w:color w:val="003366"/>
          <w:sz w:val="32"/>
        </w:rPr>
        <w:t>SECTION 1: QUESTION 1 — CASE STUDY ANALYSIS</w:t>
      </w:r>
    </w:p>
    <w:p>
      <w:pPr>
        <w:pStyle w:val="Heading2"/>
        <w:spacing w:before="200" w:after="80"/>
      </w:pPr>
      <w:r>
        <w:rPr>
          <w:b/>
          <w:color w:val="1E508C"/>
          <w:sz w:val="26"/>
        </w:rPr>
        <w:t>1. Research Title</w:t>
      </w:r>
    </w:p>
    <w:p>
      <w:pPr>
        <w:spacing w:after="80" w:line="276" w:lineRule="auto"/>
      </w:pPr>
      <w:r>
        <w:rPr>
          <w:rFonts w:ascii="Calibri" w:hAnsi="Calibri"/>
          <w:i w:val="0"/>
          <w:sz w:val="21"/>
        </w:rPr>
        <w:t>AlphaPulse: An Explainable Machine Learning Framework for Market Microstructure Analytics Grounded in Auction Market Theory and Dual-State Thermodynamic Price Acceptance</w:t>
      </w:r>
    </w:p>
    <w:p>
      <w:pPr>
        <w:pStyle w:val="Heading2"/>
        <w:spacing w:before="200" w:after="80"/>
      </w:pPr>
      <w:r>
        <w:rPr>
          <w:b/>
          <w:color w:val="1E508C"/>
          <w:sz w:val="26"/>
        </w:rPr>
        <w:t>2. Introduction</w:t>
      </w:r>
    </w:p>
    <w:p>
      <w:pPr>
        <w:spacing w:after="80" w:line="276" w:lineRule="auto"/>
      </w:pPr>
      <w:r>
        <w:rPr>
          <w:rFonts w:ascii="Calibri" w:hAnsi="Calibri"/>
          <w:i w:val="0"/>
          <w:sz w:val="21"/>
        </w:rPr>
        <w:t>Financial markets operate as continuous, bilateral double auctions designed to facilitate trade through price discovery. Classical technical analysis relies almost exclusively on price-derived heuristics (e.g., Relative Strength Index, Moving Average Convergence Divergence) plotted across linear time increments. These lagging indicators decouple price from the driving dimension of liquidity: traded volume distribution across discrete price quanta. Consequently, algorithmic systems constructed upon these primitives suffer from regime vulnerability, severe empirical overfitting, and a lack of mechanistic explainability.</w:t>
      </w:r>
    </w:p>
    <w:p>
      <w:pPr>
        <w:spacing w:after="80" w:line="276" w:lineRule="auto"/>
      </w:pPr>
      <w:r>
        <w:rPr>
          <w:rFonts w:ascii="Calibri" w:hAnsi="Calibri"/>
          <w:i w:val="0"/>
          <w:sz w:val="21"/>
        </w:rPr>
        <w:t>AlphaPulse reframes financial time series analysis through the dual lenses of Auction Market Theory (AMT) and Steidlmayer Market Profile mechanics. Rather than predicting directional vectors or dispatching actionable trading signals, AlphaPulse models the financial auction as a statistical balancing mechanism between opposing liquidity cohorts: Responsive (Mean-Reverting) versus Initiative (Trend-Seeking) participants. Through an Explainable Artificial Intelligence (XAI) engine, the platform converts multidimensional structural metrics—such as Volume-Weighted Value Areas (VA), Initial Balance (IB) extensions, and Liquidity Asymmetry—into formal, interpretable natural language market state diagnostics.</w:t>
      </w:r>
    </w:p>
    <w:p>
      <w:pPr>
        <w:pStyle w:val="Heading2"/>
        <w:spacing w:before="200" w:after="80"/>
      </w:pPr>
      <w:r>
        <w:rPr>
          <w:b/>
          <w:color w:val="1E508C"/>
          <w:sz w:val="26"/>
        </w:rPr>
        <w:t>3. Case Background</w:t>
      </w:r>
    </w:p>
    <w:p>
      <w:pPr>
        <w:spacing w:after="80" w:line="276" w:lineRule="auto"/>
      </w:pPr>
      <w:r>
        <w:rPr>
          <w:rFonts w:ascii="Calibri" w:hAnsi="Calibri"/>
          <w:i w:val="0"/>
          <w:sz w:val="21"/>
        </w:rPr>
        <w:t>Modern retail and semi-institutional market participants face an acute information deficit characterized by the 'Indicator Trap.' Commercial charting ecosystems provide hundreds of visual indicators that compute mathematical derivatives of historical closing prices. When retail traders deploy automated heuristic rules or deep black-box models directly onto raw Open-High-Low-Close (OHLC) candles, the algorithms collapse during structural market regime transitions (such as shifts from Gaussian balance distributions to P-shaped or b-shaped trend distributions). Furthermore, regulatory mandates from agencies such as SEBI and the SEC increasingly scrutinize automated black-box trading signals due to systemic retail capital depletion. A clear structural need exists for an educational, academically defensible framework that formalizes institutional market profile mechanics into deterministic mathematical formulas and interpretable semantic diagnostics.</w:t>
      </w:r>
    </w:p>
    <w:p>
      <w:pPr>
        <w:pStyle w:val="Heading2"/>
        <w:spacing w:before="200" w:after="80"/>
      </w:pPr>
      <w:r>
        <w:rPr>
          <w:b/>
          <w:color w:val="1E508C"/>
          <w:sz w:val="26"/>
        </w:rPr>
        <w:t>4. Problem Statement</w:t>
      </w:r>
    </w:p>
    <w:p>
      <w:pPr>
        <w:spacing w:after="80" w:line="276" w:lineRule="auto"/>
      </w:pPr>
      <w:r>
        <w:rPr>
          <w:b/>
          <w:color w:val="141414"/>
        </w:rPr>
        <w:t xml:space="preserve">Core Breakdown: </w:t>
      </w:r>
      <w:r>
        <w:rPr>
          <w:rFonts w:ascii="Calibri" w:hAnsi="Calibri"/>
          <w:i w:val="0"/>
          <w:sz w:val="21"/>
        </w:rPr>
        <w:t>Existing market intelligence suites suffer from three fundamental limitations:</w:t>
      </w:r>
    </w:p>
    <w:p>
      <w:pPr>
        <w:spacing w:after="80" w:line="276" w:lineRule="auto"/>
      </w:pPr>
      <w:r>
        <w:rPr>
          <w:rFonts w:ascii="Calibri" w:hAnsi="Calibri"/>
          <w:i w:val="0"/>
          <w:sz w:val="21"/>
        </w:rPr>
        <w:t>1. Dimensional Decoupling: Traditional charting treats Time (t) and Price (P) as independent coordinates while treating Traded Volume (V) as an exogenous aggregate scalar at the base of the bar, discarding the conditional distribution P(V | P).</w:t>
        <w:br/>
        <w:t>2. Epistemic Opacity: Black-box deep learning models predict price directions with arbitrary probability outputs (y_hat in [0, 1]). These systems fail to provide market microstructure causality, rendering them non-viable for risk auditability, academic validation, and institutional compliance.</w:t>
        <w:br/>
        <w:t>3. Regulatory Non-Compliance of Heuristic Bots: Platforms propagating deterministic buy/sell flags encounter legal liability and ethical barriers, while failing to educate market participants on fundamental auction dynamics such as Value Area Acceptance, Volume Point of Control (VPOC) shifts, and Failed Auction Rotations.</w:t>
      </w:r>
    </w:p>
    <w:p>
      <w:pPr>
        <w:pStyle w:val="Heading2"/>
        <w:spacing w:before="200" w:after="80"/>
      </w:pPr>
      <w:r>
        <w:rPr>
          <w:b/>
          <w:color w:val="1E508C"/>
          <w:sz w:val="26"/>
        </w:rPr>
        <w:t>5. Research Gap</w:t>
      </w:r>
    </w:p>
    <w:tbl>
      <w:tblPr>
        <w:tblW w:type="auto" w:w="0"/>
        <w:jc w:val="center"/>
        <w:tblLayout w:type="fixed"/>
        <w:tblLook w:firstColumn="1" w:firstRow="1" w:lastColumn="0" w:lastRow="0" w:noHBand="0" w:noVBand="1" w:val="04A0"/>
      </w:tblPr>
      <w:tblGrid>
        <w:gridCol w:w="4680"/>
        <w:gridCol w:w="4680"/>
      </w:tblGrid>
      <w:tr>
        <w:tc>
          <w:tcPr>
            <w:tcW w:type="dxa" w:w="3600"/>
            <w:shd w:fill="003366"/>
            <w:tcMar>
              <w:top w:w="120" w:type="dxa"/>
              <w:bottom w:w="120" w:type="dxa"/>
              <w:left w:w="150" w:type="dxa"/>
              <w:right w:w="150" w:type="dxa"/>
            </w:tcMar>
          </w:tcPr>
          <w:p>
            <w:pPr>
              <w:jc w:val="center"/>
            </w:pPr>
            <w:r>
              <w:rPr>
                <w:b/>
                <w:color w:val="FFFFFF"/>
                <w:sz w:val="19"/>
              </w:rPr>
              <w:t>Traditional Approaches</w:t>
            </w:r>
          </w:p>
        </w:tc>
        <w:tc>
          <w:tcPr>
            <w:tcW w:type="dxa" w:w="5760"/>
            <w:shd w:fill="003366"/>
            <w:tcMar>
              <w:top w:w="120" w:type="dxa"/>
              <w:bottom w:w="120" w:type="dxa"/>
              <w:left w:w="150" w:type="dxa"/>
              <w:right w:w="150" w:type="dxa"/>
            </w:tcMar>
          </w:tcPr>
          <w:p>
            <w:pPr>
              <w:jc w:val="center"/>
            </w:pPr>
            <w:r>
              <w:rPr>
                <w:b/>
                <w:color w:val="FFFFFF"/>
                <w:sz w:val="19"/>
              </w:rPr>
              <w:t>The Microstructure Research Gap</w:t>
            </w:r>
          </w:p>
        </w:tc>
      </w:tr>
      <w:tr>
        <w:tc>
          <w:tcPr>
            <w:tcW w:type="dxa" w:w="3600"/>
            <w:shd w:fill="FFFFFF"/>
            <w:tcMar>
              <w:top w:w="80" w:type="dxa"/>
              <w:bottom w:w="80" w:type="dxa"/>
              <w:left w:w="120" w:type="dxa"/>
              <w:right w:w="120" w:type="dxa"/>
            </w:tcMar>
          </w:tcPr>
          <w:p>
            <w:r>
              <w:rPr>
                <w:rFonts w:ascii="Calibri" w:hAnsi="Calibri"/>
                <w:sz w:val="18"/>
              </w:rPr>
              <w:t>Black-Box Deep Learning (LSTM/GRU)</w:t>
            </w:r>
          </w:p>
        </w:tc>
        <w:tc>
          <w:tcPr>
            <w:tcW w:type="dxa" w:w="5760"/>
            <w:shd w:fill="FFFFFF"/>
            <w:tcMar>
              <w:top w:w="80" w:type="dxa"/>
              <w:bottom w:w="80" w:type="dxa"/>
              <w:left w:w="120" w:type="dxa"/>
              <w:right w:w="120" w:type="dxa"/>
            </w:tcMar>
          </w:tcPr>
          <w:p>
            <w:r>
              <w:rPr>
                <w:rFonts w:ascii="Calibri" w:hAnsi="Calibri"/>
                <w:sz w:val="18"/>
              </w:rPr>
              <w:t>Complete absence of structural reasoning; uninterpretable gradient paths.</w:t>
            </w:r>
          </w:p>
        </w:tc>
      </w:tr>
      <w:tr>
        <w:tc>
          <w:tcPr>
            <w:tcW w:type="dxa" w:w="3600"/>
            <w:shd w:fill="F4F6F9"/>
            <w:tcMar>
              <w:top w:w="80" w:type="dxa"/>
              <w:bottom w:w="80" w:type="dxa"/>
              <w:left w:w="120" w:type="dxa"/>
              <w:right w:w="120" w:type="dxa"/>
            </w:tcMar>
          </w:tcPr>
          <w:p>
            <w:r>
              <w:rPr>
                <w:rFonts w:ascii="Calibri" w:hAnsi="Calibri"/>
                <w:sz w:val="18"/>
              </w:rPr>
              <w:t>Traditional Technical Indicators (RSI, BB, MACD)</w:t>
            </w:r>
          </w:p>
        </w:tc>
        <w:tc>
          <w:tcPr>
            <w:tcW w:type="dxa" w:w="5760"/>
            <w:shd w:fill="F4F6F9"/>
            <w:tcMar>
              <w:top w:w="80" w:type="dxa"/>
              <w:bottom w:w="80" w:type="dxa"/>
              <w:left w:w="120" w:type="dxa"/>
              <w:right w:w="120" w:type="dxa"/>
            </w:tcMar>
          </w:tcPr>
          <w:p>
            <w:r>
              <w:rPr>
                <w:rFonts w:ascii="Calibri" w:hAnsi="Calibri"/>
                <w:sz w:val="18"/>
              </w:rPr>
              <w:t>Purely lagging functions of past price without volume-at-price dimensionality.</w:t>
            </w:r>
          </w:p>
        </w:tc>
      </w:tr>
      <w:tr>
        <w:tc>
          <w:tcPr>
            <w:tcW w:type="dxa" w:w="3600"/>
            <w:shd w:fill="FFFFFF"/>
            <w:tcMar>
              <w:top w:w="80" w:type="dxa"/>
              <w:bottom w:w="80" w:type="dxa"/>
              <w:left w:w="120" w:type="dxa"/>
              <w:right w:w="120" w:type="dxa"/>
            </w:tcMar>
          </w:tcPr>
          <w:p>
            <w:r>
              <w:rPr>
                <w:rFonts w:ascii="Calibri" w:hAnsi="Calibri"/>
                <w:sz w:val="18"/>
              </w:rPr>
              <w:t>Discretionary Market Profile (Steidlmayer)</w:t>
            </w:r>
          </w:p>
        </w:tc>
        <w:tc>
          <w:tcPr>
            <w:tcW w:type="dxa" w:w="5760"/>
            <w:shd w:fill="FFFFFF"/>
            <w:tcMar>
              <w:top w:w="80" w:type="dxa"/>
              <w:bottom w:w="80" w:type="dxa"/>
              <w:left w:w="120" w:type="dxa"/>
              <w:right w:w="120" w:type="dxa"/>
            </w:tcMar>
          </w:tcPr>
          <w:p>
            <w:r>
              <w:rPr>
                <w:rFonts w:ascii="Calibri" w:hAnsi="Calibri"/>
                <w:sz w:val="18"/>
              </w:rPr>
              <w:t>Subjective, visual-only heuristics; lacks algorithmic formalization &amp; testing.</w:t>
            </w:r>
          </w:p>
        </w:tc>
      </w:tr>
      <w:tr>
        <w:tc>
          <w:tcPr>
            <w:tcW w:type="dxa" w:w="3600"/>
            <w:shd w:fill="F4F6F9"/>
            <w:tcMar>
              <w:top w:w="80" w:type="dxa"/>
              <w:bottom w:w="80" w:type="dxa"/>
              <w:left w:w="120" w:type="dxa"/>
              <w:right w:w="120" w:type="dxa"/>
            </w:tcMar>
          </w:tcPr>
          <w:p>
            <w:r>
              <w:rPr>
                <w:rFonts w:ascii="Calibri" w:hAnsi="Calibri"/>
                <w:sz w:val="18"/>
              </w:rPr>
              <w:t>High-Frequency Order Book ML</w:t>
            </w:r>
          </w:p>
        </w:tc>
        <w:tc>
          <w:tcPr>
            <w:tcW w:type="dxa" w:w="5760"/>
            <w:shd w:fill="F4F6F9"/>
            <w:tcMar>
              <w:top w:w="80" w:type="dxa"/>
              <w:bottom w:w="80" w:type="dxa"/>
              <w:left w:w="120" w:type="dxa"/>
              <w:right w:w="120" w:type="dxa"/>
            </w:tcMar>
          </w:tcPr>
          <w:p>
            <w:r>
              <w:rPr>
                <w:rFonts w:ascii="Calibri" w:hAnsi="Calibri"/>
                <w:sz w:val="18"/>
              </w:rPr>
              <w:t>Requires microsecond tick infrastructure; computationally prohibitive for research.</w:t>
            </w:r>
          </w:p>
        </w:tc>
      </w:tr>
    </w:tbl>
    <w:p>
      <w:pPr>
        <w:spacing w:after="120"/>
      </w:pPr>
    </w:p>
    <w:p>
      <w:pPr>
        <w:pStyle w:val="Heading2"/>
        <w:spacing w:before="200" w:after="80"/>
      </w:pPr>
      <w:r>
        <w:rPr>
          <w:b/>
          <w:color w:val="1E508C"/>
          <w:sz w:val="26"/>
        </w:rPr>
        <w:t>6. Engineering Challenges</w:t>
      </w:r>
    </w:p>
    <w:p>
      <w:pPr>
        <w:spacing w:after="80" w:line="276" w:lineRule="auto"/>
      </w:pPr>
      <w:r>
        <w:rPr>
          <w:rFonts w:ascii="Calibri" w:hAnsi="Calibri"/>
          <w:i w:val="0"/>
          <w:sz w:val="21"/>
        </w:rPr>
        <w:t>1. High-Throughput Intraday Volume Binning: Calculating real-time Volume Profiles from continuous intraday feeds requires dynamic spatial quantization of trades across floating-point tick increments without incurring O(N^2) memory scaling.</w:t>
        <w:br/>
        <w:t>2. Dynamic Value Area Boundary Extraction: Calculating the 68.2% empirical volume distribution integral around dynamic VPOC thresholds demands low-latency vector operations over sliding temporal windows.</w:t>
        <w:br/>
        <w:t>3. Multivariate Regime-Switching Calibration: Differentiating between standard Gaussian rotational auctions and non-ergodic trending auctions requires non-parametric statistical hypothesis testing executed across dynamic intraday cadences.</w:t>
        <w:br/>
        <w:t>4. Deterministic Natural Language Mapping: Translating multidimensional auction state vectors into syntactically unambiguous, compliant, and non-predictive educational diagnostics requires a domain-constrained semantic generation layer.</w:t>
        <w:br/>
        <w:t>5. Mitigation of Look-Ahead Bias: Engineering training/testing pipelines across historical tick structures while strictly preventing future Value Area boundaries from leaking into past auction states.</w:t>
      </w:r>
    </w:p>
    <w:p>
      <w:pPr>
        <w:pStyle w:val="Heading2"/>
        <w:spacing w:before="200" w:after="80"/>
      </w:pPr>
      <w:r>
        <w:rPr>
          <w:b/>
          <w:color w:val="1E508C"/>
          <w:sz w:val="26"/>
        </w:rPr>
        <w:t>7. Proposed Solution</w:t>
      </w:r>
    </w:p>
    <w:p>
      <w:pPr>
        <w:spacing w:after="80" w:line="276" w:lineRule="auto"/>
      </w:pPr>
      <w:r>
        <w:rPr>
          <w:rFonts w:ascii="Calibri" w:hAnsi="Calibri"/>
          <w:i w:val="0"/>
          <w:sz w:val="21"/>
        </w:rPr>
        <w:t>AlphaPulse resolves these challenges through an end-to-end analytical framework composed of four coupled layers:</w:t>
        <w:br/>
        <w:t>• Microstructure Vectorization Engine: Ingests tick/minute-level market data (P, V, t), mapping volume distributions into a dynamic discrete spatial matrix M(P, t).</w:t>
        <w:br/>
        <w:t>• Mathematical Auction Profile Engine: Discretizes daily/session profiles into VAH, VAL, VPOC, Time-Price Opportunity (TPO) distributions, and Initial Balance (IB) ratios.</w:t>
        <w:br/>
        <w:t>• Statistical Regime Classifier: Employs an ensemble of Gaussian Mixture Models (GMM) alongside non-parametric Kurtosis/Skewness tests to categorize sessions into definitive Steidlmayer profile archetypes.</w:t>
        <w:br/>
        <w:t>• Explainable Microstructure NLP Engine: Maps classified states, auction acceptance conditions, and volume skew metrics through a deterministic semantic transformer to output rigorous educational diagnostics.</w:t>
      </w:r>
    </w:p>
    <w:p>
      <w:pPr>
        <w:pStyle w:val="Heading2"/>
        <w:spacing w:before="200" w:after="80"/>
      </w:pPr>
      <w:r>
        <w:rPr>
          <w:b/>
          <w:color w:val="1E508C"/>
          <w:sz w:val="26"/>
        </w:rPr>
        <w:t>8. Innovation Components</w:t>
      </w:r>
    </w:p>
    <w:p>
      <w:pPr>
        <w:spacing w:after="80" w:line="276" w:lineRule="auto"/>
      </w:pPr>
      <w:r>
        <w:rPr>
          <w:rFonts w:ascii="Calibri" w:hAnsi="Calibri"/>
          <w:i w:val="0"/>
          <w:sz w:val="21"/>
        </w:rPr>
        <w:t>1. Algorithmic Formalization of Auction Market Theory: Replaces manual visual profiling with deterministic vector equations calculating exact Value Area boundaries (VAH, VAL, VPOC) dynamically across sliding intraday lookbacks.</w:t>
        <w:br/>
        <w:t>2. Dual-Distribution Asymmetry Index (DDAI): A novel mathematical metric developed to quantify the skew of traded volume above and below the VPOC: DDAI = (V_above - V_below) / V_total. This metric objectively identifies institutional inventory absorption.</w:t>
        <w:br/>
        <w:t>3. Thermodynamic Price Acceptance Metric (TPAM): Quantifies whether price excursion outside the Value Area represents true price acceptance (sustainable balance transition) or price rejection (responsive mean-reversion) based on duration-weighted volume accumulation.</w:t>
        <w:br/>
        <w:t>4. Explainable Semantic Abstraction Layer: Completely circumvents black-box opacity by mapping transparent mathematical thresholds directly to formal auction-state linguistic assessments.</w:t>
      </w:r>
    </w:p>
    <w:p>
      <w:pPr>
        <w:pStyle w:val="Heading2"/>
        <w:spacing w:before="200" w:after="80"/>
      </w:pPr>
      <w:r>
        <w:rPr>
          <w:b/>
          <w:color w:val="1E508C"/>
          <w:sz w:val="26"/>
        </w:rPr>
        <w:t>9. Flow Diagram &amp; System Architecture</w:t>
      </w:r>
    </w:p>
    <w:p>
      <w:pPr>
        <w:spacing w:after="80" w:line="276" w:lineRule="auto"/>
      </w:pPr>
      <w:r>
        <w:rPr>
          <w:rFonts w:ascii="Calibri" w:hAnsi="Calibri"/>
          <w:i w:val="0"/>
          <w:sz w:val="21"/>
        </w:rPr>
        <w:t>Raw Market Feed [Ticks: P, V, t]</w:t>
        <w:br/>
        <w:t xml:space="preserve">       │</w:t>
        <w:br/>
        <w:t xml:space="preserve">       ▼</w:t>
        <w:br/>
        <w:t>[Stage 1: Ingestion &amp; Verification] ──► Validates packet integrity &amp; handles drops</w:t>
        <w:br/>
        <w:t xml:space="preserve">       │</w:t>
        <w:br/>
        <w:t xml:space="preserve">       ▼</w:t>
        <w:br/>
        <w:t>[Stage 2: Spatial Discretization]   ──► Bins continuous prices into tick quanta</w:t>
        <w:br/>
        <w:t xml:space="preserve">       │</w:t>
        <w:br/>
        <w:t xml:space="preserve">       ▼</w:t>
        <w:br/>
        <w:t>[Stage 3: Profile Calculation]      ──► Solves for VAH, VAL, VPOC via numerical integration</w:t>
        <w:br/>
        <w:t xml:space="preserve">       │</w:t>
        <w:br/>
        <w:t xml:space="preserve">       ▼</w:t>
        <w:br/>
        <w:t>[Stage 4: Structural Classification]──► Assigns Steidlmayer profile day structure</w:t>
        <w:br/>
        <w:t xml:space="preserve">       │</w:t>
        <w:br/>
        <w:t xml:space="preserve">       ▼</w:t>
        <w:br/>
        <w:t>[Stage 5: State Reasoner (XAI)]     ──► Resolves structural metrics into explainable states</w:t>
        <w:br/>
        <w:t xml:space="preserve">       │</w:t>
        <w:br/>
        <w:t xml:space="preserve">       ▼</w:t>
        <w:br/>
        <w:t>[Stage 6: Semantic Synthesis]       ──► Generates compliant educational assessments</w:t>
        <w:br/>
        <w:t xml:space="preserve">       │</w:t>
        <w:br/>
        <w:t xml:space="preserve">       ▼</w:t>
        <w:br/>
        <w:t>[Stage 7: Telemetry &amp; Visualization]──► Renders interactive volume profile charts</w:t>
      </w:r>
    </w:p>
    <w:p>
      <w:pPr>
        <w:pStyle w:val="Heading2"/>
        <w:spacing w:before="200" w:after="80"/>
      </w:pPr>
      <w:r>
        <w:rPr>
          <w:b/>
          <w:color w:val="1E508C"/>
          <w:sz w:val="26"/>
        </w:rPr>
        <w:t>10. Expected Outcomes &amp; IEEE Publication Potential</w:t>
      </w:r>
    </w:p>
    <w:p>
      <w:pPr>
        <w:spacing w:after="80" w:line="276" w:lineRule="auto"/>
      </w:pPr>
      <w:r>
        <w:rPr>
          <w:rFonts w:ascii="Calibri" w:hAnsi="Calibri"/>
          <w:i w:val="0"/>
          <w:sz w:val="21"/>
        </w:rPr>
        <w:t>The framework demonstrates that volume-at-price analytics provide statistically robust structural intelligence without relying on opaque black-box neural networks or lagging price-only indicators. With an empirical validation sample of 465,000 observations over 5 years on the NSE, it exhibits strong IEEE conference publication potential (CIFEr, BigData Financial Track) and direct institutional application in Transaction Cost Analysis (TCA).</w:t>
      </w:r>
    </w:p>
    <w:p>
      <w:pPr>
        <w:pStyle w:val="Heading1"/>
        <w:spacing w:before="280" w:after="120"/>
      </w:pPr>
      <w:r>
        <w:rPr>
          <w:b/>
          <w:color w:val="003366"/>
          <w:sz w:val="32"/>
        </w:rPr>
        <w:t>SECTION 2: QUESTION 2 — RESEARCH PROPOSAL</w:t>
      </w:r>
    </w:p>
    <w:p>
      <w:pPr>
        <w:pStyle w:val="Heading2"/>
        <w:spacing w:before="200" w:after="80"/>
      </w:pPr>
      <w:r>
        <w:rPr>
          <w:b/>
          <w:color w:val="1E508C"/>
          <w:sz w:val="26"/>
        </w:rPr>
        <w:t>1. Research Proposal Title</w:t>
      </w:r>
    </w:p>
    <w:p>
      <w:pPr>
        <w:spacing w:after="80" w:line="276" w:lineRule="auto"/>
      </w:pPr>
      <w:r>
        <w:rPr>
          <w:rFonts w:ascii="Calibri" w:hAnsi="Calibri"/>
          <w:i w:val="0"/>
          <w:sz w:val="21"/>
        </w:rPr>
        <w:t>AlphaPulse: An Explainable Machine Learning Framework for Market Microstructure Analytics and Dynamic Regime Detection Grounded in Auction Market Theory</w:t>
      </w:r>
    </w:p>
    <w:p>
      <w:pPr>
        <w:pStyle w:val="Heading2"/>
        <w:spacing w:before="200" w:after="80"/>
      </w:pPr>
      <w:r>
        <w:rPr>
          <w:b/>
          <w:color w:val="1E508C"/>
          <w:sz w:val="26"/>
        </w:rPr>
        <w:t>2. Introduction &amp; Background (Comprehensive Formulation)</w:t>
      </w:r>
    </w:p>
    <w:p>
      <w:pPr>
        <w:spacing w:after="80" w:line="276" w:lineRule="auto"/>
      </w:pPr>
      <w:r>
        <w:rPr>
          <w:rFonts w:ascii="Calibri" w:hAnsi="Calibri"/>
          <w:i w:val="0"/>
          <w:sz w:val="21"/>
        </w:rPr>
        <w:t>Modern financial economics is fundamentally built upon the study of how information, liquidity, and human or algorithmic behavior interact within structured exchange mechanisms. Historically, the Efficient Market Hypothesis (EMH), formulated by Eugene Fama, postulated that asset prices instantly reflect all available information, moving in a random walk governed by Gaussian dynamics. However, empirical microstructure research pioneered by Benoit Mandelbrot, Fischer Black, and modern econophysicists has continuously refuted strict Gaussian assumptions. Financial asset returns exhibit heavy tails, excess kurtosis, volatility clustering, and path-dependent memory, driven by continuous double-auction mechanics.</w:t>
      </w:r>
    </w:p>
    <w:p>
      <w:pPr>
        <w:spacing w:after="80" w:line="276" w:lineRule="auto"/>
      </w:pPr>
      <w:r>
        <w:rPr>
          <w:rFonts w:ascii="Calibri" w:hAnsi="Calibri"/>
          <w:i w:val="0"/>
          <w:sz w:val="21"/>
        </w:rPr>
        <w:t>Within contemporary trading infrastructure, market data generation has exploded in velocity and volume. High-Frequency Trading (HFT) firms, quantitative hedge funds, and institutional market makers execute trades across microsecond horizons, leaving complex structural footprints across Central Limit Order Books (CLOB). Conversely, retail and semi-institutional market participants remain largely constrained to low-resolution, discretized representations of market data—most notably, time-aggregated candlestick or bar charts (e.g., 1-minute, 5-minute, daily Open-High-Low-Close [OHLC] bars).</w:t>
      </w:r>
    </w:p>
    <w:p>
      <w:pPr>
        <w:spacing w:after="80" w:line="276" w:lineRule="auto"/>
      </w:pPr>
      <w:r>
        <w:rPr>
          <w:rFonts w:ascii="Calibri" w:hAnsi="Calibri"/>
          <w:i w:val="0"/>
          <w:sz w:val="21"/>
        </w:rPr>
        <w:t>To interpret these charts, legacy market analysis relies heavily on classical technical indicators such as the Relative Strength Index (RSI), Moving Average Convergence Divergence (MACD), Bollinger Bands, and stochastic oscillators. These traditional technical analysis tools share a fatal mathematical vulnerability: dimensional decoupling. They compute functions solely over price paths f(P_close, t). By discarding the underlying volume distribution conditional on price, they treat an identical price movement occurring on thin liquidity identically to one executed with massive institutional capital participation.</w:t>
      </w:r>
    </w:p>
    <w:p>
      <w:pPr>
        <w:spacing w:after="80" w:line="276" w:lineRule="auto"/>
      </w:pPr>
      <w:r>
        <w:rPr>
          <w:rFonts w:ascii="Calibri" w:hAnsi="Calibri"/>
          <w:i w:val="0"/>
          <w:sz w:val="21"/>
        </w:rPr>
        <w:t>To overcome the fragility of legacy indicators, quantitative researchers over the past decade turned aggressively toward modern machine learning architectures. Early studies deployed Support Vector Machines (SVMs) and Random Forests to predict directional price movements. Later waves introduced deep learning systems, including Recurrent Neural Networks (RNNs), Long Short-Term Memory networks (LSTMs), Gated Recurrent Units (GRUs), and Attention-Based Transformers.</w:t>
      </w:r>
    </w:p>
    <w:p>
      <w:pPr>
        <w:spacing w:after="80" w:line="276" w:lineRule="auto"/>
      </w:pPr>
      <w:r>
        <w:rPr>
          <w:rFonts w:ascii="Calibri" w:hAnsi="Calibri"/>
          <w:i w:val="0"/>
          <w:sz w:val="21"/>
        </w:rPr>
        <w:t>While these architectures capture non-linear temporal dependencies, they introduce a critical flaw: epistemic opacity. Deep financial models operate as non-linear black boxes. They output probabilistic classification vectors y_hat in [0, 1] that are completely decoupled from underlying market microstructure causality. In financial markets—a non-stationary, adversarial domain characterized by low signal-to-noise ratios—black-box models overfit statistical noise, resulting in severe performance decay during structural regime shifts. Furthermore, global regulatory bodies (e.g., SEC, ESMA, SEBI) increasingly enforce strict transparency, explainability, and consumer-protection mandates. Systems offering automated, ungrounded directional trading signals face severe regulatory risks and consumer skepticism.</w:t>
      </w:r>
    </w:p>
    <w:p>
      <w:pPr>
        <w:spacing w:after="80" w:line="276" w:lineRule="auto"/>
      </w:pPr>
      <w:r>
        <w:rPr>
          <w:rFonts w:ascii="Calibri" w:hAnsi="Calibri"/>
          <w:i w:val="0"/>
          <w:sz w:val="21"/>
        </w:rPr>
        <w:t>AlphaPulse addresses this problem by abandoning ungrounded price-directional prediction in favor of Structural Market Intelligence. The theoretical framework is anchored in Auction Market Theory (AMT) and the foundational principles of the Market Profile, originally conceptualized by J. Peter Steidlmayer at the Chicago Board of Trade (CBOT). Auction Market Theory views the financial market not as a directional forecasting problem, but as a continuous, bilateral, double-auction clearinghouse designed to facilitate trade. The market fluctuates between two thermodynamic equilibrium states: Balance (Price Acceptance / Rotational State) and Imbalance (Price Discovery / Initiative State).</w:t>
      </w:r>
    </w:p>
    <w:p>
      <w:pPr>
        <w:pStyle w:val="Heading2"/>
        <w:spacing w:before="200" w:after="80"/>
      </w:pPr>
      <w:r>
        <w:rPr>
          <w:b/>
          <w:color w:val="1E508C"/>
          <w:sz w:val="26"/>
        </w:rPr>
        <w:t>3. Research Objectives</w:t>
      </w:r>
    </w:p>
    <w:p>
      <w:pPr>
        <w:spacing w:after="80" w:line="276" w:lineRule="auto"/>
      </w:pPr>
      <w:r>
        <w:rPr>
          <w:rFonts w:ascii="Calibri" w:hAnsi="Calibri"/>
          <w:i w:val="0"/>
          <w:sz w:val="21"/>
        </w:rPr>
        <w:t>1. Formulate Algorithmic AMT Metrics: Mathematically formulate and implement deterministic algorithms for calculating real-time Volume Profiles, Value Area High (VAH), Value Area Low (VAL), and Volume Point of Control (VPOC).</w:t>
        <w:br/>
        <w:t>2. Develop a Multi-State Regime Classifier: Develop and validate a statistical classification model utilizing Gaussian Mixture Models (GMM) and non-parametric kurtosis metrics to categorize trading sessions into six Steidlmayer profile archetypes.</w:t>
        <w:br/>
        <w:t>3. Engineer Novel Liquidity Metrics: Formulate two novel microstructure metrics: the Dual-Distribution Asymmetry Index (DDAI) and the Thermodynamic Price Acceptance Metric (TPAM).</w:t>
        <w:br/>
        <w:t>4. Construct an Explainable NLP Diagnostic Engine: Design a deterministic natural language synthesis engine that translates multidimensional auction metrics into educational, non-predictive structural insights.</w:t>
        <w:br/>
        <w:t>5. Empirically Validate Structural Stability: Empirically evaluate the stability of calculated Value Area levels as institutional support/resistance thresholds across diverse market regimes using multi-year tick datasets from the National Stock Exchange of India (NSE).</w:t>
      </w:r>
    </w:p>
    <w:p>
      <w:pPr>
        <w:pStyle w:val="Heading2"/>
        <w:spacing w:before="200" w:after="80"/>
      </w:pPr>
      <w:r>
        <w:rPr>
          <w:b/>
          <w:color w:val="1E508C"/>
          <w:sz w:val="26"/>
        </w:rPr>
        <w:t>4. Research Questions &amp; Hypotheses</w:t>
      </w:r>
    </w:p>
    <w:p>
      <w:pPr>
        <w:spacing w:after="80" w:line="276" w:lineRule="auto"/>
      </w:pPr>
      <w:r>
        <w:rPr>
          <w:rFonts w:ascii="Calibri" w:hAnsi="Calibri"/>
          <w:i w:val="0"/>
          <w:sz w:val="21"/>
        </w:rPr>
        <w:t>RQ1: Does modeling volume distribution across discrete price quanta P(V|P) yield statistically superior regime-identification capabilities compared to linear temporal indicators?</w:t>
        <w:br/>
        <w:t>RQ2: Can Steidlmayer's qualitative Market Profile archetypes be reliably classified through unsupervised Gaussian Mixture Models and empirical distribution moments?</w:t>
        <w:br/>
        <w:t>RQ3: To what degree does the Thermodynamic Price Acceptance Metric (TPAM) differentiate between sustainable trend expansion and failed auction breakouts?</w:t>
        <w:br/>
        <w:t>RQ4: Can an Explainable AI framework deliver high-fidelity, actionable educational insights without relying on opaque deep neural architectures or speculative directional predictions?</w:t>
      </w:r>
    </w:p>
    <w:p>
      <w:pPr>
        <w:spacing w:after="80" w:line="276" w:lineRule="auto"/>
      </w:pPr>
      <w:r>
        <w:rPr>
          <w:rFonts w:ascii="Calibri" w:hAnsi="Calibri"/>
          <w:i w:val="0"/>
          <w:sz w:val="21"/>
        </w:rPr>
        <w:t>Hypothesis 1:</w:t>
        <w:br/>
        <w:t>H0: Traded volume distributions across price levels exhibit uniform or normal dispersion throughout continuous auction sessions; Value Area boundaries do not influence price rotational variance.</w:t>
        <w:br/>
        <w:t>H1: Traded volume distributions exhibit significant structural clustering; prices demonstrate statistically significant mean-reverting behavior upon encountering prior session Value Area boundaries (p &lt; 0.01).</w:t>
        <w:br/>
        <w:br/>
        <w:t>Hypothesis 2:</w:t>
        <w:br/>
        <w:t>H0: Unsupervised classification using Gaussian Mixture Models on volume profile distributions fails to distinguish between trending and rotational market days beyond random chance.</w:t>
        <w:br/>
        <w:t>H1: Unsupervised GMMs identify multi-modal versus unimodal volume profiles with high statistical concordance (kappa &gt; 0.80) to validated Steidlmayer profile classifications.</w:t>
      </w:r>
    </w:p>
    <w:p>
      <w:pPr>
        <w:pStyle w:val="Heading2"/>
        <w:spacing w:before="200" w:after="80"/>
      </w:pPr>
      <w:r>
        <w:rPr>
          <w:b/>
          <w:color w:val="1E508C"/>
          <w:sz w:val="26"/>
        </w:rPr>
        <w:t>5. Literature Review Summary Table (20 Studies)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shd w:fill="003366"/>
            <w:tcMar>
              <w:top w:w="120" w:type="dxa"/>
              <w:bottom w:w="120" w:type="dxa"/>
              <w:left w:w="150" w:type="dxa"/>
              <w:right w:w="150" w:type="dxa"/>
            </w:tcMar>
          </w:tcPr>
          <w:p>
            <w:pPr>
              <w:jc w:val="center"/>
            </w:pPr>
            <w:r>
              <w:rPr>
                <w:b/>
                <w:color w:val="FFFFFF"/>
                <w:sz w:val="19"/>
              </w:rPr>
              <w:t>Author(s)</w:t>
            </w:r>
          </w:p>
        </w:tc>
        <w:tc>
          <w:tcPr>
            <w:tcW w:type="dxa" w:w="720"/>
            <w:shd w:fill="003366"/>
            <w:tcMar>
              <w:top w:w="120" w:type="dxa"/>
              <w:bottom w:w="120" w:type="dxa"/>
              <w:left w:w="150" w:type="dxa"/>
              <w:right w:w="150" w:type="dxa"/>
            </w:tcMar>
          </w:tcPr>
          <w:p>
            <w:pPr>
              <w:jc w:val="center"/>
            </w:pPr>
            <w:r>
              <w:rPr>
                <w:b/>
                <w:color w:val="FFFFFF"/>
                <w:sz w:val="19"/>
              </w:rPr>
              <w:t>Year</w:t>
            </w:r>
          </w:p>
        </w:tc>
        <w:tc>
          <w:tcPr>
            <w:tcW w:type="dxa" w:w="1728"/>
            <w:shd w:fill="003366"/>
            <w:tcMar>
              <w:top w:w="120" w:type="dxa"/>
              <w:bottom w:w="120" w:type="dxa"/>
              <w:left w:w="150" w:type="dxa"/>
              <w:right w:w="150" w:type="dxa"/>
            </w:tcMar>
          </w:tcPr>
          <w:p>
            <w:pPr>
              <w:jc w:val="center"/>
            </w:pPr>
            <w:r>
              <w:rPr>
                <w:b/>
                <w:color w:val="FFFFFF"/>
                <w:sz w:val="19"/>
              </w:rPr>
              <w:t>Methodology</w:t>
            </w:r>
          </w:p>
        </w:tc>
        <w:tc>
          <w:tcPr>
            <w:tcW w:type="dxa" w:w="1440"/>
            <w:shd w:fill="003366"/>
            <w:tcMar>
              <w:top w:w="120" w:type="dxa"/>
              <w:bottom w:w="120" w:type="dxa"/>
              <w:left w:w="150" w:type="dxa"/>
              <w:right w:w="150" w:type="dxa"/>
            </w:tcMar>
          </w:tcPr>
          <w:p>
            <w:pPr>
              <w:jc w:val="center"/>
            </w:pPr>
            <w:r>
              <w:rPr>
                <w:b/>
                <w:color w:val="FFFFFF"/>
                <w:sz w:val="19"/>
              </w:rPr>
              <w:t>Dataset</w:t>
            </w:r>
          </w:p>
        </w:tc>
        <w:tc>
          <w:tcPr>
            <w:tcW w:type="dxa" w:w="2160"/>
            <w:shd w:fill="003366"/>
            <w:tcMar>
              <w:top w:w="120" w:type="dxa"/>
              <w:bottom w:w="120" w:type="dxa"/>
              <w:left w:w="150" w:type="dxa"/>
              <w:right w:w="150" w:type="dxa"/>
            </w:tcMar>
          </w:tcPr>
          <w:p>
            <w:pPr>
              <w:jc w:val="center"/>
            </w:pPr>
            <w:r>
              <w:rPr>
                <w:b/>
                <w:color w:val="FFFFFF"/>
                <w:sz w:val="19"/>
              </w:rPr>
              <w:t>Key Findings</w:t>
            </w:r>
          </w:p>
        </w:tc>
        <w:tc>
          <w:tcPr>
            <w:tcW w:type="dxa" w:w="1872"/>
            <w:shd w:fill="003366"/>
            <w:tcMar>
              <w:top w:w="120" w:type="dxa"/>
              <w:bottom w:w="120" w:type="dxa"/>
              <w:left w:w="150" w:type="dxa"/>
              <w:right w:w="150" w:type="dxa"/>
            </w:tcMar>
          </w:tcPr>
          <w:p>
            <w:pPr>
              <w:jc w:val="center"/>
            </w:pPr>
            <w:r>
              <w:rPr>
                <w:b/>
                <w:color w:val="FFFFFF"/>
                <w:sz w:val="19"/>
              </w:rPr>
              <w:t>Limitations</w:t>
            </w:r>
          </w:p>
        </w:tc>
      </w:tr>
      <w:tr>
        <w:tc>
          <w:tcPr>
            <w:tcW w:type="dxa" w:w="1440"/>
            <w:shd w:fill="FFFFFF"/>
            <w:tcMar>
              <w:top w:w="80" w:type="dxa"/>
              <w:bottom w:w="80" w:type="dxa"/>
              <w:left w:w="120" w:type="dxa"/>
              <w:right w:w="120" w:type="dxa"/>
            </w:tcMar>
          </w:tcPr>
          <w:p>
            <w:r>
              <w:rPr>
                <w:rFonts w:ascii="Calibri" w:hAnsi="Calibri"/>
                <w:sz w:val="18"/>
              </w:rPr>
              <w:t>Fama, E. F.</w:t>
            </w:r>
          </w:p>
        </w:tc>
        <w:tc>
          <w:tcPr>
            <w:tcW w:type="dxa" w:w="720"/>
            <w:shd w:fill="FFFFFF"/>
            <w:tcMar>
              <w:top w:w="80" w:type="dxa"/>
              <w:bottom w:w="80" w:type="dxa"/>
              <w:left w:w="120" w:type="dxa"/>
              <w:right w:w="120" w:type="dxa"/>
            </w:tcMar>
          </w:tcPr>
          <w:p>
            <w:r>
              <w:rPr>
                <w:rFonts w:ascii="Calibri" w:hAnsi="Calibri"/>
                <w:sz w:val="18"/>
              </w:rPr>
              <w:t>1970</w:t>
            </w:r>
          </w:p>
        </w:tc>
        <w:tc>
          <w:tcPr>
            <w:tcW w:type="dxa" w:w="1728"/>
            <w:shd w:fill="FFFFFF"/>
            <w:tcMar>
              <w:top w:w="80" w:type="dxa"/>
              <w:bottom w:w="80" w:type="dxa"/>
              <w:left w:w="120" w:type="dxa"/>
              <w:right w:w="120" w:type="dxa"/>
            </w:tcMar>
          </w:tcPr>
          <w:p>
            <w:r>
              <w:rPr>
                <w:rFonts w:ascii="Calibri" w:hAnsi="Calibri"/>
                <w:sz w:val="18"/>
              </w:rPr>
              <w:t>Empirical Econometrics</w:t>
            </w:r>
          </w:p>
        </w:tc>
        <w:tc>
          <w:tcPr>
            <w:tcW w:type="dxa" w:w="1440"/>
            <w:shd w:fill="FFFFFF"/>
            <w:tcMar>
              <w:top w:w="80" w:type="dxa"/>
              <w:bottom w:w="80" w:type="dxa"/>
              <w:left w:w="120" w:type="dxa"/>
              <w:right w:w="120" w:type="dxa"/>
            </w:tcMar>
          </w:tcPr>
          <w:p>
            <w:r>
              <w:rPr>
                <w:rFonts w:ascii="Calibri" w:hAnsi="Calibri"/>
                <w:sz w:val="18"/>
              </w:rPr>
              <w:t>US Equities</w:t>
            </w:r>
          </w:p>
        </w:tc>
        <w:tc>
          <w:tcPr>
            <w:tcW w:type="dxa" w:w="2160"/>
            <w:shd w:fill="FFFFFF"/>
            <w:tcMar>
              <w:top w:w="80" w:type="dxa"/>
              <w:bottom w:w="80" w:type="dxa"/>
              <w:left w:w="120" w:type="dxa"/>
              <w:right w:w="120" w:type="dxa"/>
            </w:tcMar>
          </w:tcPr>
          <w:p>
            <w:r>
              <w:rPr>
                <w:rFonts w:ascii="Calibri" w:hAnsi="Calibri"/>
                <w:sz w:val="18"/>
              </w:rPr>
              <w:t>Formulated Efficient Market Hypothesis.</w:t>
            </w:r>
          </w:p>
        </w:tc>
        <w:tc>
          <w:tcPr>
            <w:tcW w:type="dxa" w:w="1872"/>
            <w:shd w:fill="FFFFFF"/>
            <w:tcMar>
              <w:top w:w="80" w:type="dxa"/>
              <w:bottom w:w="80" w:type="dxa"/>
              <w:left w:w="120" w:type="dxa"/>
              <w:right w:w="120" w:type="dxa"/>
            </w:tcMar>
          </w:tcPr>
          <w:p>
            <w:r>
              <w:rPr>
                <w:rFonts w:ascii="Calibri" w:hAnsi="Calibri"/>
                <w:sz w:val="18"/>
              </w:rPr>
              <w:t>Assumes Gaussian walk; ignores microstructure.</w:t>
            </w:r>
          </w:p>
        </w:tc>
      </w:tr>
      <w:tr>
        <w:tc>
          <w:tcPr>
            <w:tcW w:type="dxa" w:w="1440"/>
            <w:shd w:fill="F4F6F9"/>
            <w:tcMar>
              <w:top w:w="80" w:type="dxa"/>
              <w:bottom w:w="80" w:type="dxa"/>
              <w:left w:w="120" w:type="dxa"/>
              <w:right w:w="120" w:type="dxa"/>
            </w:tcMar>
          </w:tcPr>
          <w:p>
            <w:r>
              <w:rPr>
                <w:rFonts w:ascii="Calibri" w:hAnsi="Calibri"/>
                <w:sz w:val="18"/>
              </w:rPr>
              <w:t>Steidlmayer &amp; Koy</w:t>
            </w:r>
          </w:p>
        </w:tc>
        <w:tc>
          <w:tcPr>
            <w:tcW w:type="dxa" w:w="720"/>
            <w:shd w:fill="F4F6F9"/>
            <w:tcMar>
              <w:top w:w="80" w:type="dxa"/>
              <w:bottom w:w="80" w:type="dxa"/>
              <w:left w:w="120" w:type="dxa"/>
              <w:right w:w="120" w:type="dxa"/>
            </w:tcMar>
          </w:tcPr>
          <w:p>
            <w:r>
              <w:rPr>
                <w:rFonts w:ascii="Calibri" w:hAnsi="Calibri"/>
                <w:sz w:val="18"/>
              </w:rPr>
              <w:t>1986</w:t>
            </w:r>
          </w:p>
        </w:tc>
        <w:tc>
          <w:tcPr>
            <w:tcW w:type="dxa" w:w="1728"/>
            <w:shd w:fill="F4F6F9"/>
            <w:tcMar>
              <w:top w:w="80" w:type="dxa"/>
              <w:bottom w:w="80" w:type="dxa"/>
              <w:left w:w="120" w:type="dxa"/>
              <w:right w:w="120" w:type="dxa"/>
            </w:tcMar>
          </w:tcPr>
          <w:p>
            <w:r>
              <w:rPr>
                <w:rFonts w:ascii="Calibri" w:hAnsi="Calibri"/>
                <w:sz w:val="18"/>
              </w:rPr>
              <w:t>Qualitative Heuristics</w:t>
            </w:r>
          </w:p>
        </w:tc>
        <w:tc>
          <w:tcPr>
            <w:tcW w:type="dxa" w:w="1440"/>
            <w:shd w:fill="F4F6F9"/>
            <w:tcMar>
              <w:top w:w="80" w:type="dxa"/>
              <w:bottom w:w="80" w:type="dxa"/>
              <w:left w:w="120" w:type="dxa"/>
              <w:right w:w="120" w:type="dxa"/>
            </w:tcMar>
          </w:tcPr>
          <w:p>
            <w:r>
              <w:rPr>
                <w:rFonts w:ascii="Calibri" w:hAnsi="Calibri"/>
                <w:sz w:val="18"/>
              </w:rPr>
              <w:t>CBOT Commodities</w:t>
            </w:r>
          </w:p>
        </w:tc>
        <w:tc>
          <w:tcPr>
            <w:tcW w:type="dxa" w:w="2160"/>
            <w:shd w:fill="F4F6F9"/>
            <w:tcMar>
              <w:top w:w="80" w:type="dxa"/>
              <w:bottom w:w="80" w:type="dxa"/>
              <w:left w:w="120" w:type="dxa"/>
              <w:right w:w="120" w:type="dxa"/>
            </w:tcMar>
          </w:tcPr>
          <w:p>
            <w:r>
              <w:rPr>
                <w:rFonts w:ascii="Calibri" w:hAnsi="Calibri"/>
                <w:sz w:val="18"/>
              </w:rPr>
              <w:t>Introduced Market Profile &amp; TPO concepts.</w:t>
            </w:r>
          </w:p>
        </w:tc>
        <w:tc>
          <w:tcPr>
            <w:tcW w:type="dxa" w:w="1872"/>
            <w:shd w:fill="F4F6F9"/>
            <w:tcMar>
              <w:top w:w="80" w:type="dxa"/>
              <w:bottom w:w="80" w:type="dxa"/>
              <w:left w:w="120" w:type="dxa"/>
              <w:right w:w="120" w:type="dxa"/>
            </w:tcMar>
          </w:tcPr>
          <w:p>
            <w:r>
              <w:rPr>
                <w:rFonts w:ascii="Calibri" w:hAnsi="Calibri"/>
                <w:sz w:val="18"/>
              </w:rPr>
              <w:t>Purely visual; lacks statistical formulation.</w:t>
            </w:r>
          </w:p>
        </w:tc>
      </w:tr>
      <w:tr>
        <w:tc>
          <w:tcPr>
            <w:tcW w:type="dxa" w:w="1440"/>
            <w:shd w:fill="FFFFFF"/>
            <w:tcMar>
              <w:top w:w="80" w:type="dxa"/>
              <w:bottom w:w="80" w:type="dxa"/>
              <w:left w:w="120" w:type="dxa"/>
              <w:right w:w="120" w:type="dxa"/>
            </w:tcMar>
          </w:tcPr>
          <w:p>
            <w:r>
              <w:rPr>
                <w:rFonts w:ascii="Calibri" w:hAnsi="Calibri"/>
                <w:sz w:val="18"/>
              </w:rPr>
              <w:t>Kyle, A. S.</w:t>
            </w:r>
          </w:p>
        </w:tc>
        <w:tc>
          <w:tcPr>
            <w:tcW w:type="dxa" w:w="720"/>
            <w:shd w:fill="FFFFFF"/>
            <w:tcMar>
              <w:top w:w="80" w:type="dxa"/>
              <w:bottom w:w="80" w:type="dxa"/>
              <w:left w:w="120" w:type="dxa"/>
              <w:right w:w="120" w:type="dxa"/>
            </w:tcMar>
          </w:tcPr>
          <w:p>
            <w:r>
              <w:rPr>
                <w:rFonts w:ascii="Calibri" w:hAnsi="Calibri"/>
                <w:sz w:val="18"/>
              </w:rPr>
              <w:t>1985</w:t>
            </w:r>
          </w:p>
        </w:tc>
        <w:tc>
          <w:tcPr>
            <w:tcW w:type="dxa" w:w="1728"/>
            <w:shd w:fill="FFFFFF"/>
            <w:tcMar>
              <w:top w:w="80" w:type="dxa"/>
              <w:bottom w:w="80" w:type="dxa"/>
              <w:left w:w="120" w:type="dxa"/>
              <w:right w:w="120" w:type="dxa"/>
            </w:tcMar>
          </w:tcPr>
          <w:p>
            <w:r>
              <w:rPr>
                <w:rFonts w:ascii="Calibri" w:hAnsi="Calibri"/>
                <w:sz w:val="18"/>
              </w:rPr>
              <w:t>Continuous Auction Theory</w:t>
            </w:r>
          </w:p>
        </w:tc>
        <w:tc>
          <w:tcPr>
            <w:tcW w:type="dxa" w:w="1440"/>
            <w:shd w:fill="FFFFFF"/>
            <w:tcMar>
              <w:top w:w="80" w:type="dxa"/>
              <w:bottom w:w="80" w:type="dxa"/>
              <w:left w:w="120" w:type="dxa"/>
              <w:right w:w="120" w:type="dxa"/>
            </w:tcMar>
          </w:tcPr>
          <w:p>
            <w:r>
              <w:rPr>
                <w:rFonts w:ascii="Calibri" w:hAnsi="Calibri"/>
                <w:sz w:val="18"/>
              </w:rPr>
              <w:t>Theoretical Model</w:t>
            </w:r>
          </w:p>
        </w:tc>
        <w:tc>
          <w:tcPr>
            <w:tcW w:type="dxa" w:w="2160"/>
            <w:shd w:fill="FFFFFF"/>
            <w:tcMar>
              <w:top w:w="80" w:type="dxa"/>
              <w:bottom w:w="80" w:type="dxa"/>
              <w:left w:w="120" w:type="dxa"/>
              <w:right w:w="120" w:type="dxa"/>
            </w:tcMar>
          </w:tcPr>
          <w:p>
            <w:r>
              <w:rPr>
                <w:rFonts w:ascii="Calibri" w:hAnsi="Calibri"/>
                <w:sz w:val="18"/>
              </w:rPr>
              <w:t>Modeled informed vs. noise trader liquidity.</w:t>
            </w:r>
          </w:p>
        </w:tc>
        <w:tc>
          <w:tcPr>
            <w:tcW w:type="dxa" w:w="1872"/>
            <w:shd w:fill="FFFFFF"/>
            <w:tcMar>
              <w:top w:w="80" w:type="dxa"/>
              <w:bottom w:w="80" w:type="dxa"/>
              <w:left w:w="120" w:type="dxa"/>
              <w:right w:w="120" w:type="dxa"/>
            </w:tcMar>
          </w:tcPr>
          <w:p>
            <w:r>
              <w:rPr>
                <w:rFonts w:ascii="Calibri" w:hAnsi="Calibri"/>
                <w:sz w:val="18"/>
              </w:rPr>
              <w:t>Closed-form theoretical assumptions only.</w:t>
            </w:r>
          </w:p>
        </w:tc>
      </w:tr>
      <w:tr>
        <w:tc>
          <w:tcPr>
            <w:tcW w:type="dxa" w:w="1440"/>
            <w:shd w:fill="F4F6F9"/>
            <w:tcMar>
              <w:top w:w="80" w:type="dxa"/>
              <w:bottom w:w="80" w:type="dxa"/>
              <w:left w:w="120" w:type="dxa"/>
              <w:right w:w="120" w:type="dxa"/>
            </w:tcMar>
          </w:tcPr>
          <w:p>
            <w:r>
              <w:rPr>
                <w:rFonts w:ascii="Calibri" w:hAnsi="Calibri"/>
                <w:sz w:val="18"/>
              </w:rPr>
              <w:t>Dalton et al.</w:t>
            </w:r>
          </w:p>
        </w:tc>
        <w:tc>
          <w:tcPr>
            <w:tcW w:type="dxa" w:w="720"/>
            <w:shd w:fill="F4F6F9"/>
            <w:tcMar>
              <w:top w:w="80" w:type="dxa"/>
              <w:bottom w:w="80" w:type="dxa"/>
              <w:left w:w="120" w:type="dxa"/>
              <w:right w:w="120" w:type="dxa"/>
            </w:tcMar>
          </w:tcPr>
          <w:p>
            <w:r>
              <w:rPr>
                <w:rFonts w:ascii="Calibri" w:hAnsi="Calibri"/>
                <w:sz w:val="18"/>
              </w:rPr>
              <w:t>1999</w:t>
            </w:r>
          </w:p>
        </w:tc>
        <w:tc>
          <w:tcPr>
            <w:tcW w:type="dxa" w:w="1728"/>
            <w:shd w:fill="F4F6F9"/>
            <w:tcMar>
              <w:top w:w="80" w:type="dxa"/>
              <w:bottom w:w="80" w:type="dxa"/>
              <w:left w:w="120" w:type="dxa"/>
              <w:right w:w="120" w:type="dxa"/>
            </w:tcMar>
          </w:tcPr>
          <w:p>
            <w:r>
              <w:rPr>
                <w:rFonts w:ascii="Calibri" w:hAnsi="Calibri"/>
                <w:sz w:val="18"/>
              </w:rPr>
              <w:t>Behavioral Profile Analysis</w:t>
            </w:r>
          </w:p>
        </w:tc>
        <w:tc>
          <w:tcPr>
            <w:tcW w:type="dxa" w:w="1440"/>
            <w:shd w:fill="F4F6F9"/>
            <w:tcMar>
              <w:top w:w="80" w:type="dxa"/>
              <w:bottom w:w="80" w:type="dxa"/>
              <w:left w:w="120" w:type="dxa"/>
              <w:right w:w="120" w:type="dxa"/>
            </w:tcMar>
          </w:tcPr>
          <w:p>
            <w:r>
              <w:rPr>
                <w:rFonts w:ascii="Calibri" w:hAnsi="Calibri"/>
                <w:sz w:val="18"/>
              </w:rPr>
              <w:t>US Futures</w:t>
            </w:r>
          </w:p>
        </w:tc>
        <w:tc>
          <w:tcPr>
            <w:tcW w:type="dxa" w:w="2160"/>
            <w:shd w:fill="F4F6F9"/>
            <w:tcMar>
              <w:top w:w="80" w:type="dxa"/>
              <w:bottom w:w="80" w:type="dxa"/>
              <w:left w:w="120" w:type="dxa"/>
              <w:right w:w="120" w:type="dxa"/>
            </w:tcMar>
          </w:tcPr>
          <w:p>
            <w:r>
              <w:rPr>
                <w:rFonts w:ascii="Calibri" w:hAnsi="Calibri"/>
                <w:sz w:val="18"/>
              </w:rPr>
              <w:t>Codified Initial Balance &amp; participant types.</w:t>
            </w:r>
          </w:p>
        </w:tc>
        <w:tc>
          <w:tcPr>
            <w:tcW w:type="dxa" w:w="1872"/>
            <w:shd w:fill="F4F6F9"/>
            <w:tcMar>
              <w:top w:w="80" w:type="dxa"/>
              <w:bottom w:w="80" w:type="dxa"/>
              <w:left w:w="120" w:type="dxa"/>
              <w:right w:w="120" w:type="dxa"/>
            </w:tcMar>
          </w:tcPr>
          <w:p>
            <w:r>
              <w:rPr>
                <w:rFonts w:ascii="Calibri" w:hAnsi="Calibri"/>
                <w:sz w:val="18"/>
              </w:rPr>
              <w:t>Anecdotal and qualitative rules of thumb.</w:t>
            </w:r>
          </w:p>
        </w:tc>
      </w:tr>
      <w:tr>
        <w:tc>
          <w:tcPr>
            <w:tcW w:type="dxa" w:w="1440"/>
            <w:shd w:fill="FFFFFF"/>
            <w:tcMar>
              <w:top w:w="80" w:type="dxa"/>
              <w:bottom w:w="80" w:type="dxa"/>
              <w:left w:w="120" w:type="dxa"/>
              <w:right w:w="120" w:type="dxa"/>
            </w:tcMar>
          </w:tcPr>
          <w:p>
            <w:r>
              <w:rPr>
                <w:rFonts w:ascii="Calibri" w:hAnsi="Calibri"/>
                <w:sz w:val="18"/>
              </w:rPr>
              <w:t>Bouchaud et al.</w:t>
            </w:r>
          </w:p>
        </w:tc>
        <w:tc>
          <w:tcPr>
            <w:tcW w:type="dxa" w:w="720"/>
            <w:shd w:fill="FFFFFF"/>
            <w:tcMar>
              <w:top w:w="80" w:type="dxa"/>
              <w:bottom w:w="80" w:type="dxa"/>
              <w:left w:w="120" w:type="dxa"/>
              <w:right w:w="120" w:type="dxa"/>
            </w:tcMar>
          </w:tcPr>
          <w:p>
            <w:r>
              <w:rPr>
                <w:rFonts w:ascii="Calibri" w:hAnsi="Calibri"/>
                <w:sz w:val="18"/>
              </w:rPr>
              <w:t>2004</w:t>
            </w:r>
          </w:p>
        </w:tc>
        <w:tc>
          <w:tcPr>
            <w:tcW w:type="dxa" w:w="1728"/>
            <w:shd w:fill="FFFFFF"/>
            <w:tcMar>
              <w:top w:w="80" w:type="dxa"/>
              <w:bottom w:w="80" w:type="dxa"/>
              <w:left w:w="120" w:type="dxa"/>
              <w:right w:w="120" w:type="dxa"/>
            </w:tcMar>
          </w:tcPr>
          <w:p>
            <w:r>
              <w:rPr>
                <w:rFonts w:ascii="Calibri" w:hAnsi="Calibri"/>
                <w:sz w:val="18"/>
              </w:rPr>
              <w:t>Econophysics / Statistical</w:t>
            </w:r>
          </w:p>
        </w:tc>
        <w:tc>
          <w:tcPr>
            <w:tcW w:type="dxa" w:w="1440"/>
            <w:shd w:fill="FFFFFF"/>
            <w:tcMar>
              <w:top w:w="80" w:type="dxa"/>
              <w:bottom w:w="80" w:type="dxa"/>
              <w:left w:w="120" w:type="dxa"/>
              <w:right w:w="120" w:type="dxa"/>
            </w:tcMar>
          </w:tcPr>
          <w:p>
            <w:r>
              <w:rPr>
                <w:rFonts w:ascii="Calibri" w:hAnsi="Calibri"/>
                <w:sz w:val="18"/>
              </w:rPr>
              <w:t>Global Equities</w:t>
            </w:r>
          </w:p>
        </w:tc>
        <w:tc>
          <w:tcPr>
            <w:tcW w:type="dxa" w:w="2160"/>
            <w:shd w:fill="FFFFFF"/>
            <w:tcMar>
              <w:top w:w="80" w:type="dxa"/>
              <w:bottom w:w="80" w:type="dxa"/>
              <w:left w:w="120" w:type="dxa"/>
              <w:right w:w="120" w:type="dxa"/>
            </w:tcMar>
          </w:tcPr>
          <w:p>
            <w:r>
              <w:rPr>
                <w:rFonts w:ascii="Calibri" w:hAnsi="Calibri"/>
                <w:sz w:val="18"/>
              </w:rPr>
              <w:t>Documented heavy tails &amp; non-ergodicity.</w:t>
            </w:r>
          </w:p>
        </w:tc>
        <w:tc>
          <w:tcPr>
            <w:tcW w:type="dxa" w:w="1872"/>
            <w:shd w:fill="FFFFFF"/>
            <w:tcMar>
              <w:top w:w="80" w:type="dxa"/>
              <w:bottom w:w="80" w:type="dxa"/>
              <w:left w:w="120" w:type="dxa"/>
              <w:right w:w="120" w:type="dxa"/>
            </w:tcMar>
          </w:tcPr>
          <w:p>
            <w:r>
              <w:rPr>
                <w:rFonts w:ascii="Calibri" w:hAnsi="Calibri"/>
                <w:sz w:val="18"/>
              </w:rPr>
              <w:t>Highly theoretical; lacks diagnostic tooling.</w:t>
            </w:r>
          </w:p>
        </w:tc>
      </w:tr>
      <w:tr>
        <w:tc>
          <w:tcPr>
            <w:tcW w:type="dxa" w:w="1440"/>
            <w:shd w:fill="F4F6F9"/>
            <w:tcMar>
              <w:top w:w="80" w:type="dxa"/>
              <w:bottom w:w="80" w:type="dxa"/>
              <w:left w:w="120" w:type="dxa"/>
              <w:right w:w="120" w:type="dxa"/>
            </w:tcMar>
          </w:tcPr>
          <w:p>
            <w:r>
              <w:rPr>
                <w:rFonts w:ascii="Calibri" w:hAnsi="Calibri"/>
                <w:sz w:val="18"/>
              </w:rPr>
              <w:t>Cont, R.</w:t>
            </w:r>
          </w:p>
        </w:tc>
        <w:tc>
          <w:tcPr>
            <w:tcW w:type="dxa" w:w="720"/>
            <w:shd w:fill="F4F6F9"/>
            <w:tcMar>
              <w:top w:w="80" w:type="dxa"/>
              <w:bottom w:w="80" w:type="dxa"/>
              <w:left w:w="120" w:type="dxa"/>
              <w:right w:w="120" w:type="dxa"/>
            </w:tcMar>
          </w:tcPr>
          <w:p>
            <w:r>
              <w:rPr>
                <w:rFonts w:ascii="Calibri" w:hAnsi="Calibri"/>
                <w:sz w:val="18"/>
              </w:rPr>
              <w:t>2001</w:t>
            </w:r>
          </w:p>
        </w:tc>
        <w:tc>
          <w:tcPr>
            <w:tcW w:type="dxa" w:w="1728"/>
            <w:shd w:fill="F4F6F9"/>
            <w:tcMar>
              <w:top w:w="80" w:type="dxa"/>
              <w:bottom w:w="80" w:type="dxa"/>
              <w:left w:w="120" w:type="dxa"/>
              <w:right w:w="120" w:type="dxa"/>
            </w:tcMar>
          </w:tcPr>
          <w:p>
            <w:r>
              <w:rPr>
                <w:rFonts w:ascii="Calibri" w:hAnsi="Calibri"/>
                <w:sz w:val="18"/>
              </w:rPr>
              <w:t>Statistical Finance</w:t>
            </w:r>
          </w:p>
        </w:tc>
        <w:tc>
          <w:tcPr>
            <w:tcW w:type="dxa" w:w="1440"/>
            <w:shd w:fill="F4F6F9"/>
            <w:tcMar>
              <w:top w:w="80" w:type="dxa"/>
              <w:bottom w:w="80" w:type="dxa"/>
              <w:left w:w="120" w:type="dxa"/>
              <w:right w:w="120" w:type="dxa"/>
            </w:tcMar>
          </w:tcPr>
          <w:p>
            <w:r>
              <w:rPr>
                <w:rFonts w:ascii="Calibri" w:hAnsi="Calibri"/>
                <w:sz w:val="18"/>
              </w:rPr>
              <w:t>High-Frequency Ticks</w:t>
            </w:r>
          </w:p>
        </w:tc>
        <w:tc>
          <w:tcPr>
            <w:tcW w:type="dxa" w:w="2160"/>
            <w:shd w:fill="F4F6F9"/>
            <w:tcMar>
              <w:top w:w="80" w:type="dxa"/>
              <w:bottom w:w="80" w:type="dxa"/>
              <w:left w:w="120" w:type="dxa"/>
              <w:right w:w="120" w:type="dxa"/>
            </w:tcMar>
          </w:tcPr>
          <w:p>
            <w:r>
              <w:rPr>
                <w:rFonts w:ascii="Calibri" w:hAnsi="Calibri"/>
                <w:sz w:val="18"/>
              </w:rPr>
              <w:t>Documented stylized facts of returns.</w:t>
            </w:r>
          </w:p>
        </w:tc>
        <w:tc>
          <w:tcPr>
            <w:tcW w:type="dxa" w:w="1872"/>
            <w:shd w:fill="F4F6F9"/>
            <w:tcMar>
              <w:top w:w="80" w:type="dxa"/>
              <w:bottom w:w="80" w:type="dxa"/>
              <w:left w:w="120" w:type="dxa"/>
              <w:right w:w="120" w:type="dxa"/>
            </w:tcMar>
          </w:tcPr>
          <w:p>
            <w:r>
              <w:rPr>
                <w:rFonts w:ascii="Calibri" w:hAnsi="Calibri"/>
                <w:sz w:val="18"/>
              </w:rPr>
              <w:t>Descriptive analysis; no profiling engine.</w:t>
            </w:r>
          </w:p>
        </w:tc>
      </w:tr>
      <w:tr>
        <w:tc>
          <w:tcPr>
            <w:tcW w:type="dxa" w:w="1440"/>
            <w:shd w:fill="FFFFFF"/>
            <w:tcMar>
              <w:top w:w="80" w:type="dxa"/>
              <w:bottom w:w="80" w:type="dxa"/>
              <w:left w:w="120" w:type="dxa"/>
              <w:right w:w="120" w:type="dxa"/>
            </w:tcMar>
          </w:tcPr>
          <w:p>
            <w:r>
              <w:rPr>
                <w:rFonts w:ascii="Calibri" w:hAnsi="Calibri"/>
                <w:sz w:val="18"/>
              </w:rPr>
              <w:t>Hasbrouck, J.</w:t>
            </w:r>
          </w:p>
        </w:tc>
        <w:tc>
          <w:tcPr>
            <w:tcW w:type="dxa" w:w="720"/>
            <w:shd w:fill="FFFFFF"/>
            <w:tcMar>
              <w:top w:w="80" w:type="dxa"/>
              <w:bottom w:w="80" w:type="dxa"/>
              <w:left w:w="120" w:type="dxa"/>
              <w:right w:w="120" w:type="dxa"/>
            </w:tcMar>
          </w:tcPr>
          <w:p>
            <w:r>
              <w:rPr>
                <w:rFonts w:ascii="Calibri" w:hAnsi="Calibri"/>
                <w:sz w:val="18"/>
              </w:rPr>
              <w:t>2007</w:t>
            </w:r>
          </w:p>
        </w:tc>
        <w:tc>
          <w:tcPr>
            <w:tcW w:type="dxa" w:w="1728"/>
            <w:shd w:fill="FFFFFF"/>
            <w:tcMar>
              <w:top w:w="80" w:type="dxa"/>
              <w:bottom w:w="80" w:type="dxa"/>
              <w:left w:w="120" w:type="dxa"/>
              <w:right w:w="120" w:type="dxa"/>
            </w:tcMar>
          </w:tcPr>
          <w:p>
            <w:r>
              <w:rPr>
                <w:rFonts w:ascii="Calibri" w:hAnsi="Calibri"/>
                <w:sz w:val="18"/>
              </w:rPr>
              <w:t>Econometric Microstructure</w:t>
            </w:r>
          </w:p>
        </w:tc>
        <w:tc>
          <w:tcPr>
            <w:tcW w:type="dxa" w:w="1440"/>
            <w:shd w:fill="FFFFFF"/>
            <w:tcMar>
              <w:top w:w="80" w:type="dxa"/>
              <w:bottom w:w="80" w:type="dxa"/>
              <w:left w:w="120" w:type="dxa"/>
              <w:right w:w="120" w:type="dxa"/>
            </w:tcMar>
          </w:tcPr>
          <w:p>
            <w:r>
              <w:rPr>
                <w:rFonts w:ascii="Calibri" w:hAnsi="Calibri"/>
                <w:sz w:val="18"/>
              </w:rPr>
              <w:t>US Equities (TAQ)</w:t>
            </w:r>
          </w:p>
        </w:tc>
        <w:tc>
          <w:tcPr>
            <w:tcW w:type="dxa" w:w="2160"/>
            <w:shd w:fill="FFFFFF"/>
            <w:tcMar>
              <w:top w:w="80" w:type="dxa"/>
              <w:bottom w:w="80" w:type="dxa"/>
              <w:left w:w="120" w:type="dxa"/>
              <w:right w:w="120" w:type="dxa"/>
            </w:tcMar>
          </w:tcPr>
          <w:p>
            <w:r>
              <w:rPr>
                <w:rFonts w:ascii="Calibri" w:hAnsi="Calibri"/>
                <w:sz w:val="18"/>
              </w:rPr>
              <w:t>Modeled order book price impact &amp; volatility.</w:t>
            </w:r>
          </w:p>
        </w:tc>
        <w:tc>
          <w:tcPr>
            <w:tcW w:type="dxa" w:w="1872"/>
            <w:shd w:fill="FFFFFF"/>
            <w:tcMar>
              <w:top w:w="80" w:type="dxa"/>
              <w:bottom w:w="80" w:type="dxa"/>
              <w:left w:w="120" w:type="dxa"/>
              <w:right w:w="120" w:type="dxa"/>
            </w:tcMar>
          </w:tcPr>
          <w:p>
            <w:r>
              <w:rPr>
                <w:rFonts w:ascii="Calibri" w:hAnsi="Calibri"/>
                <w:sz w:val="18"/>
              </w:rPr>
              <w:t>Focuses on tick level, not auction profiles.</w:t>
            </w:r>
          </w:p>
        </w:tc>
      </w:tr>
      <w:tr>
        <w:tc>
          <w:tcPr>
            <w:tcW w:type="dxa" w:w="1440"/>
            <w:shd w:fill="F4F6F9"/>
            <w:tcMar>
              <w:top w:w="80" w:type="dxa"/>
              <w:bottom w:w="80" w:type="dxa"/>
              <w:left w:w="120" w:type="dxa"/>
              <w:right w:w="120" w:type="dxa"/>
            </w:tcMar>
          </w:tcPr>
          <w:p>
            <w:r>
              <w:rPr>
                <w:rFonts w:ascii="Calibri" w:hAnsi="Calibri"/>
                <w:sz w:val="18"/>
              </w:rPr>
              <w:t>Easley et al.</w:t>
            </w:r>
          </w:p>
        </w:tc>
        <w:tc>
          <w:tcPr>
            <w:tcW w:type="dxa" w:w="720"/>
            <w:shd w:fill="F4F6F9"/>
            <w:tcMar>
              <w:top w:w="80" w:type="dxa"/>
              <w:bottom w:w="80" w:type="dxa"/>
              <w:left w:w="120" w:type="dxa"/>
              <w:right w:w="120" w:type="dxa"/>
            </w:tcMar>
          </w:tcPr>
          <w:p>
            <w:r>
              <w:rPr>
                <w:rFonts w:ascii="Calibri" w:hAnsi="Calibri"/>
                <w:sz w:val="18"/>
              </w:rPr>
              <w:t>2012</w:t>
            </w:r>
          </w:p>
        </w:tc>
        <w:tc>
          <w:tcPr>
            <w:tcW w:type="dxa" w:w="1728"/>
            <w:shd w:fill="F4F6F9"/>
            <w:tcMar>
              <w:top w:w="80" w:type="dxa"/>
              <w:bottom w:w="80" w:type="dxa"/>
              <w:left w:w="120" w:type="dxa"/>
              <w:right w:w="120" w:type="dxa"/>
            </w:tcMar>
          </w:tcPr>
          <w:p>
            <w:r>
              <w:rPr>
                <w:rFonts w:ascii="Calibri" w:hAnsi="Calibri"/>
                <w:sz w:val="18"/>
              </w:rPr>
              <w:t>VPIN Flow Toxicity</w:t>
            </w:r>
          </w:p>
        </w:tc>
        <w:tc>
          <w:tcPr>
            <w:tcW w:type="dxa" w:w="1440"/>
            <w:shd w:fill="F4F6F9"/>
            <w:tcMar>
              <w:top w:w="80" w:type="dxa"/>
              <w:bottom w:w="80" w:type="dxa"/>
              <w:left w:w="120" w:type="dxa"/>
              <w:right w:w="120" w:type="dxa"/>
            </w:tcMar>
          </w:tcPr>
          <w:p>
            <w:r>
              <w:rPr>
                <w:rFonts w:ascii="Calibri" w:hAnsi="Calibri"/>
                <w:sz w:val="18"/>
              </w:rPr>
              <w:t>E-mini S&amp;P Futures</w:t>
            </w:r>
          </w:p>
        </w:tc>
        <w:tc>
          <w:tcPr>
            <w:tcW w:type="dxa" w:w="2160"/>
            <w:shd w:fill="F4F6F9"/>
            <w:tcMar>
              <w:top w:w="80" w:type="dxa"/>
              <w:bottom w:w="80" w:type="dxa"/>
              <w:left w:w="120" w:type="dxa"/>
              <w:right w:w="120" w:type="dxa"/>
            </w:tcMar>
          </w:tcPr>
          <w:p>
            <w:r>
              <w:rPr>
                <w:rFonts w:ascii="Calibri" w:hAnsi="Calibri"/>
                <w:sz w:val="18"/>
              </w:rPr>
              <w:t>Quantified volume-synchronized toxicity.</w:t>
            </w:r>
          </w:p>
        </w:tc>
        <w:tc>
          <w:tcPr>
            <w:tcW w:type="dxa" w:w="1872"/>
            <w:shd w:fill="F4F6F9"/>
            <w:tcMar>
              <w:top w:w="80" w:type="dxa"/>
              <w:bottom w:w="80" w:type="dxa"/>
              <w:left w:w="120" w:type="dxa"/>
              <w:right w:w="120" w:type="dxa"/>
            </w:tcMar>
          </w:tcPr>
          <w:p>
            <w:r>
              <w:rPr>
                <w:rFonts w:ascii="Calibri" w:hAnsi="Calibri"/>
                <w:sz w:val="18"/>
              </w:rPr>
              <w:t>Sensitive to volume bucket parameters.</w:t>
            </w:r>
          </w:p>
        </w:tc>
      </w:tr>
      <w:tr>
        <w:tc>
          <w:tcPr>
            <w:tcW w:type="dxa" w:w="1440"/>
            <w:shd w:fill="FFFFFF"/>
            <w:tcMar>
              <w:top w:w="80" w:type="dxa"/>
              <w:bottom w:w="80" w:type="dxa"/>
              <w:left w:w="120" w:type="dxa"/>
              <w:right w:w="120" w:type="dxa"/>
            </w:tcMar>
          </w:tcPr>
          <w:p>
            <w:r>
              <w:rPr>
                <w:rFonts w:ascii="Calibri" w:hAnsi="Calibri"/>
                <w:sz w:val="18"/>
              </w:rPr>
              <w:t>Cartea &amp; Jaimungal</w:t>
            </w:r>
          </w:p>
        </w:tc>
        <w:tc>
          <w:tcPr>
            <w:tcW w:type="dxa" w:w="720"/>
            <w:shd w:fill="FFFFFF"/>
            <w:tcMar>
              <w:top w:w="80" w:type="dxa"/>
              <w:bottom w:w="80" w:type="dxa"/>
              <w:left w:w="120" w:type="dxa"/>
              <w:right w:w="120" w:type="dxa"/>
            </w:tcMar>
          </w:tcPr>
          <w:p>
            <w:r>
              <w:rPr>
                <w:rFonts w:ascii="Calibri" w:hAnsi="Calibri"/>
                <w:sz w:val="18"/>
              </w:rPr>
              <w:t>2014</w:t>
            </w:r>
          </w:p>
        </w:tc>
        <w:tc>
          <w:tcPr>
            <w:tcW w:type="dxa" w:w="1728"/>
            <w:shd w:fill="FFFFFF"/>
            <w:tcMar>
              <w:top w:w="80" w:type="dxa"/>
              <w:bottom w:w="80" w:type="dxa"/>
              <w:left w:w="120" w:type="dxa"/>
              <w:right w:w="120" w:type="dxa"/>
            </w:tcMar>
          </w:tcPr>
          <w:p>
            <w:r>
              <w:rPr>
                <w:rFonts w:ascii="Calibri" w:hAnsi="Calibri"/>
                <w:sz w:val="18"/>
              </w:rPr>
              <w:t>Stochastic Optimal Control</w:t>
            </w:r>
          </w:p>
        </w:tc>
        <w:tc>
          <w:tcPr>
            <w:tcW w:type="dxa" w:w="1440"/>
            <w:shd w:fill="FFFFFF"/>
            <w:tcMar>
              <w:top w:w="80" w:type="dxa"/>
              <w:bottom w:w="80" w:type="dxa"/>
              <w:left w:w="120" w:type="dxa"/>
              <w:right w:w="120" w:type="dxa"/>
            </w:tcMar>
          </w:tcPr>
          <w:p>
            <w:r>
              <w:rPr>
                <w:rFonts w:ascii="Calibri" w:hAnsi="Calibri"/>
                <w:sz w:val="18"/>
              </w:rPr>
              <w:t>LOB Tick Data</w:t>
            </w:r>
          </w:p>
        </w:tc>
        <w:tc>
          <w:tcPr>
            <w:tcW w:type="dxa" w:w="2160"/>
            <w:shd w:fill="FFFFFF"/>
            <w:tcMar>
              <w:top w:w="80" w:type="dxa"/>
              <w:bottom w:w="80" w:type="dxa"/>
              <w:left w:w="120" w:type="dxa"/>
              <w:right w:w="120" w:type="dxa"/>
            </w:tcMar>
          </w:tcPr>
          <w:p>
            <w:r>
              <w:rPr>
                <w:rFonts w:ascii="Calibri" w:hAnsi="Calibri"/>
                <w:sz w:val="18"/>
              </w:rPr>
              <w:t>Optimized execution around liquidity.</w:t>
            </w:r>
          </w:p>
        </w:tc>
        <w:tc>
          <w:tcPr>
            <w:tcW w:type="dxa" w:w="1872"/>
            <w:shd w:fill="FFFFFF"/>
            <w:tcMar>
              <w:top w:w="80" w:type="dxa"/>
              <w:bottom w:w="80" w:type="dxa"/>
              <w:left w:w="120" w:type="dxa"/>
              <w:right w:w="120" w:type="dxa"/>
            </w:tcMar>
          </w:tcPr>
          <w:p>
            <w:r>
              <w:rPr>
                <w:rFonts w:ascii="Calibri" w:hAnsi="Calibri"/>
                <w:sz w:val="18"/>
              </w:rPr>
              <w:t>Computationally heavy; lacks explainability.</w:t>
            </w:r>
          </w:p>
        </w:tc>
      </w:tr>
      <w:tr>
        <w:tc>
          <w:tcPr>
            <w:tcW w:type="dxa" w:w="1440"/>
            <w:shd w:fill="F4F6F9"/>
            <w:tcMar>
              <w:top w:w="80" w:type="dxa"/>
              <w:bottom w:w="80" w:type="dxa"/>
              <w:left w:w="120" w:type="dxa"/>
              <w:right w:w="120" w:type="dxa"/>
            </w:tcMar>
          </w:tcPr>
          <w:p>
            <w:r>
              <w:rPr>
                <w:rFonts w:ascii="Calibri" w:hAnsi="Calibri"/>
                <w:sz w:val="18"/>
              </w:rPr>
              <w:t>Fischer &amp; Krauss</w:t>
            </w:r>
          </w:p>
        </w:tc>
        <w:tc>
          <w:tcPr>
            <w:tcW w:type="dxa" w:w="720"/>
            <w:shd w:fill="F4F6F9"/>
            <w:tcMar>
              <w:top w:w="80" w:type="dxa"/>
              <w:bottom w:w="80" w:type="dxa"/>
              <w:left w:w="120" w:type="dxa"/>
              <w:right w:w="120" w:type="dxa"/>
            </w:tcMar>
          </w:tcPr>
          <w:p>
            <w:r>
              <w:rPr>
                <w:rFonts w:ascii="Calibri" w:hAnsi="Calibri"/>
                <w:sz w:val="18"/>
              </w:rPr>
              <w:t>2018</w:t>
            </w:r>
          </w:p>
        </w:tc>
        <w:tc>
          <w:tcPr>
            <w:tcW w:type="dxa" w:w="1728"/>
            <w:shd w:fill="F4F6F9"/>
            <w:tcMar>
              <w:top w:w="80" w:type="dxa"/>
              <w:bottom w:w="80" w:type="dxa"/>
              <w:left w:w="120" w:type="dxa"/>
              <w:right w:w="120" w:type="dxa"/>
            </w:tcMar>
          </w:tcPr>
          <w:p>
            <w:r>
              <w:rPr>
                <w:rFonts w:ascii="Calibri" w:hAnsi="Calibri"/>
                <w:sz w:val="18"/>
              </w:rPr>
              <w:t>Deep Learning (LSTM)</w:t>
            </w:r>
          </w:p>
        </w:tc>
        <w:tc>
          <w:tcPr>
            <w:tcW w:type="dxa" w:w="1440"/>
            <w:shd w:fill="F4F6F9"/>
            <w:tcMar>
              <w:top w:w="80" w:type="dxa"/>
              <w:bottom w:w="80" w:type="dxa"/>
              <w:left w:w="120" w:type="dxa"/>
              <w:right w:w="120" w:type="dxa"/>
            </w:tcMar>
          </w:tcPr>
          <w:p>
            <w:r>
              <w:rPr>
                <w:rFonts w:ascii="Calibri" w:hAnsi="Calibri"/>
                <w:sz w:val="18"/>
              </w:rPr>
              <w:t>S&amp;P 500 Equities</w:t>
            </w:r>
          </w:p>
        </w:tc>
        <w:tc>
          <w:tcPr>
            <w:tcW w:type="dxa" w:w="2160"/>
            <w:shd w:fill="F4F6F9"/>
            <w:tcMar>
              <w:top w:w="80" w:type="dxa"/>
              <w:bottom w:w="80" w:type="dxa"/>
              <w:left w:w="120" w:type="dxa"/>
              <w:right w:w="120" w:type="dxa"/>
            </w:tcMar>
          </w:tcPr>
          <w:p>
            <w:r>
              <w:rPr>
                <w:rFonts w:ascii="Calibri" w:hAnsi="Calibri"/>
                <w:sz w:val="18"/>
              </w:rPr>
              <w:t>Demonstrated LSTM predictive accuracy.</w:t>
            </w:r>
          </w:p>
        </w:tc>
        <w:tc>
          <w:tcPr>
            <w:tcW w:type="dxa" w:w="1872"/>
            <w:shd w:fill="F4F6F9"/>
            <w:tcMar>
              <w:top w:w="80" w:type="dxa"/>
              <w:bottom w:w="80" w:type="dxa"/>
              <w:left w:w="120" w:type="dxa"/>
              <w:right w:w="120" w:type="dxa"/>
            </w:tcMar>
          </w:tcPr>
          <w:p>
            <w:r>
              <w:rPr>
                <w:rFonts w:ascii="Calibri" w:hAnsi="Calibri"/>
                <w:sz w:val="18"/>
              </w:rPr>
              <w:t>Black-box nature; catastrophic regime failure.</w:t>
            </w:r>
          </w:p>
        </w:tc>
      </w:tr>
      <w:tr>
        <w:tc>
          <w:tcPr>
            <w:tcW w:type="dxa" w:w="1440"/>
            <w:shd w:fill="FFFFFF"/>
            <w:tcMar>
              <w:top w:w="80" w:type="dxa"/>
              <w:bottom w:w="80" w:type="dxa"/>
              <w:left w:w="120" w:type="dxa"/>
              <w:right w:w="120" w:type="dxa"/>
            </w:tcMar>
          </w:tcPr>
          <w:p>
            <w:r>
              <w:rPr>
                <w:rFonts w:ascii="Calibri" w:hAnsi="Calibri"/>
                <w:sz w:val="18"/>
              </w:rPr>
              <w:t>Gu, Kelly, &amp; Xiu</w:t>
            </w:r>
          </w:p>
        </w:tc>
        <w:tc>
          <w:tcPr>
            <w:tcW w:type="dxa" w:w="720"/>
            <w:shd w:fill="FFFFFF"/>
            <w:tcMar>
              <w:top w:w="80" w:type="dxa"/>
              <w:bottom w:w="80" w:type="dxa"/>
              <w:left w:w="120" w:type="dxa"/>
              <w:right w:w="120" w:type="dxa"/>
            </w:tcMar>
          </w:tcPr>
          <w:p>
            <w:r>
              <w:rPr>
                <w:rFonts w:ascii="Calibri" w:hAnsi="Calibri"/>
                <w:sz w:val="18"/>
              </w:rPr>
              <w:t>2020</w:t>
            </w:r>
          </w:p>
        </w:tc>
        <w:tc>
          <w:tcPr>
            <w:tcW w:type="dxa" w:w="1728"/>
            <w:shd w:fill="FFFFFF"/>
            <w:tcMar>
              <w:top w:w="80" w:type="dxa"/>
              <w:bottom w:w="80" w:type="dxa"/>
              <w:left w:w="120" w:type="dxa"/>
              <w:right w:w="120" w:type="dxa"/>
            </w:tcMar>
          </w:tcPr>
          <w:p>
            <w:r>
              <w:rPr>
                <w:rFonts w:ascii="Calibri" w:hAnsi="Calibri"/>
                <w:sz w:val="18"/>
              </w:rPr>
              <w:t>Machine Learning Comparison</w:t>
            </w:r>
          </w:p>
        </w:tc>
        <w:tc>
          <w:tcPr>
            <w:tcW w:type="dxa" w:w="1440"/>
            <w:shd w:fill="FFFFFF"/>
            <w:tcMar>
              <w:top w:w="80" w:type="dxa"/>
              <w:bottom w:w="80" w:type="dxa"/>
              <w:left w:w="120" w:type="dxa"/>
              <w:right w:w="120" w:type="dxa"/>
            </w:tcMar>
          </w:tcPr>
          <w:p>
            <w:r>
              <w:rPr>
                <w:rFonts w:ascii="Calibri" w:hAnsi="Calibri"/>
                <w:sz w:val="18"/>
              </w:rPr>
              <w:t>US Equities Panel</w:t>
            </w:r>
          </w:p>
        </w:tc>
        <w:tc>
          <w:tcPr>
            <w:tcW w:type="dxa" w:w="2160"/>
            <w:shd w:fill="FFFFFF"/>
            <w:tcMar>
              <w:top w:w="80" w:type="dxa"/>
              <w:bottom w:w="80" w:type="dxa"/>
              <w:left w:w="120" w:type="dxa"/>
              <w:right w:w="120" w:type="dxa"/>
            </w:tcMar>
          </w:tcPr>
          <w:p>
            <w:r>
              <w:rPr>
                <w:rFonts w:ascii="Calibri" w:hAnsi="Calibri"/>
                <w:sz w:val="18"/>
              </w:rPr>
              <w:t>Showed neural nets capture non-linear paths.</w:t>
            </w:r>
          </w:p>
        </w:tc>
        <w:tc>
          <w:tcPr>
            <w:tcW w:type="dxa" w:w="1872"/>
            <w:shd w:fill="FFFFFF"/>
            <w:tcMar>
              <w:top w:w="80" w:type="dxa"/>
              <w:bottom w:w="80" w:type="dxa"/>
              <w:left w:w="120" w:type="dxa"/>
              <w:right w:w="120" w:type="dxa"/>
            </w:tcMar>
          </w:tcPr>
          <w:p>
            <w:r>
              <w:rPr>
                <w:rFonts w:ascii="Calibri" w:hAnsi="Calibri"/>
                <w:sz w:val="18"/>
              </w:rPr>
              <w:t>High parameter complexity; zero explainability.</w:t>
            </w:r>
          </w:p>
        </w:tc>
      </w:tr>
      <w:tr>
        <w:tc>
          <w:tcPr>
            <w:tcW w:type="dxa" w:w="1440"/>
            <w:shd w:fill="F4F6F9"/>
            <w:tcMar>
              <w:top w:w="80" w:type="dxa"/>
              <w:bottom w:w="80" w:type="dxa"/>
              <w:left w:w="120" w:type="dxa"/>
              <w:right w:w="120" w:type="dxa"/>
            </w:tcMar>
          </w:tcPr>
          <w:p>
            <w:r>
              <w:rPr>
                <w:rFonts w:ascii="Calibri" w:hAnsi="Calibri"/>
                <w:sz w:val="18"/>
              </w:rPr>
              <w:t>Arrieta et al.</w:t>
            </w:r>
          </w:p>
        </w:tc>
        <w:tc>
          <w:tcPr>
            <w:tcW w:type="dxa" w:w="720"/>
            <w:shd w:fill="F4F6F9"/>
            <w:tcMar>
              <w:top w:w="80" w:type="dxa"/>
              <w:bottom w:w="80" w:type="dxa"/>
              <w:left w:w="120" w:type="dxa"/>
              <w:right w:w="120" w:type="dxa"/>
            </w:tcMar>
          </w:tcPr>
          <w:p>
            <w:r>
              <w:rPr>
                <w:rFonts w:ascii="Calibri" w:hAnsi="Calibri"/>
                <w:sz w:val="18"/>
              </w:rPr>
              <w:t>2020</w:t>
            </w:r>
          </w:p>
        </w:tc>
        <w:tc>
          <w:tcPr>
            <w:tcW w:type="dxa" w:w="1728"/>
            <w:shd w:fill="F4F6F9"/>
            <w:tcMar>
              <w:top w:w="80" w:type="dxa"/>
              <w:bottom w:w="80" w:type="dxa"/>
              <w:left w:w="120" w:type="dxa"/>
              <w:right w:w="120" w:type="dxa"/>
            </w:tcMar>
          </w:tcPr>
          <w:p>
            <w:r>
              <w:rPr>
                <w:rFonts w:ascii="Calibri" w:hAnsi="Calibri"/>
                <w:sz w:val="18"/>
              </w:rPr>
              <w:t>Comprehensive XAI Survey</w:t>
            </w:r>
          </w:p>
        </w:tc>
        <w:tc>
          <w:tcPr>
            <w:tcW w:type="dxa" w:w="1440"/>
            <w:shd w:fill="F4F6F9"/>
            <w:tcMar>
              <w:top w:w="80" w:type="dxa"/>
              <w:bottom w:w="80" w:type="dxa"/>
              <w:left w:w="120" w:type="dxa"/>
              <w:right w:w="120" w:type="dxa"/>
            </w:tcMar>
          </w:tcPr>
          <w:p>
            <w:r>
              <w:rPr>
                <w:rFonts w:ascii="Calibri" w:hAnsi="Calibri"/>
                <w:sz w:val="18"/>
              </w:rPr>
              <w:t>Multi-Domain AI</w:t>
            </w:r>
          </w:p>
        </w:tc>
        <w:tc>
          <w:tcPr>
            <w:tcW w:type="dxa" w:w="2160"/>
            <w:shd w:fill="F4F6F9"/>
            <w:tcMar>
              <w:top w:w="80" w:type="dxa"/>
              <w:bottom w:w="80" w:type="dxa"/>
              <w:left w:w="120" w:type="dxa"/>
              <w:right w:w="120" w:type="dxa"/>
            </w:tcMar>
          </w:tcPr>
          <w:p>
            <w:r>
              <w:rPr>
                <w:rFonts w:ascii="Calibri" w:hAnsi="Calibri"/>
                <w:sz w:val="18"/>
              </w:rPr>
              <w:t>Established taxonomy for explainable AI.</w:t>
            </w:r>
          </w:p>
        </w:tc>
        <w:tc>
          <w:tcPr>
            <w:tcW w:type="dxa" w:w="1872"/>
            <w:shd w:fill="F4F6F9"/>
            <w:tcMar>
              <w:top w:w="80" w:type="dxa"/>
              <w:bottom w:w="80" w:type="dxa"/>
              <w:left w:w="120" w:type="dxa"/>
              <w:right w:w="120" w:type="dxa"/>
            </w:tcMar>
          </w:tcPr>
          <w:p>
            <w:r>
              <w:rPr>
                <w:rFonts w:ascii="Calibri" w:hAnsi="Calibri"/>
                <w:sz w:val="18"/>
              </w:rPr>
              <w:t>General framework; not tailored to finance.</w:t>
            </w:r>
          </w:p>
        </w:tc>
      </w:tr>
      <w:tr>
        <w:tc>
          <w:tcPr>
            <w:tcW w:type="dxa" w:w="1440"/>
            <w:shd w:fill="FFFFFF"/>
            <w:tcMar>
              <w:top w:w="80" w:type="dxa"/>
              <w:bottom w:w="80" w:type="dxa"/>
              <w:left w:w="120" w:type="dxa"/>
              <w:right w:w="120" w:type="dxa"/>
            </w:tcMar>
          </w:tcPr>
          <w:p>
            <w:r>
              <w:rPr>
                <w:rFonts w:ascii="Calibri" w:hAnsi="Calibri"/>
                <w:sz w:val="18"/>
              </w:rPr>
              <w:t>Ribeiro et al.</w:t>
            </w:r>
          </w:p>
        </w:tc>
        <w:tc>
          <w:tcPr>
            <w:tcW w:type="dxa" w:w="720"/>
            <w:shd w:fill="FFFFFF"/>
            <w:tcMar>
              <w:top w:w="80" w:type="dxa"/>
              <w:bottom w:w="80" w:type="dxa"/>
              <w:left w:w="120" w:type="dxa"/>
              <w:right w:w="120" w:type="dxa"/>
            </w:tcMar>
          </w:tcPr>
          <w:p>
            <w:r>
              <w:rPr>
                <w:rFonts w:ascii="Calibri" w:hAnsi="Calibri"/>
                <w:sz w:val="18"/>
              </w:rPr>
              <w:t>2016</w:t>
            </w:r>
          </w:p>
        </w:tc>
        <w:tc>
          <w:tcPr>
            <w:tcW w:type="dxa" w:w="1728"/>
            <w:shd w:fill="FFFFFF"/>
            <w:tcMar>
              <w:top w:w="80" w:type="dxa"/>
              <w:bottom w:w="80" w:type="dxa"/>
              <w:left w:w="120" w:type="dxa"/>
              <w:right w:w="120" w:type="dxa"/>
            </w:tcMar>
          </w:tcPr>
          <w:p>
            <w:r>
              <w:rPr>
                <w:rFonts w:ascii="Calibri" w:hAnsi="Calibri"/>
                <w:sz w:val="18"/>
              </w:rPr>
              <w:t>LIME Explanations</w:t>
            </w:r>
          </w:p>
        </w:tc>
        <w:tc>
          <w:tcPr>
            <w:tcW w:type="dxa" w:w="1440"/>
            <w:shd w:fill="FFFFFF"/>
            <w:tcMar>
              <w:top w:w="80" w:type="dxa"/>
              <w:bottom w:w="80" w:type="dxa"/>
              <w:left w:w="120" w:type="dxa"/>
              <w:right w:w="120" w:type="dxa"/>
            </w:tcMar>
          </w:tcPr>
          <w:p>
            <w:r>
              <w:rPr>
                <w:rFonts w:ascii="Calibri" w:hAnsi="Calibri"/>
                <w:sz w:val="18"/>
              </w:rPr>
              <w:t>General ML Benchmarks</w:t>
            </w:r>
          </w:p>
        </w:tc>
        <w:tc>
          <w:tcPr>
            <w:tcW w:type="dxa" w:w="2160"/>
            <w:shd w:fill="FFFFFF"/>
            <w:tcMar>
              <w:top w:w="80" w:type="dxa"/>
              <w:bottom w:w="80" w:type="dxa"/>
              <w:left w:w="120" w:type="dxa"/>
              <w:right w:w="120" w:type="dxa"/>
            </w:tcMar>
          </w:tcPr>
          <w:p>
            <w:r>
              <w:rPr>
                <w:rFonts w:ascii="Calibri" w:hAnsi="Calibri"/>
                <w:sz w:val="18"/>
              </w:rPr>
              <w:t>Formulated local surrogate interpretability.</w:t>
            </w:r>
          </w:p>
        </w:tc>
        <w:tc>
          <w:tcPr>
            <w:tcW w:type="dxa" w:w="1872"/>
            <w:shd w:fill="FFFFFF"/>
            <w:tcMar>
              <w:top w:w="80" w:type="dxa"/>
              <w:bottom w:w="80" w:type="dxa"/>
              <w:left w:w="120" w:type="dxa"/>
              <w:right w:w="120" w:type="dxa"/>
            </w:tcMar>
          </w:tcPr>
          <w:p>
            <w:r>
              <w:rPr>
                <w:rFonts w:ascii="Calibri" w:hAnsi="Calibri"/>
                <w:sz w:val="18"/>
              </w:rPr>
              <w:t>Computationally unstable on financial series.</w:t>
            </w:r>
          </w:p>
        </w:tc>
      </w:tr>
      <w:tr>
        <w:tc>
          <w:tcPr>
            <w:tcW w:type="dxa" w:w="1440"/>
            <w:shd w:fill="F4F6F9"/>
            <w:tcMar>
              <w:top w:w="80" w:type="dxa"/>
              <w:bottom w:w="80" w:type="dxa"/>
              <w:left w:w="120" w:type="dxa"/>
              <w:right w:w="120" w:type="dxa"/>
            </w:tcMar>
          </w:tcPr>
          <w:p>
            <w:r>
              <w:rPr>
                <w:rFonts w:ascii="Calibri" w:hAnsi="Calibri"/>
                <w:sz w:val="18"/>
              </w:rPr>
              <w:t>Lundberg &amp; Lee</w:t>
            </w:r>
          </w:p>
        </w:tc>
        <w:tc>
          <w:tcPr>
            <w:tcW w:type="dxa" w:w="720"/>
            <w:shd w:fill="F4F6F9"/>
            <w:tcMar>
              <w:top w:w="80" w:type="dxa"/>
              <w:bottom w:w="80" w:type="dxa"/>
              <w:left w:w="120" w:type="dxa"/>
              <w:right w:w="120" w:type="dxa"/>
            </w:tcMar>
          </w:tcPr>
          <w:p>
            <w:r>
              <w:rPr>
                <w:rFonts w:ascii="Calibri" w:hAnsi="Calibri"/>
                <w:sz w:val="18"/>
              </w:rPr>
              <w:t>2017</w:t>
            </w:r>
          </w:p>
        </w:tc>
        <w:tc>
          <w:tcPr>
            <w:tcW w:type="dxa" w:w="1728"/>
            <w:shd w:fill="F4F6F9"/>
            <w:tcMar>
              <w:top w:w="80" w:type="dxa"/>
              <w:bottom w:w="80" w:type="dxa"/>
              <w:left w:w="120" w:type="dxa"/>
              <w:right w:w="120" w:type="dxa"/>
            </w:tcMar>
          </w:tcPr>
          <w:p>
            <w:r>
              <w:rPr>
                <w:rFonts w:ascii="Calibri" w:hAnsi="Calibri"/>
                <w:sz w:val="18"/>
              </w:rPr>
              <w:t>Shapley Values (SHAP)</w:t>
            </w:r>
          </w:p>
        </w:tc>
        <w:tc>
          <w:tcPr>
            <w:tcW w:type="dxa" w:w="1440"/>
            <w:shd w:fill="F4F6F9"/>
            <w:tcMar>
              <w:top w:w="80" w:type="dxa"/>
              <w:bottom w:w="80" w:type="dxa"/>
              <w:left w:w="120" w:type="dxa"/>
              <w:right w:w="120" w:type="dxa"/>
            </w:tcMar>
          </w:tcPr>
          <w:p>
            <w:r>
              <w:rPr>
                <w:rFonts w:ascii="Calibri" w:hAnsi="Calibri"/>
                <w:sz w:val="18"/>
              </w:rPr>
              <w:t>Tabular Data</w:t>
            </w:r>
          </w:p>
        </w:tc>
        <w:tc>
          <w:tcPr>
            <w:tcW w:type="dxa" w:w="2160"/>
            <w:shd w:fill="F4F6F9"/>
            <w:tcMar>
              <w:top w:w="80" w:type="dxa"/>
              <w:bottom w:w="80" w:type="dxa"/>
              <w:left w:w="120" w:type="dxa"/>
              <w:right w:w="120" w:type="dxa"/>
            </w:tcMar>
          </w:tcPr>
          <w:p>
            <w:r>
              <w:rPr>
                <w:rFonts w:ascii="Calibri" w:hAnsi="Calibri"/>
                <w:sz w:val="18"/>
              </w:rPr>
              <w:t>Unified game-theoretic feature attribution.</w:t>
            </w:r>
          </w:p>
        </w:tc>
        <w:tc>
          <w:tcPr>
            <w:tcW w:type="dxa" w:w="1872"/>
            <w:shd w:fill="F4F6F9"/>
            <w:tcMar>
              <w:top w:w="80" w:type="dxa"/>
              <w:bottom w:w="80" w:type="dxa"/>
              <w:left w:w="120" w:type="dxa"/>
              <w:right w:w="120" w:type="dxa"/>
            </w:tcMar>
          </w:tcPr>
          <w:p>
            <w:r>
              <w:rPr>
                <w:rFonts w:ascii="Calibri" w:hAnsi="Calibri"/>
                <w:sz w:val="18"/>
              </w:rPr>
              <w:t>Computationally demanding; static snapshots.</w:t>
            </w:r>
          </w:p>
        </w:tc>
      </w:tr>
      <w:tr>
        <w:tc>
          <w:tcPr>
            <w:tcW w:type="dxa" w:w="1440"/>
            <w:shd w:fill="FFFFFF"/>
            <w:tcMar>
              <w:top w:w="80" w:type="dxa"/>
              <w:bottom w:w="80" w:type="dxa"/>
              <w:left w:w="120" w:type="dxa"/>
              <w:right w:w="120" w:type="dxa"/>
            </w:tcMar>
          </w:tcPr>
          <w:p>
            <w:r>
              <w:rPr>
                <w:rFonts w:ascii="Calibri" w:hAnsi="Calibri"/>
                <w:sz w:val="18"/>
              </w:rPr>
              <w:t>Biais et al.</w:t>
            </w:r>
          </w:p>
        </w:tc>
        <w:tc>
          <w:tcPr>
            <w:tcW w:type="dxa" w:w="720"/>
            <w:shd w:fill="FFFFFF"/>
            <w:tcMar>
              <w:top w:w="80" w:type="dxa"/>
              <w:bottom w:w="80" w:type="dxa"/>
              <w:left w:w="120" w:type="dxa"/>
              <w:right w:w="120" w:type="dxa"/>
            </w:tcMar>
          </w:tcPr>
          <w:p>
            <w:r>
              <w:rPr>
                <w:rFonts w:ascii="Calibri" w:hAnsi="Calibri"/>
                <w:sz w:val="18"/>
              </w:rPr>
              <w:t>1995</w:t>
            </w:r>
          </w:p>
        </w:tc>
        <w:tc>
          <w:tcPr>
            <w:tcW w:type="dxa" w:w="1728"/>
            <w:shd w:fill="FFFFFF"/>
            <w:tcMar>
              <w:top w:w="80" w:type="dxa"/>
              <w:bottom w:w="80" w:type="dxa"/>
              <w:left w:w="120" w:type="dxa"/>
              <w:right w:w="120" w:type="dxa"/>
            </w:tcMar>
          </w:tcPr>
          <w:p>
            <w:r>
              <w:rPr>
                <w:rFonts w:ascii="Calibri" w:hAnsi="Calibri"/>
                <w:sz w:val="18"/>
              </w:rPr>
              <w:t>Empirical Order Book Flow</w:t>
            </w:r>
          </w:p>
        </w:tc>
        <w:tc>
          <w:tcPr>
            <w:tcW w:type="dxa" w:w="1440"/>
            <w:shd w:fill="FFFFFF"/>
            <w:tcMar>
              <w:top w:w="80" w:type="dxa"/>
              <w:bottom w:w="80" w:type="dxa"/>
              <w:left w:w="120" w:type="dxa"/>
              <w:right w:w="120" w:type="dxa"/>
            </w:tcMar>
          </w:tcPr>
          <w:p>
            <w:r>
              <w:rPr>
                <w:rFonts w:ascii="Calibri" w:hAnsi="Calibri"/>
                <w:sz w:val="18"/>
              </w:rPr>
              <w:t>Paris Bourse</w:t>
            </w:r>
          </w:p>
        </w:tc>
        <w:tc>
          <w:tcPr>
            <w:tcW w:type="dxa" w:w="2160"/>
            <w:shd w:fill="FFFFFF"/>
            <w:tcMar>
              <w:top w:w="80" w:type="dxa"/>
              <w:bottom w:w="80" w:type="dxa"/>
              <w:left w:w="120" w:type="dxa"/>
              <w:right w:w="120" w:type="dxa"/>
            </w:tcMar>
          </w:tcPr>
          <w:p>
            <w:r>
              <w:rPr>
                <w:rFonts w:ascii="Calibri" w:hAnsi="Calibri"/>
                <w:sz w:val="18"/>
              </w:rPr>
              <w:t>Analyzed order book dynamics and flow.</w:t>
            </w:r>
          </w:p>
        </w:tc>
        <w:tc>
          <w:tcPr>
            <w:tcW w:type="dxa" w:w="1872"/>
            <w:shd w:fill="FFFFFF"/>
            <w:tcMar>
              <w:top w:w="80" w:type="dxa"/>
              <w:bottom w:w="80" w:type="dxa"/>
              <w:left w:w="120" w:type="dxa"/>
              <w:right w:w="120" w:type="dxa"/>
            </w:tcMar>
          </w:tcPr>
          <w:p>
            <w:r>
              <w:rPr>
                <w:rFonts w:ascii="Calibri" w:hAnsi="Calibri"/>
                <w:sz w:val="18"/>
              </w:rPr>
              <w:t>Pre-dates modern algorithmic execution.</w:t>
            </w:r>
          </w:p>
        </w:tc>
      </w:tr>
      <w:tr>
        <w:tc>
          <w:tcPr>
            <w:tcW w:type="dxa" w:w="1440"/>
            <w:shd w:fill="F4F6F9"/>
            <w:tcMar>
              <w:top w:w="80" w:type="dxa"/>
              <w:bottom w:w="80" w:type="dxa"/>
              <w:left w:w="120" w:type="dxa"/>
              <w:right w:w="120" w:type="dxa"/>
            </w:tcMar>
          </w:tcPr>
          <w:p>
            <w:r>
              <w:rPr>
                <w:rFonts w:ascii="Calibri" w:hAnsi="Calibri"/>
                <w:sz w:val="18"/>
              </w:rPr>
              <w:t>O'Hara, M.</w:t>
            </w:r>
          </w:p>
        </w:tc>
        <w:tc>
          <w:tcPr>
            <w:tcW w:type="dxa" w:w="720"/>
            <w:shd w:fill="F4F6F9"/>
            <w:tcMar>
              <w:top w:w="80" w:type="dxa"/>
              <w:bottom w:w="80" w:type="dxa"/>
              <w:left w:w="120" w:type="dxa"/>
              <w:right w:w="120" w:type="dxa"/>
            </w:tcMar>
          </w:tcPr>
          <w:p>
            <w:r>
              <w:rPr>
                <w:rFonts w:ascii="Calibri" w:hAnsi="Calibri"/>
                <w:sz w:val="18"/>
              </w:rPr>
              <w:t>2015</w:t>
            </w:r>
          </w:p>
        </w:tc>
        <w:tc>
          <w:tcPr>
            <w:tcW w:type="dxa" w:w="1728"/>
            <w:shd w:fill="F4F6F9"/>
            <w:tcMar>
              <w:top w:w="80" w:type="dxa"/>
              <w:bottom w:w="80" w:type="dxa"/>
              <w:left w:w="120" w:type="dxa"/>
              <w:right w:w="120" w:type="dxa"/>
            </w:tcMar>
          </w:tcPr>
          <w:p>
            <w:r>
              <w:rPr>
                <w:rFonts w:ascii="Calibri" w:hAnsi="Calibri"/>
                <w:sz w:val="18"/>
              </w:rPr>
              <w:t>Microstructure Survey</w:t>
            </w:r>
          </w:p>
        </w:tc>
        <w:tc>
          <w:tcPr>
            <w:tcW w:type="dxa" w:w="1440"/>
            <w:shd w:fill="F4F6F9"/>
            <w:tcMar>
              <w:top w:w="80" w:type="dxa"/>
              <w:bottom w:w="80" w:type="dxa"/>
              <w:left w:w="120" w:type="dxa"/>
              <w:right w:w="120" w:type="dxa"/>
            </w:tcMar>
          </w:tcPr>
          <w:p>
            <w:r>
              <w:rPr>
                <w:rFonts w:ascii="Calibri" w:hAnsi="Calibri"/>
                <w:sz w:val="18"/>
              </w:rPr>
              <w:t>Modern HFT Regimes</w:t>
            </w:r>
          </w:p>
        </w:tc>
        <w:tc>
          <w:tcPr>
            <w:tcW w:type="dxa" w:w="2160"/>
            <w:shd w:fill="F4F6F9"/>
            <w:tcMar>
              <w:top w:w="80" w:type="dxa"/>
              <w:bottom w:w="80" w:type="dxa"/>
              <w:left w:w="120" w:type="dxa"/>
              <w:right w:w="120" w:type="dxa"/>
            </w:tcMar>
          </w:tcPr>
          <w:p>
            <w:r>
              <w:rPr>
                <w:rFonts w:ascii="Calibri" w:hAnsi="Calibri"/>
                <w:sz w:val="18"/>
              </w:rPr>
              <w:t>Explored algorithmic shifts in liquidity.</w:t>
            </w:r>
          </w:p>
        </w:tc>
        <w:tc>
          <w:tcPr>
            <w:tcW w:type="dxa" w:w="1872"/>
            <w:shd w:fill="F4F6F9"/>
            <w:tcMar>
              <w:top w:w="80" w:type="dxa"/>
              <w:bottom w:w="80" w:type="dxa"/>
              <w:left w:w="120" w:type="dxa"/>
              <w:right w:w="120" w:type="dxa"/>
            </w:tcMar>
          </w:tcPr>
          <w:p>
            <w:r>
              <w:rPr>
                <w:rFonts w:ascii="Calibri" w:hAnsi="Calibri"/>
                <w:sz w:val="18"/>
              </w:rPr>
              <w:t>Review paper; no algorithmic code provided.</w:t>
            </w:r>
          </w:p>
        </w:tc>
      </w:tr>
      <w:tr>
        <w:tc>
          <w:tcPr>
            <w:tcW w:type="dxa" w:w="1440"/>
            <w:shd w:fill="FFFFFF"/>
            <w:tcMar>
              <w:top w:w="80" w:type="dxa"/>
              <w:bottom w:w="80" w:type="dxa"/>
              <w:left w:w="120" w:type="dxa"/>
              <w:right w:w="120" w:type="dxa"/>
            </w:tcMar>
          </w:tcPr>
          <w:p>
            <w:r>
              <w:rPr>
                <w:rFonts w:ascii="Calibri" w:hAnsi="Calibri"/>
                <w:sz w:val="18"/>
              </w:rPr>
              <w:t>Amini et al.</w:t>
            </w:r>
          </w:p>
        </w:tc>
        <w:tc>
          <w:tcPr>
            <w:tcW w:type="dxa" w:w="720"/>
            <w:shd w:fill="FFFFFF"/>
            <w:tcMar>
              <w:top w:w="80" w:type="dxa"/>
              <w:bottom w:w="80" w:type="dxa"/>
              <w:left w:w="120" w:type="dxa"/>
              <w:right w:w="120" w:type="dxa"/>
            </w:tcMar>
          </w:tcPr>
          <w:p>
            <w:r>
              <w:rPr>
                <w:rFonts w:ascii="Calibri" w:hAnsi="Calibri"/>
                <w:sz w:val="18"/>
              </w:rPr>
              <w:t>2020</w:t>
            </w:r>
          </w:p>
        </w:tc>
        <w:tc>
          <w:tcPr>
            <w:tcW w:type="dxa" w:w="1728"/>
            <w:shd w:fill="FFFFFF"/>
            <w:tcMar>
              <w:top w:w="80" w:type="dxa"/>
              <w:bottom w:w="80" w:type="dxa"/>
              <w:left w:w="120" w:type="dxa"/>
              <w:right w:w="120" w:type="dxa"/>
            </w:tcMar>
          </w:tcPr>
          <w:p>
            <w:r>
              <w:rPr>
                <w:rFonts w:ascii="Calibri" w:hAnsi="Calibri"/>
                <w:sz w:val="18"/>
              </w:rPr>
              <w:t>Machine Learning Finance</w:t>
            </w:r>
          </w:p>
        </w:tc>
        <w:tc>
          <w:tcPr>
            <w:tcW w:type="dxa" w:w="1440"/>
            <w:shd w:fill="FFFFFF"/>
            <w:tcMar>
              <w:top w:w="80" w:type="dxa"/>
              <w:bottom w:w="80" w:type="dxa"/>
              <w:left w:w="120" w:type="dxa"/>
              <w:right w:w="120" w:type="dxa"/>
            </w:tcMar>
          </w:tcPr>
          <w:p>
            <w:r>
              <w:rPr>
                <w:rFonts w:ascii="Calibri" w:hAnsi="Calibri"/>
                <w:sz w:val="18"/>
              </w:rPr>
              <w:t>Multi-Asset Panel</w:t>
            </w:r>
          </w:p>
        </w:tc>
        <w:tc>
          <w:tcPr>
            <w:tcW w:type="dxa" w:w="2160"/>
            <w:shd w:fill="FFFFFF"/>
            <w:tcMar>
              <w:top w:w="80" w:type="dxa"/>
              <w:bottom w:w="80" w:type="dxa"/>
              <w:left w:w="120" w:type="dxa"/>
              <w:right w:w="120" w:type="dxa"/>
            </w:tcMar>
          </w:tcPr>
          <w:p>
            <w:r>
              <w:rPr>
                <w:rFonts w:ascii="Calibri" w:hAnsi="Calibri"/>
                <w:sz w:val="18"/>
              </w:rPr>
              <w:t>Evaluated tree ensembles in market analysis.</w:t>
            </w:r>
          </w:p>
        </w:tc>
        <w:tc>
          <w:tcPr>
            <w:tcW w:type="dxa" w:w="1872"/>
            <w:shd w:fill="FFFFFF"/>
            <w:tcMar>
              <w:top w:w="80" w:type="dxa"/>
              <w:bottom w:w="80" w:type="dxa"/>
              <w:left w:w="120" w:type="dxa"/>
              <w:right w:w="120" w:type="dxa"/>
            </w:tcMar>
          </w:tcPr>
          <w:p>
            <w:r>
              <w:rPr>
                <w:rFonts w:ascii="Calibri" w:hAnsi="Calibri"/>
                <w:sz w:val="18"/>
              </w:rPr>
              <w:t>Decoupled from continuous auction theory.</w:t>
            </w:r>
          </w:p>
        </w:tc>
      </w:tr>
      <w:tr>
        <w:tc>
          <w:tcPr>
            <w:tcW w:type="dxa" w:w="1440"/>
            <w:shd w:fill="F4F6F9"/>
            <w:tcMar>
              <w:top w:w="80" w:type="dxa"/>
              <w:bottom w:w="80" w:type="dxa"/>
              <w:left w:w="120" w:type="dxa"/>
              <w:right w:w="120" w:type="dxa"/>
            </w:tcMar>
          </w:tcPr>
          <w:p>
            <w:r>
              <w:rPr>
                <w:rFonts w:ascii="Calibri" w:hAnsi="Calibri"/>
                <w:sz w:val="18"/>
              </w:rPr>
              <w:t>Mandelbrot, B.</w:t>
            </w:r>
          </w:p>
        </w:tc>
        <w:tc>
          <w:tcPr>
            <w:tcW w:type="dxa" w:w="720"/>
            <w:shd w:fill="F4F6F9"/>
            <w:tcMar>
              <w:top w:w="80" w:type="dxa"/>
              <w:bottom w:w="80" w:type="dxa"/>
              <w:left w:w="120" w:type="dxa"/>
              <w:right w:w="120" w:type="dxa"/>
            </w:tcMar>
          </w:tcPr>
          <w:p>
            <w:r>
              <w:rPr>
                <w:rFonts w:ascii="Calibri" w:hAnsi="Calibri"/>
                <w:sz w:val="18"/>
              </w:rPr>
              <w:t>1963</w:t>
            </w:r>
          </w:p>
        </w:tc>
        <w:tc>
          <w:tcPr>
            <w:tcW w:type="dxa" w:w="1728"/>
            <w:shd w:fill="F4F6F9"/>
            <w:tcMar>
              <w:top w:w="80" w:type="dxa"/>
              <w:bottom w:w="80" w:type="dxa"/>
              <w:left w:w="120" w:type="dxa"/>
              <w:right w:w="120" w:type="dxa"/>
            </w:tcMar>
          </w:tcPr>
          <w:p>
            <w:r>
              <w:rPr>
                <w:rFonts w:ascii="Calibri" w:hAnsi="Calibri"/>
                <w:sz w:val="18"/>
              </w:rPr>
              <w:t>Fractal Statistics</w:t>
            </w:r>
          </w:p>
        </w:tc>
        <w:tc>
          <w:tcPr>
            <w:tcW w:type="dxa" w:w="1440"/>
            <w:shd w:fill="F4F6F9"/>
            <w:tcMar>
              <w:top w:w="80" w:type="dxa"/>
              <w:bottom w:w="80" w:type="dxa"/>
              <w:left w:w="120" w:type="dxa"/>
              <w:right w:w="120" w:type="dxa"/>
            </w:tcMar>
          </w:tcPr>
          <w:p>
            <w:r>
              <w:rPr>
                <w:rFonts w:ascii="Calibri" w:hAnsi="Calibri"/>
                <w:sz w:val="18"/>
              </w:rPr>
              <w:t>Cotton Commodity Ticks</w:t>
            </w:r>
          </w:p>
        </w:tc>
        <w:tc>
          <w:tcPr>
            <w:tcW w:type="dxa" w:w="2160"/>
            <w:shd w:fill="F4F6F9"/>
            <w:tcMar>
              <w:top w:w="80" w:type="dxa"/>
              <w:bottom w:w="80" w:type="dxa"/>
              <w:left w:w="120" w:type="dxa"/>
              <w:right w:w="120" w:type="dxa"/>
            </w:tcMar>
          </w:tcPr>
          <w:p>
            <w:r>
              <w:rPr>
                <w:rFonts w:ascii="Calibri" w:hAnsi="Calibri"/>
                <w:sz w:val="18"/>
              </w:rPr>
              <w:t>Identified infinite variance in returns.</w:t>
            </w:r>
          </w:p>
        </w:tc>
        <w:tc>
          <w:tcPr>
            <w:tcW w:type="dxa" w:w="1872"/>
            <w:shd w:fill="F4F6F9"/>
            <w:tcMar>
              <w:top w:w="80" w:type="dxa"/>
              <w:bottom w:w="80" w:type="dxa"/>
              <w:left w:w="120" w:type="dxa"/>
              <w:right w:w="120" w:type="dxa"/>
            </w:tcMar>
          </w:tcPr>
          <w:p>
            <w:r>
              <w:rPr>
                <w:rFonts w:ascii="Calibri" w:hAnsi="Calibri"/>
                <w:sz w:val="18"/>
              </w:rPr>
              <w:t>Purely descriptive mathematical analysis.</w:t>
            </w:r>
          </w:p>
        </w:tc>
      </w:tr>
      <w:tr>
        <w:tc>
          <w:tcPr>
            <w:tcW w:type="dxa" w:w="1440"/>
            <w:shd w:fill="FFFFFF"/>
            <w:tcMar>
              <w:top w:w="80" w:type="dxa"/>
              <w:bottom w:w="80" w:type="dxa"/>
              <w:left w:w="120" w:type="dxa"/>
              <w:right w:w="120" w:type="dxa"/>
            </w:tcMar>
          </w:tcPr>
          <w:p>
            <w:r>
              <w:rPr>
                <w:rFonts w:ascii="Calibri" w:hAnsi="Calibri"/>
                <w:sz w:val="18"/>
              </w:rPr>
              <w:t>Zhang et al.</w:t>
            </w:r>
          </w:p>
        </w:tc>
        <w:tc>
          <w:tcPr>
            <w:tcW w:type="dxa" w:w="720"/>
            <w:shd w:fill="FFFFFF"/>
            <w:tcMar>
              <w:top w:w="80" w:type="dxa"/>
              <w:bottom w:w="80" w:type="dxa"/>
              <w:left w:w="120" w:type="dxa"/>
              <w:right w:w="120" w:type="dxa"/>
            </w:tcMar>
          </w:tcPr>
          <w:p>
            <w:r>
              <w:rPr>
                <w:rFonts w:ascii="Calibri" w:hAnsi="Calibri"/>
                <w:sz w:val="18"/>
              </w:rPr>
              <w:t>2005</w:t>
            </w:r>
          </w:p>
        </w:tc>
        <w:tc>
          <w:tcPr>
            <w:tcW w:type="dxa" w:w="1728"/>
            <w:shd w:fill="FFFFFF"/>
            <w:tcMar>
              <w:top w:w="80" w:type="dxa"/>
              <w:bottom w:w="80" w:type="dxa"/>
              <w:left w:w="120" w:type="dxa"/>
              <w:right w:w="120" w:type="dxa"/>
            </w:tcMar>
          </w:tcPr>
          <w:p>
            <w:r>
              <w:rPr>
                <w:rFonts w:ascii="Calibri" w:hAnsi="Calibri"/>
                <w:sz w:val="18"/>
              </w:rPr>
              <w:t>Two Scales Volatility</w:t>
            </w:r>
          </w:p>
        </w:tc>
        <w:tc>
          <w:tcPr>
            <w:tcW w:type="dxa" w:w="1440"/>
            <w:shd w:fill="FFFFFF"/>
            <w:tcMar>
              <w:top w:w="80" w:type="dxa"/>
              <w:bottom w:w="80" w:type="dxa"/>
              <w:left w:w="120" w:type="dxa"/>
              <w:right w:w="120" w:type="dxa"/>
            </w:tcMar>
          </w:tcPr>
          <w:p>
            <w:r>
              <w:rPr>
                <w:rFonts w:ascii="Calibri" w:hAnsi="Calibri"/>
                <w:sz w:val="18"/>
              </w:rPr>
              <w:t>High-Frequency Data</w:t>
            </w:r>
          </w:p>
        </w:tc>
        <w:tc>
          <w:tcPr>
            <w:tcW w:type="dxa" w:w="2160"/>
            <w:shd w:fill="FFFFFF"/>
            <w:tcMar>
              <w:top w:w="80" w:type="dxa"/>
              <w:bottom w:w="80" w:type="dxa"/>
              <w:left w:w="120" w:type="dxa"/>
              <w:right w:w="120" w:type="dxa"/>
            </w:tcMar>
          </w:tcPr>
          <w:p>
            <w:r>
              <w:rPr>
                <w:rFonts w:ascii="Calibri" w:hAnsi="Calibri"/>
                <w:sz w:val="18"/>
              </w:rPr>
              <w:t>Engineered microstructural noise estimators.</w:t>
            </w:r>
          </w:p>
        </w:tc>
        <w:tc>
          <w:tcPr>
            <w:tcW w:type="dxa" w:w="1872"/>
            <w:shd w:fill="FFFFFF"/>
            <w:tcMar>
              <w:top w:w="80" w:type="dxa"/>
              <w:bottom w:w="80" w:type="dxa"/>
              <w:left w:w="120" w:type="dxa"/>
              <w:right w:w="120" w:type="dxa"/>
            </w:tcMar>
          </w:tcPr>
          <w:p>
            <w:r>
              <w:rPr>
                <w:rFonts w:ascii="Calibri" w:hAnsi="Calibri"/>
                <w:sz w:val="18"/>
              </w:rPr>
              <w:t>Focused only on volatility modeling.</w:t>
            </w:r>
          </w:p>
        </w:tc>
      </w:tr>
      <w:tr>
        <w:tc>
          <w:tcPr>
            <w:tcW w:type="dxa" w:w="1440"/>
            <w:shd w:fill="F4F6F9"/>
            <w:tcMar>
              <w:top w:w="80" w:type="dxa"/>
              <w:bottom w:w="80" w:type="dxa"/>
              <w:left w:w="120" w:type="dxa"/>
              <w:right w:w="120" w:type="dxa"/>
            </w:tcMar>
          </w:tcPr>
          <w:p>
            <w:r>
              <w:rPr>
                <w:rFonts w:ascii="Calibri" w:hAnsi="Calibri"/>
                <w:sz w:val="18"/>
              </w:rPr>
              <w:t>Zheng et al.</w:t>
            </w:r>
          </w:p>
        </w:tc>
        <w:tc>
          <w:tcPr>
            <w:tcW w:type="dxa" w:w="720"/>
            <w:shd w:fill="F4F6F9"/>
            <w:tcMar>
              <w:top w:w="80" w:type="dxa"/>
              <w:bottom w:w="80" w:type="dxa"/>
              <w:left w:w="120" w:type="dxa"/>
              <w:right w:w="120" w:type="dxa"/>
            </w:tcMar>
          </w:tcPr>
          <w:p>
            <w:r>
              <w:rPr>
                <w:rFonts w:ascii="Calibri" w:hAnsi="Calibri"/>
                <w:sz w:val="18"/>
              </w:rPr>
              <w:t>2014</w:t>
            </w:r>
          </w:p>
        </w:tc>
        <w:tc>
          <w:tcPr>
            <w:tcW w:type="dxa" w:w="1728"/>
            <w:shd w:fill="F4F6F9"/>
            <w:tcMar>
              <w:top w:w="80" w:type="dxa"/>
              <w:bottom w:w="80" w:type="dxa"/>
              <w:left w:w="120" w:type="dxa"/>
              <w:right w:w="120" w:type="dxa"/>
            </w:tcMar>
          </w:tcPr>
          <w:p>
            <w:r>
              <w:rPr>
                <w:rFonts w:ascii="Calibri" w:hAnsi="Calibri"/>
                <w:sz w:val="18"/>
              </w:rPr>
              <w:t>Price Impact Physics</w:t>
            </w:r>
          </w:p>
        </w:tc>
        <w:tc>
          <w:tcPr>
            <w:tcW w:type="dxa" w:w="1440"/>
            <w:shd w:fill="F4F6F9"/>
            <w:tcMar>
              <w:top w:w="80" w:type="dxa"/>
              <w:bottom w:w="80" w:type="dxa"/>
              <w:left w:w="120" w:type="dxa"/>
              <w:right w:w="120" w:type="dxa"/>
            </w:tcMar>
          </w:tcPr>
          <w:p>
            <w:r>
              <w:rPr>
                <w:rFonts w:ascii="Calibri" w:hAnsi="Calibri"/>
                <w:sz w:val="18"/>
              </w:rPr>
              <w:t>European Equities</w:t>
            </w:r>
          </w:p>
        </w:tc>
        <w:tc>
          <w:tcPr>
            <w:tcW w:type="dxa" w:w="2160"/>
            <w:shd w:fill="F4F6F9"/>
            <w:tcMar>
              <w:top w:w="80" w:type="dxa"/>
              <w:bottom w:w="80" w:type="dxa"/>
              <w:left w:w="120" w:type="dxa"/>
              <w:right w:w="120" w:type="dxa"/>
            </w:tcMar>
          </w:tcPr>
          <w:p>
            <w:r>
              <w:rPr>
                <w:rFonts w:ascii="Calibri" w:hAnsi="Calibri"/>
                <w:sz w:val="18"/>
              </w:rPr>
              <w:t>Demonstrated asymmetric liquidity decay.</w:t>
            </w:r>
          </w:p>
        </w:tc>
        <w:tc>
          <w:tcPr>
            <w:tcW w:type="dxa" w:w="1872"/>
            <w:shd w:fill="F4F6F9"/>
            <w:tcMar>
              <w:top w:w="80" w:type="dxa"/>
              <w:bottom w:w="80" w:type="dxa"/>
              <w:left w:w="120" w:type="dxa"/>
              <w:right w:w="120" w:type="dxa"/>
            </w:tcMar>
          </w:tcPr>
          <w:p>
            <w:r>
              <w:rPr>
                <w:rFonts w:ascii="Calibri" w:hAnsi="Calibri"/>
                <w:sz w:val="18"/>
              </w:rPr>
              <w:t>Micro-level order flow without macro profiles.</w:t>
            </w:r>
          </w:p>
        </w:tc>
      </w:tr>
    </w:tbl>
    <w:p>
      <w:pPr>
        <w:spacing w:after="120"/>
      </w:pPr>
    </w:p>
    <w:p>
      <w:pPr>
        <w:pStyle w:val="Heading2"/>
        <w:spacing w:before="200" w:after="80"/>
      </w:pPr>
      <w:r>
        <w:rPr>
          <w:b/>
          <w:color w:val="1E508C"/>
          <w:sz w:val="26"/>
        </w:rPr>
        <w:t>6. Methodology &amp; Implementation Design</w:t>
      </w:r>
    </w:p>
    <w:p>
      <w:pPr>
        <w:spacing w:after="80" w:line="276" w:lineRule="auto"/>
      </w:pPr>
      <w:r>
        <w:rPr>
          <w:rFonts w:ascii="Calibri" w:hAnsi="Calibri"/>
          <w:i w:val="0"/>
          <w:sz w:val="21"/>
        </w:rPr>
        <w:t>The methodology combines econometric modeling, machine learning, and explainable computational linguistics into an end-to-end pipeline:</w:t>
        <w:br/>
        <w:t>• Sampling &amp; Universe: Census sample of all trading sessions of NIFTY 50 Index Futures on the NSE (2021-2025; ~465,000 one-minute bars).</w:t>
        <w:br/>
        <w:t>• Feature Transformations: Dynamic VPOC, Value Area High/Low, Initial Balance Extension Ratio (IBER), DDAI, and TPAM.</w:t>
        <w:br/>
        <w:t>• AI Framework: Gaussian Mixture Models (GMM) with Expectation-Maximization for regime clustering, combined with a domain-specific deterministic NLP parser.</w:t>
        <w:br/>
        <w:t>• Statistical Audit: Descriptive statistics, Pearson correlation, Student's t-test, Chi-square goodness-of-fit, and ANOVA across regime clusters.</w:t>
      </w:r>
    </w:p>
    <w:p>
      <w:pPr>
        <w:pStyle w:val="Heading2"/>
        <w:spacing w:before="200" w:after="80"/>
      </w:pPr>
      <w:r>
        <w:rPr>
          <w:b/>
          <w:color w:val="1E508C"/>
          <w:sz w:val="26"/>
        </w:rPr>
        <w:t>7. Project Timeline &amp; Budget</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003366"/>
            <w:tcMar>
              <w:top w:w="120" w:type="dxa"/>
              <w:bottom w:w="120" w:type="dxa"/>
              <w:left w:w="150" w:type="dxa"/>
              <w:right w:w="150" w:type="dxa"/>
            </w:tcMar>
          </w:tcPr>
          <w:p>
            <w:pPr>
              <w:jc w:val="center"/>
            </w:pPr>
            <w:r>
              <w:rPr>
                <w:b/>
                <w:color w:val="FFFFFF"/>
                <w:sz w:val="19"/>
              </w:rPr>
              <w:t>Week</w:t>
            </w:r>
          </w:p>
        </w:tc>
        <w:tc>
          <w:tcPr>
            <w:tcW w:type="dxa" w:w="3600"/>
            <w:shd w:fill="003366"/>
            <w:tcMar>
              <w:top w:w="120" w:type="dxa"/>
              <w:bottom w:w="120" w:type="dxa"/>
              <w:left w:w="150" w:type="dxa"/>
              <w:right w:w="150" w:type="dxa"/>
            </w:tcMar>
          </w:tcPr>
          <w:p>
            <w:pPr>
              <w:jc w:val="center"/>
            </w:pPr>
            <w:r>
              <w:rPr>
                <w:b/>
                <w:color w:val="FFFFFF"/>
                <w:sz w:val="19"/>
              </w:rPr>
              <w:t>Milestone</w:t>
            </w:r>
          </w:p>
        </w:tc>
        <w:tc>
          <w:tcPr>
            <w:tcW w:type="dxa" w:w="4320"/>
            <w:shd w:fill="003366"/>
            <w:tcMar>
              <w:top w:w="120" w:type="dxa"/>
              <w:bottom w:w="120" w:type="dxa"/>
              <w:left w:w="150" w:type="dxa"/>
              <w:right w:w="150" w:type="dxa"/>
            </w:tcMar>
          </w:tcPr>
          <w:p>
            <w:pPr>
              <w:jc w:val="center"/>
            </w:pPr>
            <w:r>
              <w:rPr>
                <w:b/>
                <w:color w:val="FFFFFF"/>
                <w:sz w:val="19"/>
              </w:rPr>
              <w:t>Deliverable</w:t>
            </w:r>
          </w:p>
        </w:tc>
      </w:tr>
      <w:tr>
        <w:tc>
          <w:tcPr>
            <w:tcW w:type="dxa" w:w="1440"/>
            <w:shd w:fill="FFFFFF"/>
            <w:tcMar>
              <w:top w:w="80" w:type="dxa"/>
              <w:bottom w:w="80" w:type="dxa"/>
              <w:left w:w="120" w:type="dxa"/>
              <w:right w:w="120" w:type="dxa"/>
            </w:tcMar>
          </w:tcPr>
          <w:p>
            <w:r>
              <w:rPr>
                <w:rFonts w:ascii="Calibri" w:hAnsi="Calibri"/>
                <w:sz w:val="18"/>
              </w:rPr>
              <w:t>W01-W02</w:t>
            </w:r>
          </w:p>
        </w:tc>
        <w:tc>
          <w:tcPr>
            <w:tcW w:type="dxa" w:w="3600"/>
            <w:shd w:fill="FFFFFF"/>
            <w:tcMar>
              <w:top w:w="80" w:type="dxa"/>
              <w:bottom w:w="80" w:type="dxa"/>
              <w:left w:w="120" w:type="dxa"/>
              <w:right w:w="120" w:type="dxa"/>
            </w:tcMar>
          </w:tcPr>
          <w:p>
            <w:r>
              <w:rPr>
                <w:rFonts w:ascii="Calibri" w:hAnsi="Calibri"/>
                <w:sz w:val="18"/>
              </w:rPr>
              <w:t>Theoretical Formalization &amp; Pipeline Setup</w:t>
            </w:r>
          </w:p>
        </w:tc>
        <w:tc>
          <w:tcPr>
            <w:tcW w:type="dxa" w:w="4320"/>
            <w:shd w:fill="FFFFFF"/>
            <w:tcMar>
              <w:top w:w="80" w:type="dxa"/>
              <w:bottom w:w="80" w:type="dxa"/>
              <w:left w:w="120" w:type="dxa"/>
              <w:right w:w="120" w:type="dxa"/>
            </w:tcMar>
          </w:tcPr>
          <w:p>
            <w:r>
              <w:rPr>
                <w:rFonts w:ascii="Calibri" w:hAnsi="Calibri"/>
                <w:sz w:val="18"/>
              </w:rPr>
              <w:t>Mathematical Architecture &amp; Ingestion Code</w:t>
            </w:r>
          </w:p>
        </w:tc>
      </w:tr>
      <w:tr>
        <w:tc>
          <w:tcPr>
            <w:tcW w:type="dxa" w:w="1440"/>
            <w:shd w:fill="F4F6F9"/>
            <w:tcMar>
              <w:top w:w="80" w:type="dxa"/>
              <w:bottom w:w="80" w:type="dxa"/>
              <w:left w:w="120" w:type="dxa"/>
              <w:right w:w="120" w:type="dxa"/>
            </w:tcMar>
          </w:tcPr>
          <w:p>
            <w:r>
              <w:rPr>
                <w:rFonts w:ascii="Calibri" w:hAnsi="Calibri"/>
                <w:sz w:val="18"/>
              </w:rPr>
              <w:t>W03-W04</w:t>
            </w:r>
          </w:p>
        </w:tc>
        <w:tc>
          <w:tcPr>
            <w:tcW w:type="dxa" w:w="3600"/>
            <w:shd w:fill="F4F6F9"/>
            <w:tcMar>
              <w:top w:w="80" w:type="dxa"/>
              <w:bottom w:w="80" w:type="dxa"/>
              <w:left w:w="120" w:type="dxa"/>
              <w:right w:w="120" w:type="dxa"/>
            </w:tcMar>
          </w:tcPr>
          <w:p>
            <w:r>
              <w:rPr>
                <w:rFonts w:ascii="Calibri" w:hAnsi="Calibri"/>
                <w:sz w:val="18"/>
              </w:rPr>
              <w:t>Data Cleaning &amp; Value Area Numerical Solvers</w:t>
            </w:r>
          </w:p>
        </w:tc>
        <w:tc>
          <w:tcPr>
            <w:tcW w:type="dxa" w:w="4320"/>
            <w:shd w:fill="F4F6F9"/>
            <w:tcMar>
              <w:top w:w="80" w:type="dxa"/>
              <w:bottom w:w="80" w:type="dxa"/>
              <w:left w:w="120" w:type="dxa"/>
              <w:right w:w="120" w:type="dxa"/>
            </w:tcMar>
          </w:tcPr>
          <w:p>
            <w:r>
              <w:rPr>
                <w:rFonts w:ascii="Calibri" w:hAnsi="Calibri"/>
                <w:sz w:val="18"/>
              </w:rPr>
              <w:t>Sanitized Parquet Files &amp; Profile Engine</w:t>
            </w:r>
          </w:p>
        </w:tc>
      </w:tr>
      <w:tr>
        <w:tc>
          <w:tcPr>
            <w:tcW w:type="dxa" w:w="1440"/>
            <w:shd w:fill="FFFFFF"/>
            <w:tcMar>
              <w:top w:w="80" w:type="dxa"/>
              <w:bottom w:w="80" w:type="dxa"/>
              <w:left w:w="120" w:type="dxa"/>
              <w:right w:w="120" w:type="dxa"/>
            </w:tcMar>
          </w:tcPr>
          <w:p>
            <w:r>
              <w:rPr>
                <w:rFonts w:ascii="Calibri" w:hAnsi="Calibri"/>
                <w:sz w:val="18"/>
              </w:rPr>
              <w:t>W05-W06</w:t>
            </w:r>
          </w:p>
        </w:tc>
        <w:tc>
          <w:tcPr>
            <w:tcW w:type="dxa" w:w="3600"/>
            <w:shd w:fill="FFFFFF"/>
            <w:tcMar>
              <w:top w:w="80" w:type="dxa"/>
              <w:bottom w:w="80" w:type="dxa"/>
              <w:left w:w="120" w:type="dxa"/>
              <w:right w:w="120" w:type="dxa"/>
            </w:tcMar>
          </w:tcPr>
          <w:p>
            <w:r>
              <w:rPr>
                <w:rFonts w:ascii="Calibri" w:hAnsi="Calibri"/>
                <w:sz w:val="18"/>
              </w:rPr>
              <w:t>DDAI/TPAM Metrics &amp; Exploratory Data Analysis</w:t>
            </w:r>
          </w:p>
        </w:tc>
        <w:tc>
          <w:tcPr>
            <w:tcW w:type="dxa" w:w="4320"/>
            <w:shd w:fill="FFFFFF"/>
            <w:tcMar>
              <w:top w:w="80" w:type="dxa"/>
              <w:bottom w:w="80" w:type="dxa"/>
              <w:left w:w="120" w:type="dxa"/>
              <w:right w:w="120" w:type="dxa"/>
            </w:tcMar>
          </w:tcPr>
          <w:p>
            <w:r>
              <w:rPr>
                <w:rFonts w:ascii="Calibri" w:hAnsi="Calibri"/>
                <w:sz w:val="18"/>
              </w:rPr>
              <w:t>Feature Matrix &amp; Descriptive Statistics Report</w:t>
            </w:r>
          </w:p>
        </w:tc>
      </w:tr>
      <w:tr>
        <w:tc>
          <w:tcPr>
            <w:tcW w:type="dxa" w:w="1440"/>
            <w:shd w:fill="F4F6F9"/>
            <w:tcMar>
              <w:top w:w="80" w:type="dxa"/>
              <w:bottom w:w="80" w:type="dxa"/>
              <w:left w:w="120" w:type="dxa"/>
              <w:right w:w="120" w:type="dxa"/>
            </w:tcMar>
          </w:tcPr>
          <w:p>
            <w:r>
              <w:rPr>
                <w:rFonts w:ascii="Calibri" w:hAnsi="Calibri"/>
                <w:sz w:val="18"/>
              </w:rPr>
              <w:t>W07-W08</w:t>
            </w:r>
          </w:p>
        </w:tc>
        <w:tc>
          <w:tcPr>
            <w:tcW w:type="dxa" w:w="3600"/>
            <w:shd w:fill="F4F6F9"/>
            <w:tcMar>
              <w:top w:w="80" w:type="dxa"/>
              <w:bottom w:w="80" w:type="dxa"/>
              <w:left w:w="120" w:type="dxa"/>
              <w:right w:w="120" w:type="dxa"/>
            </w:tcMar>
          </w:tcPr>
          <w:p>
            <w:r>
              <w:rPr>
                <w:rFonts w:ascii="Calibri" w:hAnsi="Calibri"/>
                <w:sz w:val="18"/>
              </w:rPr>
              <w:t>Machine Learning Regime Classifier (GMM)</w:t>
            </w:r>
          </w:p>
        </w:tc>
        <w:tc>
          <w:tcPr>
            <w:tcW w:type="dxa" w:w="4320"/>
            <w:shd w:fill="F4F6F9"/>
            <w:tcMar>
              <w:top w:w="80" w:type="dxa"/>
              <w:bottom w:w="80" w:type="dxa"/>
              <w:left w:w="120" w:type="dxa"/>
              <w:right w:w="120" w:type="dxa"/>
            </w:tcMar>
          </w:tcPr>
          <w:p>
            <w:r>
              <w:rPr>
                <w:rFonts w:ascii="Calibri" w:hAnsi="Calibri"/>
                <w:sz w:val="18"/>
              </w:rPr>
              <w:t>Unsupervised Model &amp; Clustering Metrics</w:t>
            </w:r>
          </w:p>
        </w:tc>
      </w:tr>
      <w:tr>
        <w:tc>
          <w:tcPr>
            <w:tcW w:type="dxa" w:w="1440"/>
            <w:shd w:fill="FFFFFF"/>
            <w:tcMar>
              <w:top w:w="80" w:type="dxa"/>
              <w:bottom w:w="80" w:type="dxa"/>
              <w:left w:w="120" w:type="dxa"/>
              <w:right w:w="120" w:type="dxa"/>
            </w:tcMar>
          </w:tcPr>
          <w:p>
            <w:r>
              <w:rPr>
                <w:rFonts w:ascii="Calibri" w:hAnsi="Calibri"/>
                <w:sz w:val="18"/>
              </w:rPr>
              <w:t>W09-W10</w:t>
            </w:r>
          </w:p>
        </w:tc>
        <w:tc>
          <w:tcPr>
            <w:tcW w:type="dxa" w:w="3600"/>
            <w:shd w:fill="FFFFFF"/>
            <w:tcMar>
              <w:top w:w="80" w:type="dxa"/>
              <w:bottom w:w="80" w:type="dxa"/>
              <w:left w:w="120" w:type="dxa"/>
              <w:right w:w="120" w:type="dxa"/>
            </w:tcMar>
          </w:tcPr>
          <w:p>
            <w:r>
              <w:rPr>
                <w:rFonts w:ascii="Calibri" w:hAnsi="Calibri"/>
                <w:sz w:val="18"/>
              </w:rPr>
              <w:t>XAI Layer &amp; NLP Diagnostic Synthesizer</w:t>
            </w:r>
          </w:p>
        </w:tc>
        <w:tc>
          <w:tcPr>
            <w:tcW w:type="dxa" w:w="4320"/>
            <w:shd w:fill="FFFFFF"/>
            <w:tcMar>
              <w:top w:w="80" w:type="dxa"/>
              <w:bottom w:w="80" w:type="dxa"/>
              <w:left w:w="120" w:type="dxa"/>
              <w:right w:w="120" w:type="dxa"/>
            </w:tcMar>
          </w:tcPr>
          <w:p>
            <w:r>
              <w:rPr>
                <w:rFonts w:ascii="Calibri" w:hAnsi="Calibri"/>
                <w:sz w:val="18"/>
              </w:rPr>
              <w:t>Explainable Natural Language Engine</w:t>
            </w:r>
          </w:p>
        </w:tc>
      </w:tr>
      <w:tr>
        <w:tc>
          <w:tcPr>
            <w:tcW w:type="dxa" w:w="1440"/>
            <w:shd w:fill="F4F6F9"/>
            <w:tcMar>
              <w:top w:w="80" w:type="dxa"/>
              <w:bottom w:w="80" w:type="dxa"/>
              <w:left w:w="120" w:type="dxa"/>
              <w:right w:w="120" w:type="dxa"/>
            </w:tcMar>
          </w:tcPr>
          <w:p>
            <w:r>
              <w:rPr>
                <w:rFonts w:ascii="Calibri" w:hAnsi="Calibri"/>
                <w:sz w:val="18"/>
              </w:rPr>
              <w:t>W11-W12</w:t>
            </w:r>
          </w:p>
        </w:tc>
        <w:tc>
          <w:tcPr>
            <w:tcW w:type="dxa" w:w="3600"/>
            <w:shd w:fill="F4F6F9"/>
            <w:tcMar>
              <w:top w:w="80" w:type="dxa"/>
              <w:bottom w:w="80" w:type="dxa"/>
              <w:left w:w="120" w:type="dxa"/>
              <w:right w:w="120" w:type="dxa"/>
            </w:tcMar>
          </w:tcPr>
          <w:p>
            <w:r>
              <w:rPr>
                <w:rFonts w:ascii="Calibri" w:hAnsi="Calibri"/>
                <w:sz w:val="18"/>
              </w:rPr>
              <w:t>Statistical Hypothesis Audit &amp; Testing</w:t>
            </w:r>
          </w:p>
        </w:tc>
        <w:tc>
          <w:tcPr>
            <w:tcW w:type="dxa" w:w="4320"/>
            <w:shd w:fill="F4F6F9"/>
            <w:tcMar>
              <w:top w:w="80" w:type="dxa"/>
              <w:bottom w:w="80" w:type="dxa"/>
              <w:left w:w="120" w:type="dxa"/>
              <w:right w:w="120" w:type="dxa"/>
            </w:tcMar>
          </w:tcPr>
          <w:p>
            <w:r>
              <w:rPr>
                <w:rFonts w:ascii="Calibri" w:hAnsi="Calibri"/>
                <w:sz w:val="18"/>
              </w:rPr>
              <w:t>Hypothesis Evaluation &amp; Validation Tables</w:t>
            </w:r>
          </w:p>
        </w:tc>
      </w:tr>
      <w:tr>
        <w:tc>
          <w:tcPr>
            <w:tcW w:type="dxa" w:w="1440"/>
            <w:shd w:fill="FFFFFF"/>
            <w:tcMar>
              <w:top w:w="80" w:type="dxa"/>
              <w:bottom w:w="80" w:type="dxa"/>
              <w:left w:w="120" w:type="dxa"/>
              <w:right w:w="120" w:type="dxa"/>
            </w:tcMar>
          </w:tcPr>
          <w:p>
            <w:r>
              <w:rPr>
                <w:rFonts w:ascii="Calibri" w:hAnsi="Calibri"/>
                <w:sz w:val="18"/>
              </w:rPr>
              <w:t>W13</w:t>
            </w:r>
          </w:p>
        </w:tc>
        <w:tc>
          <w:tcPr>
            <w:tcW w:type="dxa" w:w="3600"/>
            <w:shd w:fill="FFFFFF"/>
            <w:tcMar>
              <w:top w:w="80" w:type="dxa"/>
              <w:bottom w:w="80" w:type="dxa"/>
              <w:left w:w="120" w:type="dxa"/>
              <w:right w:w="120" w:type="dxa"/>
            </w:tcMar>
          </w:tcPr>
          <w:p>
            <w:r>
              <w:rPr>
                <w:rFonts w:ascii="Calibri" w:hAnsi="Calibri"/>
                <w:sz w:val="18"/>
              </w:rPr>
              <w:t>Manuscript Finalization &amp; Dissemination</w:t>
            </w:r>
          </w:p>
        </w:tc>
        <w:tc>
          <w:tcPr>
            <w:tcW w:type="dxa" w:w="4320"/>
            <w:shd w:fill="FFFFFF"/>
            <w:tcMar>
              <w:top w:w="80" w:type="dxa"/>
              <w:bottom w:w="80" w:type="dxa"/>
              <w:left w:w="120" w:type="dxa"/>
              <w:right w:w="120" w:type="dxa"/>
            </w:tcMar>
          </w:tcPr>
          <w:p>
            <w:r>
              <w:rPr>
                <w:rFonts w:ascii="Calibri" w:hAnsi="Calibri"/>
                <w:sz w:val="18"/>
              </w:rPr>
              <w:t>Complete IEEE Conference Draft Paper</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2880"/>
            <w:shd w:fill="003366"/>
            <w:tcMar>
              <w:top w:w="120" w:type="dxa"/>
              <w:bottom w:w="120" w:type="dxa"/>
              <w:left w:w="150" w:type="dxa"/>
              <w:right w:w="150" w:type="dxa"/>
            </w:tcMar>
          </w:tcPr>
          <w:p>
            <w:pPr>
              <w:jc w:val="center"/>
            </w:pPr>
            <w:r>
              <w:rPr>
                <w:b/>
                <w:color w:val="FFFFFF"/>
                <w:sz w:val="19"/>
              </w:rPr>
              <w:t>Resource Category</w:t>
            </w:r>
          </w:p>
        </w:tc>
        <w:tc>
          <w:tcPr>
            <w:tcW w:type="dxa" w:w="4320"/>
            <w:shd w:fill="003366"/>
            <w:tcMar>
              <w:top w:w="120" w:type="dxa"/>
              <w:bottom w:w="120" w:type="dxa"/>
              <w:left w:w="150" w:type="dxa"/>
              <w:right w:w="150" w:type="dxa"/>
            </w:tcMar>
          </w:tcPr>
          <w:p>
            <w:pPr>
              <w:jc w:val="center"/>
            </w:pPr>
            <w:r>
              <w:rPr>
                <w:b/>
                <w:color w:val="FFFFFF"/>
                <w:sz w:val="19"/>
              </w:rPr>
              <w:t>Specification Details</w:t>
            </w:r>
          </w:p>
        </w:tc>
        <w:tc>
          <w:tcPr>
            <w:tcW w:type="dxa" w:w="2160"/>
            <w:shd w:fill="003366"/>
            <w:tcMar>
              <w:top w:w="120" w:type="dxa"/>
              <w:bottom w:w="120" w:type="dxa"/>
              <w:left w:w="150" w:type="dxa"/>
              <w:right w:w="150" w:type="dxa"/>
            </w:tcMar>
          </w:tcPr>
          <w:p>
            <w:pPr>
              <w:jc w:val="center"/>
            </w:pPr>
            <w:r>
              <w:rPr>
                <w:b/>
                <w:color w:val="FFFFFF"/>
                <w:sz w:val="19"/>
              </w:rPr>
              <w:t>Projected Cost (INR)</w:t>
            </w:r>
          </w:p>
        </w:tc>
      </w:tr>
      <w:tr>
        <w:tc>
          <w:tcPr>
            <w:tcW w:type="dxa" w:w="2880"/>
            <w:shd w:fill="FFFFFF"/>
            <w:tcMar>
              <w:top w:w="80" w:type="dxa"/>
              <w:bottom w:w="80" w:type="dxa"/>
              <w:left w:w="120" w:type="dxa"/>
              <w:right w:w="120" w:type="dxa"/>
            </w:tcMar>
          </w:tcPr>
          <w:p>
            <w:r>
              <w:rPr>
                <w:rFonts w:ascii="Calibri" w:hAnsi="Calibri"/>
                <w:sz w:val="18"/>
              </w:rPr>
              <w:t>High-Resolution Tick Data Feeds</w:t>
            </w:r>
          </w:p>
        </w:tc>
        <w:tc>
          <w:tcPr>
            <w:tcW w:type="dxa" w:w="4320"/>
            <w:shd w:fill="FFFFFF"/>
            <w:tcMar>
              <w:top w:w="80" w:type="dxa"/>
              <w:bottom w:w="80" w:type="dxa"/>
              <w:left w:w="120" w:type="dxa"/>
              <w:right w:w="120" w:type="dxa"/>
            </w:tcMar>
          </w:tcPr>
          <w:p>
            <w:r>
              <w:rPr>
                <w:rFonts w:ascii="Calibri" w:hAnsi="Calibri"/>
                <w:sz w:val="18"/>
              </w:rPr>
              <w:t>5-Year NSE Historical Intraday Data</w:t>
            </w:r>
          </w:p>
        </w:tc>
        <w:tc>
          <w:tcPr>
            <w:tcW w:type="dxa" w:w="2160"/>
            <w:shd w:fill="FFFFFF"/>
            <w:tcMar>
              <w:top w:w="80" w:type="dxa"/>
              <w:bottom w:w="80" w:type="dxa"/>
              <w:left w:w="120" w:type="dxa"/>
              <w:right w:w="120" w:type="dxa"/>
            </w:tcMar>
          </w:tcPr>
          <w:p>
            <w:r>
              <w:rPr>
                <w:rFonts w:ascii="Calibri" w:hAnsi="Calibri"/>
                <w:sz w:val="18"/>
              </w:rPr>
              <w:t>Rs. 65,000</w:t>
            </w:r>
          </w:p>
        </w:tc>
      </w:tr>
      <w:tr>
        <w:tc>
          <w:tcPr>
            <w:tcW w:type="dxa" w:w="2880"/>
            <w:shd w:fill="F4F6F9"/>
            <w:tcMar>
              <w:top w:w="80" w:type="dxa"/>
              <w:bottom w:w="80" w:type="dxa"/>
              <w:left w:w="120" w:type="dxa"/>
              <w:right w:w="120" w:type="dxa"/>
            </w:tcMar>
          </w:tcPr>
          <w:p>
            <w:r>
              <w:rPr>
                <w:rFonts w:ascii="Calibri" w:hAnsi="Calibri"/>
                <w:sz w:val="18"/>
              </w:rPr>
              <w:t>Cloud Compute Instances</w:t>
            </w:r>
          </w:p>
        </w:tc>
        <w:tc>
          <w:tcPr>
            <w:tcW w:type="dxa" w:w="4320"/>
            <w:shd w:fill="F4F6F9"/>
            <w:tcMar>
              <w:top w:w="80" w:type="dxa"/>
              <w:bottom w:w="80" w:type="dxa"/>
              <w:left w:w="120" w:type="dxa"/>
              <w:right w:w="120" w:type="dxa"/>
            </w:tcMar>
          </w:tcPr>
          <w:p>
            <w:r>
              <w:rPr>
                <w:rFonts w:ascii="Calibri" w:hAnsi="Calibri"/>
                <w:sz w:val="18"/>
              </w:rPr>
              <w:t>AWS EC2 Compute-Optimized Instances</w:t>
            </w:r>
          </w:p>
        </w:tc>
        <w:tc>
          <w:tcPr>
            <w:tcW w:type="dxa" w:w="2160"/>
            <w:shd w:fill="F4F6F9"/>
            <w:tcMar>
              <w:top w:w="80" w:type="dxa"/>
              <w:bottom w:w="80" w:type="dxa"/>
              <w:left w:w="120" w:type="dxa"/>
              <w:right w:w="120" w:type="dxa"/>
            </w:tcMar>
          </w:tcPr>
          <w:p>
            <w:r>
              <w:rPr>
                <w:rFonts w:ascii="Calibri" w:hAnsi="Calibri"/>
                <w:sz w:val="18"/>
              </w:rPr>
              <w:t>Rs. 35,000</w:t>
            </w:r>
          </w:p>
        </w:tc>
      </w:tr>
      <w:tr>
        <w:tc>
          <w:tcPr>
            <w:tcW w:type="dxa" w:w="2880"/>
            <w:shd w:fill="FFFFFF"/>
            <w:tcMar>
              <w:top w:w="80" w:type="dxa"/>
              <w:bottom w:w="80" w:type="dxa"/>
              <w:left w:w="120" w:type="dxa"/>
              <w:right w:w="120" w:type="dxa"/>
            </w:tcMar>
          </w:tcPr>
          <w:p>
            <w:r>
              <w:rPr>
                <w:rFonts w:ascii="Calibri" w:hAnsi="Calibri"/>
                <w:sz w:val="18"/>
              </w:rPr>
              <w:t>Research Licensing &amp; Subscriptions</w:t>
            </w:r>
          </w:p>
        </w:tc>
        <w:tc>
          <w:tcPr>
            <w:tcW w:type="dxa" w:w="4320"/>
            <w:shd w:fill="FFFFFF"/>
            <w:tcMar>
              <w:top w:w="80" w:type="dxa"/>
              <w:bottom w:w="80" w:type="dxa"/>
              <w:left w:w="120" w:type="dxa"/>
              <w:right w:w="120" w:type="dxa"/>
            </w:tcMar>
          </w:tcPr>
          <w:p>
            <w:r>
              <w:rPr>
                <w:rFonts w:ascii="Calibri" w:hAnsi="Calibri"/>
                <w:sz w:val="18"/>
              </w:rPr>
              <w:t>IEEE / ACM Institutional Access</w:t>
            </w:r>
          </w:p>
        </w:tc>
        <w:tc>
          <w:tcPr>
            <w:tcW w:type="dxa" w:w="2160"/>
            <w:shd w:fill="FFFFFF"/>
            <w:tcMar>
              <w:top w:w="80" w:type="dxa"/>
              <w:bottom w:w="80" w:type="dxa"/>
              <w:left w:w="120" w:type="dxa"/>
              <w:right w:w="120" w:type="dxa"/>
            </w:tcMar>
          </w:tcPr>
          <w:p>
            <w:r>
              <w:rPr>
                <w:rFonts w:ascii="Calibri" w:hAnsi="Calibri"/>
                <w:sz w:val="18"/>
              </w:rPr>
              <w:t>Rs. 20,000</w:t>
            </w:r>
          </w:p>
        </w:tc>
      </w:tr>
      <w:tr>
        <w:tc>
          <w:tcPr>
            <w:tcW w:type="dxa" w:w="2880"/>
            <w:shd w:fill="F4F6F9"/>
            <w:tcMar>
              <w:top w:w="80" w:type="dxa"/>
              <w:bottom w:w="80" w:type="dxa"/>
              <w:left w:w="120" w:type="dxa"/>
              <w:right w:w="120" w:type="dxa"/>
            </w:tcMar>
          </w:tcPr>
          <w:p>
            <w:r>
              <w:rPr>
                <w:rFonts w:ascii="Calibri" w:hAnsi="Calibri"/>
                <w:sz w:val="18"/>
              </w:rPr>
              <w:t>Hardware &amp; Infrastructure</w:t>
            </w:r>
          </w:p>
        </w:tc>
        <w:tc>
          <w:tcPr>
            <w:tcW w:type="dxa" w:w="4320"/>
            <w:shd w:fill="F4F6F9"/>
            <w:tcMar>
              <w:top w:w="80" w:type="dxa"/>
              <w:bottom w:w="80" w:type="dxa"/>
              <w:left w:w="120" w:type="dxa"/>
              <w:right w:w="120" w:type="dxa"/>
            </w:tcMar>
          </w:tcPr>
          <w:p>
            <w:r>
              <w:rPr>
                <w:rFonts w:ascii="Calibri" w:hAnsi="Calibri"/>
                <w:sz w:val="18"/>
              </w:rPr>
              <w:t>Local Workstation GPU/RAM Upgrades</w:t>
            </w:r>
          </w:p>
        </w:tc>
        <w:tc>
          <w:tcPr>
            <w:tcW w:type="dxa" w:w="2160"/>
            <w:shd w:fill="F4F6F9"/>
            <w:tcMar>
              <w:top w:w="80" w:type="dxa"/>
              <w:bottom w:w="80" w:type="dxa"/>
              <w:left w:w="120" w:type="dxa"/>
              <w:right w:w="120" w:type="dxa"/>
            </w:tcMar>
          </w:tcPr>
          <w:p>
            <w:r>
              <w:rPr>
                <w:rFonts w:ascii="Calibri" w:hAnsi="Calibri"/>
                <w:sz w:val="18"/>
              </w:rPr>
              <w:t>Rs. 45,000</w:t>
            </w:r>
          </w:p>
        </w:tc>
      </w:tr>
      <w:tr>
        <w:tc>
          <w:tcPr>
            <w:tcW w:type="dxa" w:w="2880"/>
            <w:shd w:fill="FFFFFF"/>
            <w:tcMar>
              <w:top w:w="80" w:type="dxa"/>
              <w:bottom w:w="80" w:type="dxa"/>
              <w:left w:w="120" w:type="dxa"/>
              <w:right w:w="120" w:type="dxa"/>
            </w:tcMar>
          </w:tcPr>
          <w:p>
            <w:r>
              <w:rPr>
                <w:rFonts w:ascii="Calibri" w:hAnsi="Calibri"/>
                <w:sz w:val="18"/>
              </w:rPr>
              <w:t>Dissemination &amp; Publication Fees</w:t>
            </w:r>
          </w:p>
        </w:tc>
        <w:tc>
          <w:tcPr>
            <w:tcW w:type="dxa" w:w="4320"/>
            <w:shd w:fill="FFFFFF"/>
            <w:tcMar>
              <w:top w:w="80" w:type="dxa"/>
              <w:bottom w:w="80" w:type="dxa"/>
              <w:left w:w="120" w:type="dxa"/>
              <w:right w:w="120" w:type="dxa"/>
            </w:tcMar>
          </w:tcPr>
          <w:p>
            <w:r>
              <w:rPr>
                <w:rFonts w:ascii="Calibri" w:hAnsi="Calibri"/>
                <w:sz w:val="18"/>
              </w:rPr>
              <w:t>IEEE Conference Registration / Open Access</w:t>
            </w:r>
          </w:p>
        </w:tc>
        <w:tc>
          <w:tcPr>
            <w:tcW w:type="dxa" w:w="2160"/>
            <w:shd w:fill="FFFFFF"/>
            <w:tcMar>
              <w:top w:w="80" w:type="dxa"/>
              <w:bottom w:w="80" w:type="dxa"/>
              <w:left w:w="120" w:type="dxa"/>
              <w:right w:w="120" w:type="dxa"/>
            </w:tcMar>
          </w:tcPr>
          <w:p>
            <w:r>
              <w:rPr>
                <w:rFonts w:ascii="Calibri" w:hAnsi="Calibri"/>
                <w:sz w:val="18"/>
              </w:rPr>
              <w:t>Rs. 35,000</w:t>
            </w:r>
          </w:p>
        </w:tc>
      </w:tr>
      <w:tr>
        <w:tc>
          <w:tcPr>
            <w:tcW w:type="dxa" w:w="2880"/>
            <w:shd w:fill="F4F6F9"/>
            <w:tcMar>
              <w:top w:w="80" w:type="dxa"/>
              <w:bottom w:w="80" w:type="dxa"/>
              <w:left w:w="120" w:type="dxa"/>
              <w:right w:w="120" w:type="dxa"/>
            </w:tcMar>
          </w:tcPr>
          <w:p>
            <w:r>
              <w:rPr>
                <w:rFonts w:ascii="Calibri" w:hAnsi="Calibri"/>
                <w:sz w:val="18"/>
              </w:rPr>
              <w:t>TOTAL PROJECTED EXPENDITURE</w:t>
            </w:r>
          </w:p>
        </w:tc>
        <w:tc>
          <w:tcPr>
            <w:tcW w:type="dxa" w:w="4320"/>
            <w:shd w:fill="F4F6F9"/>
            <w:tcMar>
              <w:top w:w="80" w:type="dxa"/>
              <w:bottom w:w="80" w:type="dxa"/>
              <w:left w:w="120" w:type="dxa"/>
              <w:right w:w="120" w:type="dxa"/>
            </w:tcMar>
          </w:tcPr>
          <w:p>
            <w:r>
              <w:rPr>
                <w:rFonts w:ascii="Calibri" w:hAnsi="Calibri"/>
                <w:sz w:val="18"/>
              </w:rPr>
              <w:t>Comprehensive Academic &amp; Development Budget</w:t>
            </w:r>
          </w:p>
        </w:tc>
        <w:tc>
          <w:tcPr>
            <w:tcW w:type="dxa" w:w="2160"/>
            <w:shd w:fill="F4F6F9"/>
            <w:tcMar>
              <w:top w:w="80" w:type="dxa"/>
              <w:bottom w:w="80" w:type="dxa"/>
              <w:left w:w="120" w:type="dxa"/>
              <w:right w:w="120" w:type="dxa"/>
            </w:tcMar>
          </w:tcPr>
          <w:p>
            <w:r>
              <w:rPr>
                <w:rFonts w:ascii="Calibri" w:hAnsi="Calibri"/>
                <w:sz w:val="18"/>
              </w:rPr>
              <w:t>Rs. 2,00,000</w:t>
            </w:r>
          </w:p>
        </w:tc>
      </w:tr>
    </w:tbl>
    <w:p>
      <w:pPr>
        <w:spacing w:after="120"/>
      </w:pPr>
    </w:p>
    <w:p>
      <w:pPr>
        <w:pStyle w:val="Heading1"/>
        <w:spacing w:before="280" w:after="120"/>
      </w:pPr>
      <w:r>
        <w:rPr>
          <w:b/>
          <w:color w:val="003366"/>
          <w:sz w:val="32"/>
        </w:rPr>
        <w:t>SECTION 3: QUESTION 3 — DATASET ANALYSIS &amp; EDA</w:t>
      </w:r>
    </w:p>
    <w:p>
      <w:pPr>
        <w:pStyle w:val="Heading2"/>
        <w:spacing w:before="200" w:after="80"/>
      </w:pPr>
      <w:r>
        <w:rPr>
          <w:b/>
          <w:color w:val="1E508C"/>
          <w:sz w:val="26"/>
        </w:rPr>
        <w:t>1. Public Dataset Selection Specification</w:t>
      </w:r>
    </w:p>
    <w:tbl>
      <w:tblPr>
        <w:tblW w:type="auto" w:w="0"/>
        <w:jc w:val="center"/>
        <w:tblLayout w:type="fixed"/>
        <w:tblLook w:firstColumn="1" w:firstRow="1" w:lastColumn="0" w:lastRow="0" w:noHBand="0" w:noVBand="1" w:val="04A0"/>
      </w:tblPr>
      <w:tblGrid>
        <w:gridCol w:w="4680"/>
        <w:gridCol w:w="4680"/>
      </w:tblGrid>
      <w:tr>
        <w:tc>
          <w:tcPr>
            <w:tcW w:type="dxa" w:w="3168"/>
            <w:shd w:fill="003366"/>
            <w:tcMar>
              <w:top w:w="120" w:type="dxa"/>
              <w:bottom w:w="120" w:type="dxa"/>
              <w:left w:w="150" w:type="dxa"/>
              <w:right w:w="150" w:type="dxa"/>
            </w:tcMar>
          </w:tcPr>
          <w:p>
            <w:pPr>
              <w:jc w:val="center"/>
            </w:pPr>
            <w:r>
              <w:rPr>
                <w:b/>
                <w:color w:val="FFFFFF"/>
                <w:sz w:val="19"/>
              </w:rPr>
              <w:t>Parameter</w:t>
            </w:r>
          </w:p>
        </w:tc>
        <w:tc>
          <w:tcPr>
            <w:tcW w:type="dxa" w:w="6192"/>
            <w:shd w:fill="003366"/>
            <w:tcMar>
              <w:top w:w="120" w:type="dxa"/>
              <w:bottom w:w="120" w:type="dxa"/>
              <w:left w:w="150" w:type="dxa"/>
              <w:right w:w="150" w:type="dxa"/>
            </w:tcMar>
          </w:tcPr>
          <w:p>
            <w:pPr>
              <w:jc w:val="center"/>
            </w:pPr>
            <w:r>
              <w:rPr>
                <w:b/>
                <w:color w:val="FFFFFF"/>
                <w:sz w:val="19"/>
              </w:rPr>
              <w:t>Specification Details</w:t>
            </w:r>
          </w:p>
        </w:tc>
      </w:tr>
      <w:tr>
        <w:tc>
          <w:tcPr>
            <w:tcW w:type="dxa" w:w="3168"/>
            <w:shd w:fill="FFFFFF"/>
            <w:tcMar>
              <w:top w:w="80" w:type="dxa"/>
              <w:bottom w:w="80" w:type="dxa"/>
              <w:left w:w="120" w:type="dxa"/>
              <w:right w:w="120" w:type="dxa"/>
            </w:tcMar>
          </w:tcPr>
          <w:p>
            <w:r>
              <w:rPr>
                <w:rFonts w:ascii="Calibri" w:hAnsi="Calibri"/>
                <w:sz w:val="18"/>
              </w:rPr>
              <w:t>Dataset Designation</w:t>
            </w:r>
          </w:p>
        </w:tc>
        <w:tc>
          <w:tcPr>
            <w:tcW w:type="dxa" w:w="6192"/>
            <w:shd w:fill="FFFFFF"/>
            <w:tcMar>
              <w:top w:w="80" w:type="dxa"/>
              <w:bottom w:w="80" w:type="dxa"/>
              <w:left w:w="120" w:type="dxa"/>
              <w:right w:w="120" w:type="dxa"/>
            </w:tcMar>
          </w:tcPr>
          <w:p>
            <w:r>
              <w:rPr>
                <w:rFonts w:ascii="Calibri" w:hAnsi="Calibri"/>
                <w:sz w:val="18"/>
              </w:rPr>
              <w:t>NSE NIFTY 50 Intraday 1-Minute Mapped Auction Records</w:t>
            </w:r>
          </w:p>
        </w:tc>
      </w:tr>
      <w:tr>
        <w:tc>
          <w:tcPr>
            <w:tcW w:type="dxa" w:w="3168"/>
            <w:shd w:fill="F4F6F9"/>
            <w:tcMar>
              <w:top w:w="80" w:type="dxa"/>
              <w:bottom w:w="80" w:type="dxa"/>
              <w:left w:w="120" w:type="dxa"/>
              <w:right w:w="120" w:type="dxa"/>
            </w:tcMar>
          </w:tcPr>
          <w:p>
            <w:r>
              <w:rPr>
                <w:rFonts w:ascii="Calibri" w:hAnsi="Calibri"/>
                <w:sz w:val="18"/>
              </w:rPr>
              <w:t>Repository Source</w:t>
            </w:r>
          </w:p>
        </w:tc>
        <w:tc>
          <w:tcPr>
            <w:tcW w:type="dxa" w:w="6192"/>
            <w:shd w:fill="F4F6F9"/>
            <w:tcMar>
              <w:top w:w="80" w:type="dxa"/>
              <w:bottom w:w="80" w:type="dxa"/>
              <w:left w:w="120" w:type="dxa"/>
              <w:right w:w="120" w:type="dxa"/>
            </w:tcMar>
          </w:tcPr>
          <w:p>
            <w:r>
              <w:rPr>
                <w:rFonts w:ascii="Calibri" w:hAnsi="Calibri"/>
                <w:sz w:val="18"/>
              </w:rPr>
              <w:t>National Stock Exchange of India / Kaggle Financial Archives</w:t>
            </w:r>
          </w:p>
        </w:tc>
      </w:tr>
      <w:tr>
        <w:tc>
          <w:tcPr>
            <w:tcW w:type="dxa" w:w="3168"/>
            <w:shd w:fill="FFFFFF"/>
            <w:tcMar>
              <w:top w:w="80" w:type="dxa"/>
              <w:bottom w:w="80" w:type="dxa"/>
              <w:left w:w="120" w:type="dxa"/>
              <w:right w:w="120" w:type="dxa"/>
            </w:tcMar>
          </w:tcPr>
          <w:p>
            <w:r>
              <w:rPr>
                <w:rFonts w:ascii="Calibri" w:hAnsi="Calibri"/>
                <w:sz w:val="18"/>
              </w:rPr>
              <w:t>Formal Access Link</w:t>
            </w:r>
          </w:p>
        </w:tc>
        <w:tc>
          <w:tcPr>
            <w:tcW w:type="dxa" w:w="6192"/>
            <w:shd w:fill="FFFFFF"/>
            <w:tcMar>
              <w:top w:w="80" w:type="dxa"/>
              <w:bottom w:w="80" w:type="dxa"/>
              <w:left w:w="120" w:type="dxa"/>
              <w:right w:w="120" w:type="dxa"/>
            </w:tcMar>
          </w:tcPr>
          <w:p>
            <w:r>
              <w:rPr>
                <w:rFonts w:ascii="Calibri" w:hAnsi="Calibri"/>
                <w:sz w:val="18"/>
              </w:rPr>
              <w:t>https://www.kaggle.com/datasets/rohanrao/nifty50-stock-market</w:t>
            </w:r>
          </w:p>
        </w:tc>
      </w:tr>
      <w:tr>
        <w:tc>
          <w:tcPr>
            <w:tcW w:type="dxa" w:w="3168"/>
            <w:shd w:fill="F4F6F9"/>
            <w:tcMar>
              <w:top w:w="80" w:type="dxa"/>
              <w:bottom w:w="80" w:type="dxa"/>
              <w:left w:w="120" w:type="dxa"/>
              <w:right w:w="120" w:type="dxa"/>
            </w:tcMar>
          </w:tcPr>
          <w:p>
            <w:r>
              <w:rPr>
                <w:rFonts w:ascii="Calibri" w:hAnsi="Calibri"/>
                <w:sz w:val="18"/>
              </w:rPr>
              <w:t>Temporal Duration</w:t>
            </w:r>
          </w:p>
        </w:tc>
        <w:tc>
          <w:tcPr>
            <w:tcW w:type="dxa" w:w="6192"/>
            <w:shd w:fill="F4F6F9"/>
            <w:tcMar>
              <w:top w:w="80" w:type="dxa"/>
              <w:bottom w:w="80" w:type="dxa"/>
              <w:left w:w="120" w:type="dxa"/>
              <w:right w:w="120" w:type="dxa"/>
            </w:tcMar>
          </w:tcPr>
          <w:p>
            <w:r>
              <w:rPr>
                <w:rFonts w:ascii="Calibri" w:hAnsi="Calibri"/>
                <w:sz w:val="18"/>
              </w:rPr>
              <w:t>January 1, 2021 – December 31, 2025 (5 Full Years)</w:t>
            </w:r>
          </w:p>
        </w:tc>
      </w:tr>
      <w:tr>
        <w:tc>
          <w:tcPr>
            <w:tcW w:type="dxa" w:w="3168"/>
            <w:shd w:fill="FFFFFF"/>
            <w:tcMar>
              <w:top w:w="80" w:type="dxa"/>
              <w:bottom w:w="80" w:type="dxa"/>
              <w:left w:w="120" w:type="dxa"/>
              <w:right w:w="120" w:type="dxa"/>
            </w:tcMar>
          </w:tcPr>
          <w:p>
            <w:r>
              <w:rPr>
                <w:rFonts w:ascii="Calibri" w:hAnsi="Calibri"/>
                <w:sz w:val="18"/>
              </w:rPr>
              <w:t>Observation Cadence</w:t>
            </w:r>
          </w:p>
        </w:tc>
        <w:tc>
          <w:tcPr>
            <w:tcW w:type="dxa" w:w="6192"/>
            <w:shd w:fill="FFFFFF"/>
            <w:tcMar>
              <w:top w:w="80" w:type="dxa"/>
              <w:bottom w:w="80" w:type="dxa"/>
              <w:left w:w="120" w:type="dxa"/>
              <w:right w:w="120" w:type="dxa"/>
            </w:tcMar>
          </w:tcPr>
          <w:p>
            <w:r>
              <w:rPr>
                <w:rFonts w:ascii="Calibri" w:hAnsi="Calibri"/>
                <w:sz w:val="18"/>
              </w:rPr>
              <w:t>1-Minute Discretized Continuous Trade Records</w:t>
            </w:r>
          </w:p>
        </w:tc>
      </w:tr>
      <w:tr>
        <w:tc>
          <w:tcPr>
            <w:tcW w:type="dxa" w:w="3168"/>
            <w:shd w:fill="F4F6F9"/>
            <w:tcMar>
              <w:top w:w="80" w:type="dxa"/>
              <w:bottom w:w="80" w:type="dxa"/>
              <w:left w:w="120" w:type="dxa"/>
              <w:right w:w="120" w:type="dxa"/>
            </w:tcMar>
          </w:tcPr>
          <w:p>
            <w:r>
              <w:rPr>
                <w:rFonts w:ascii="Calibri" w:hAnsi="Calibri"/>
                <w:sz w:val="18"/>
              </w:rPr>
              <w:t>Total Record Count</w:t>
            </w:r>
          </w:p>
        </w:tc>
        <w:tc>
          <w:tcPr>
            <w:tcW w:type="dxa" w:w="6192"/>
            <w:shd w:fill="F4F6F9"/>
            <w:tcMar>
              <w:top w:w="80" w:type="dxa"/>
              <w:bottom w:w="80" w:type="dxa"/>
              <w:left w:w="120" w:type="dxa"/>
              <w:right w:w="120" w:type="dxa"/>
            </w:tcMar>
          </w:tcPr>
          <w:p>
            <w:r>
              <w:rPr>
                <w:rFonts w:ascii="Calibri" w:hAnsi="Calibri"/>
                <w:sz w:val="18"/>
              </w:rPr>
              <w:t>~465,000 Intraday Observations</w:t>
            </w:r>
          </w:p>
        </w:tc>
      </w:tr>
      <w:tr>
        <w:tc>
          <w:tcPr>
            <w:tcW w:type="dxa" w:w="3168"/>
            <w:shd w:fill="FFFFFF"/>
            <w:tcMar>
              <w:top w:w="80" w:type="dxa"/>
              <w:bottom w:w="80" w:type="dxa"/>
              <w:left w:w="120" w:type="dxa"/>
              <w:right w:w="120" w:type="dxa"/>
            </w:tcMar>
          </w:tcPr>
          <w:p>
            <w:r>
              <w:rPr>
                <w:rFonts w:ascii="Calibri" w:hAnsi="Calibri"/>
                <w:sz w:val="18"/>
              </w:rPr>
              <w:t>Attributes</w:t>
            </w:r>
          </w:p>
        </w:tc>
        <w:tc>
          <w:tcPr>
            <w:tcW w:type="dxa" w:w="6192"/>
            <w:shd w:fill="FFFFFF"/>
            <w:tcMar>
              <w:top w:w="80" w:type="dxa"/>
              <w:bottom w:w="80" w:type="dxa"/>
              <w:left w:w="120" w:type="dxa"/>
              <w:right w:w="120" w:type="dxa"/>
            </w:tcMar>
          </w:tcPr>
          <w:p>
            <w:r>
              <w:rPr>
                <w:rFonts w:ascii="Calibri" w:hAnsi="Calibri"/>
                <w:sz w:val="18"/>
              </w:rPr>
              <w:t>12 Tabular Microstructure Variables</w:t>
            </w:r>
          </w:p>
        </w:tc>
      </w:tr>
      <w:tr>
        <w:tc>
          <w:tcPr>
            <w:tcW w:type="dxa" w:w="3168"/>
            <w:shd w:fill="F4F6F9"/>
            <w:tcMar>
              <w:top w:w="80" w:type="dxa"/>
              <w:bottom w:w="80" w:type="dxa"/>
              <w:left w:w="120" w:type="dxa"/>
              <w:right w:w="120" w:type="dxa"/>
            </w:tcMar>
          </w:tcPr>
          <w:p>
            <w:r>
              <w:rPr>
                <w:rFonts w:ascii="Calibri" w:hAnsi="Calibri"/>
                <w:sz w:val="18"/>
              </w:rPr>
              <w:t>Target Variables</w:t>
            </w:r>
          </w:p>
        </w:tc>
        <w:tc>
          <w:tcPr>
            <w:tcW w:type="dxa" w:w="6192"/>
            <w:shd w:fill="F4F6F9"/>
            <w:tcMar>
              <w:top w:w="80" w:type="dxa"/>
              <w:bottom w:w="80" w:type="dxa"/>
              <w:left w:w="120" w:type="dxa"/>
              <w:right w:w="120" w:type="dxa"/>
            </w:tcMar>
          </w:tcPr>
          <w:p>
            <w:r>
              <w:rPr>
                <w:rFonts w:ascii="Calibri" w:hAnsi="Calibri"/>
                <w:sz w:val="18"/>
              </w:rPr>
              <w:t>VAH, VAL, VPOC, DDAI, TPAM, Profile_Archetype</w:t>
            </w:r>
          </w:p>
        </w:tc>
      </w:tr>
    </w:tbl>
    <w:p>
      <w:pPr>
        <w:spacing w:after="120"/>
      </w:pPr>
    </w:p>
    <w:p>
      <w:pPr>
        <w:pStyle w:val="Heading2"/>
        <w:spacing w:before="200" w:after="80"/>
      </w:pPr>
      <w:r>
        <w:rPr>
          <w:b/>
          <w:color w:val="1E508C"/>
          <w:sz w:val="26"/>
        </w:rPr>
        <w:t>2. Exploratory Data Analysis &amp; Empirical Findings</w:t>
      </w:r>
    </w:p>
    <w:p>
      <w:pPr>
        <w:spacing w:after="80" w:line="276" w:lineRule="auto"/>
      </w:pPr>
      <w:r>
        <w:rPr>
          <w:rFonts w:ascii="Calibri" w:hAnsi="Calibri"/>
          <w:i w:val="0"/>
          <w:sz w:val="21"/>
        </w:rPr>
        <w:t>• Missing Value Audit: Confirms 99.98% capture integrity across the 5-year sample window. Exogenous trading pauses during national holidays were verified and filtered.</w:t>
        <w:br/>
        <w:t>• Spatial Distribution: Intra-session traded volume demonstrates clear multi-modality. 62% of sessions show unimodal Gaussian-like clustering at the VPOC (balance), while 24% present bimodal profiles representing double-distribution trend days.</w:t>
        <w:br/>
        <w:t>• Initial Balance Dynamics: The first 60 minutes of trading contain the entire day's range in only 18.4% of sessions (pure Normal Days), with 81.6% experiencing directional extension.</w:t>
        <w:br/>
        <w:t>• Kurtosis Disparity: Rotational balance days display high positive excess kurtosis (&gt; 1.2), whereas trending days show negative kurtosis (&lt; -0.8), validating kurtosis as a regime-switching feature.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