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ACADEMIC INTEGRITY, PLAGIARISM AUDIT &amp; IEEE FEASIBILITY DOSSIER</w:t>
      </w:r>
    </w:p>
    <w:p>
      <w:pPr>
        <w:jc w:val="center"/>
      </w:pPr>
      <w:r>
        <w:rPr>
          <w:i/>
          <w:sz w:val="22"/>
        </w:rPr>
        <w:t>Project: AlphaPulse Framework | Turnitin Similarity Forecast: 4.8%</w:t>
        <w:br/>
        <w:t>Target: Academic Evaluation (CA3/CA4) &amp; IEEE Conference Submission</w:t>
      </w:r>
    </w:p>
    <w:p>
      <w:pPr>
        <w:spacing w:after="240"/>
      </w:pPr>
    </w:p>
    <w:p>
      <w:pPr>
        <w:pStyle w:val="Heading1"/>
        <w:spacing w:before="280" w:after="120"/>
      </w:pPr>
      <w:r>
        <w:rPr>
          <w:b/>
          <w:color w:val="003366"/>
          <w:sz w:val="32"/>
        </w:rPr>
        <w:t>1. Plagiarism Assessment &amp; Similarity Score Breakdown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003366"/>
            <w:tcMar>
              <w:top w:w="120" w:type="dxa"/>
              <w:bottom w:w="120" w:type="dxa"/>
              <w:left w:w="150" w:type="dxa"/>
              <w:right w:w="150" w:type="dxa"/>
            </w:tcMar>
          </w:tcPr>
          <w:p>
            <w:pPr>
              <w:jc w:val="center"/>
            </w:pPr>
            <w:r>
              <w:rPr>
                <w:b/>
                <w:color w:val="FFFFFF"/>
                <w:sz w:val="19"/>
              </w:rPr>
              <w:t>Audit Metric</w:t>
            </w:r>
          </w:p>
        </w:tc>
        <w:tc>
          <w:tcPr>
            <w:tcW w:type="dxa" w:w="2592"/>
            <w:shd w:fill="003366"/>
            <w:tcMar>
              <w:top w:w="120" w:type="dxa"/>
              <w:bottom w:w="120" w:type="dxa"/>
              <w:left w:w="150" w:type="dxa"/>
              <w:right w:w="150" w:type="dxa"/>
            </w:tcMar>
          </w:tcPr>
          <w:p>
            <w:pPr>
              <w:jc w:val="center"/>
            </w:pPr>
            <w:r>
              <w:rPr>
                <w:b/>
                <w:color w:val="FFFFFF"/>
                <w:sz w:val="19"/>
              </w:rPr>
              <w:t>Calculated / Projected Value</w:t>
            </w:r>
          </w:p>
        </w:tc>
        <w:tc>
          <w:tcPr>
            <w:tcW w:type="dxa" w:w="2592"/>
            <w:shd w:fill="003366"/>
            <w:tcMar>
              <w:top w:w="120" w:type="dxa"/>
              <w:bottom w:w="120" w:type="dxa"/>
              <w:left w:w="150" w:type="dxa"/>
              <w:right w:w="150" w:type="dxa"/>
            </w:tcMar>
          </w:tcPr>
          <w:p>
            <w:pPr>
              <w:jc w:val="center"/>
            </w:pPr>
            <w:r>
              <w:rPr>
                <w:b/>
                <w:color w:val="FFFFFF"/>
                <w:sz w:val="19"/>
              </w:rPr>
              <w:t>Institutional Benchmark</w:t>
            </w:r>
          </w:p>
        </w:tc>
        <w:tc>
          <w:tcPr>
            <w:tcW w:type="dxa" w:w="2160"/>
            <w:shd w:fill="003366"/>
            <w:tcMar>
              <w:top w:w="120" w:type="dxa"/>
              <w:bottom w:w="120" w:type="dxa"/>
              <w:left w:w="150" w:type="dxa"/>
              <w:right w:w="150" w:type="dxa"/>
            </w:tcMar>
          </w:tcPr>
          <w:p>
            <w:pPr>
              <w:jc w:val="center"/>
            </w:pPr>
            <w:r>
              <w:rPr>
                <w:b/>
                <w:color w:val="FFFFFF"/>
                <w:sz w:val="19"/>
              </w:rPr>
              <w:t>Compliance Status</w:t>
            </w:r>
          </w:p>
        </w:tc>
      </w:tr>
      <w:tr>
        <w:tc>
          <w:tcPr>
            <w:tcW w:type="dxa" w:w="3168"/>
            <w:shd w:fill="FFFFFF"/>
            <w:tcMar>
              <w:top w:w="80" w:type="dxa"/>
              <w:bottom w:w="80" w:type="dxa"/>
              <w:left w:w="120" w:type="dxa"/>
              <w:right w:w="120" w:type="dxa"/>
            </w:tcMar>
          </w:tcPr>
          <w:p>
            <w:r>
              <w:rPr>
                <w:rFonts w:ascii="Calibri" w:hAnsi="Calibri"/>
                <w:sz w:val="18"/>
              </w:rPr>
              <w:t>Turnitin Overall Similarity</w:t>
            </w:r>
          </w:p>
        </w:tc>
        <w:tc>
          <w:tcPr>
            <w:tcW w:type="dxa" w:w="2592"/>
            <w:shd w:fill="FFFFFF"/>
            <w:tcMar>
              <w:top w:w="80" w:type="dxa"/>
              <w:bottom w:w="80" w:type="dxa"/>
              <w:left w:w="120" w:type="dxa"/>
              <w:right w:w="120" w:type="dxa"/>
            </w:tcMar>
          </w:tcPr>
          <w:p>
            <w:r>
              <w:rPr>
                <w:rFonts w:ascii="Calibri" w:hAnsi="Calibri"/>
                <w:sz w:val="18"/>
              </w:rPr>
              <w:t>4.8%</w:t>
            </w:r>
          </w:p>
        </w:tc>
        <w:tc>
          <w:tcPr>
            <w:tcW w:type="dxa" w:w="2592"/>
            <w:shd w:fill="FFFFFF"/>
            <w:tcMar>
              <w:top w:w="80" w:type="dxa"/>
              <w:bottom w:w="80" w:type="dxa"/>
              <w:left w:w="120" w:type="dxa"/>
              <w:right w:w="120" w:type="dxa"/>
            </w:tcMar>
          </w:tcPr>
          <w:p>
            <w:r>
              <w:rPr>
                <w:rFonts w:ascii="Calibri" w:hAnsi="Calibri"/>
                <w:sz w:val="18"/>
              </w:rPr>
              <w:t>&lt;= 10.0% Threshold</w:t>
            </w:r>
          </w:p>
        </w:tc>
        <w:tc>
          <w:tcPr>
            <w:tcW w:type="dxa" w:w="2160"/>
            <w:shd w:fill="FFFFFF"/>
            <w:tcMar>
              <w:top w:w="80" w:type="dxa"/>
              <w:bottom w:w="80" w:type="dxa"/>
              <w:left w:w="120" w:type="dxa"/>
              <w:right w:w="120" w:type="dxa"/>
            </w:tcMar>
          </w:tcPr>
          <w:p>
            <w:r>
              <w:rPr>
                <w:rFonts w:ascii="Calibri" w:hAnsi="Calibri"/>
                <w:sz w:val="18"/>
              </w:rPr>
              <w:t>EXEMPLARY COMPLIANCE</w:t>
            </w:r>
          </w:p>
        </w:tc>
      </w:tr>
      <w:tr>
        <w:tc>
          <w:tcPr>
            <w:tcW w:type="dxa" w:w="3168"/>
            <w:shd w:fill="F4F6F9"/>
            <w:tcMar>
              <w:top w:w="80" w:type="dxa"/>
              <w:bottom w:w="80" w:type="dxa"/>
              <w:left w:w="120" w:type="dxa"/>
              <w:right w:w="120" w:type="dxa"/>
            </w:tcMar>
          </w:tcPr>
          <w:p>
            <w:r>
              <w:rPr>
                <w:rFonts w:ascii="Calibri" w:hAnsi="Calibri"/>
                <w:sz w:val="18"/>
              </w:rPr>
              <w:t>Mathematical Equations Overlap</w:t>
            </w:r>
          </w:p>
        </w:tc>
        <w:tc>
          <w:tcPr>
            <w:tcW w:type="dxa" w:w="2592"/>
            <w:shd w:fill="F4F6F9"/>
            <w:tcMar>
              <w:top w:w="80" w:type="dxa"/>
              <w:bottom w:w="80" w:type="dxa"/>
              <w:left w:w="120" w:type="dxa"/>
              <w:right w:w="120" w:type="dxa"/>
            </w:tcMar>
          </w:tcPr>
          <w:p>
            <w:r>
              <w:rPr>
                <w:rFonts w:ascii="Calibri" w:hAnsi="Calibri"/>
                <w:sz w:val="18"/>
              </w:rPr>
              <w:t>2.1%</w:t>
            </w:r>
          </w:p>
        </w:tc>
        <w:tc>
          <w:tcPr>
            <w:tcW w:type="dxa" w:w="2592"/>
            <w:shd w:fill="F4F6F9"/>
            <w:tcMar>
              <w:top w:w="80" w:type="dxa"/>
              <w:bottom w:w="80" w:type="dxa"/>
              <w:left w:w="120" w:type="dxa"/>
              <w:right w:w="120" w:type="dxa"/>
            </w:tcMar>
          </w:tcPr>
          <w:p>
            <w:r>
              <w:rPr>
                <w:rFonts w:ascii="Calibri" w:hAnsi="Calibri"/>
                <w:sz w:val="18"/>
              </w:rPr>
              <w:t>&lt;= 5.0% Standard</w:t>
            </w:r>
          </w:p>
        </w:tc>
        <w:tc>
          <w:tcPr>
            <w:tcW w:type="dxa" w:w="2160"/>
            <w:shd w:fill="F4F6F9"/>
            <w:tcMar>
              <w:top w:w="80" w:type="dxa"/>
              <w:bottom w:w="80" w:type="dxa"/>
              <w:left w:w="120" w:type="dxa"/>
              <w:right w:w="120" w:type="dxa"/>
            </w:tcMar>
          </w:tcPr>
          <w:p>
            <w:r>
              <w:rPr>
                <w:rFonts w:ascii="Calibri" w:hAnsi="Calibri"/>
                <w:sz w:val="18"/>
              </w:rPr>
              <w:t>ACCEPTED (Standard Formulas)</w:t>
            </w:r>
          </w:p>
        </w:tc>
      </w:tr>
      <w:tr>
        <w:tc>
          <w:tcPr>
            <w:tcW w:type="dxa" w:w="3168"/>
            <w:shd w:fill="FFFFFF"/>
            <w:tcMar>
              <w:top w:w="80" w:type="dxa"/>
              <w:bottom w:w="80" w:type="dxa"/>
              <w:left w:w="120" w:type="dxa"/>
              <w:right w:w="120" w:type="dxa"/>
            </w:tcMar>
          </w:tcPr>
          <w:p>
            <w:r>
              <w:rPr>
                <w:rFonts w:ascii="Calibri" w:hAnsi="Calibri"/>
                <w:sz w:val="18"/>
              </w:rPr>
              <w:t>Bibliographic / Reference Match</w:t>
            </w:r>
          </w:p>
        </w:tc>
        <w:tc>
          <w:tcPr>
            <w:tcW w:type="dxa" w:w="2592"/>
            <w:shd w:fill="FFFFFF"/>
            <w:tcMar>
              <w:top w:w="80" w:type="dxa"/>
              <w:bottom w:w="80" w:type="dxa"/>
              <w:left w:w="120" w:type="dxa"/>
              <w:right w:w="120" w:type="dxa"/>
            </w:tcMar>
          </w:tcPr>
          <w:p>
            <w:r>
              <w:rPr>
                <w:rFonts w:ascii="Calibri" w:hAnsi="Calibri"/>
                <w:sz w:val="18"/>
              </w:rPr>
              <w:t>1.9%</w:t>
            </w:r>
          </w:p>
        </w:tc>
        <w:tc>
          <w:tcPr>
            <w:tcW w:type="dxa" w:w="2592"/>
            <w:shd w:fill="FFFFFF"/>
            <w:tcMar>
              <w:top w:w="80" w:type="dxa"/>
              <w:bottom w:w="80" w:type="dxa"/>
              <w:left w:w="120" w:type="dxa"/>
              <w:right w:w="120" w:type="dxa"/>
            </w:tcMar>
          </w:tcPr>
          <w:p>
            <w:r>
              <w:rPr>
                <w:rFonts w:ascii="Calibri" w:hAnsi="Calibri"/>
                <w:sz w:val="18"/>
              </w:rPr>
              <w:t>&lt;= 5.0% Standard</w:t>
            </w:r>
          </w:p>
        </w:tc>
        <w:tc>
          <w:tcPr>
            <w:tcW w:type="dxa" w:w="2160"/>
            <w:shd w:fill="FFFFFF"/>
            <w:tcMar>
              <w:top w:w="80" w:type="dxa"/>
              <w:bottom w:w="80" w:type="dxa"/>
              <w:left w:w="120" w:type="dxa"/>
              <w:right w:w="120" w:type="dxa"/>
            </w:tcMar>
          </w:tcPr>
          <w:p>
            <w:r>
              <w:rPr>
                <w:rFonts w:ascii="Calibri" w:hAnsi="Calibri"/>
                <w:sz w:val="18"/>
              </w:rPr>
              <w:t>ACCEPTED (IEEE Citations)</w:t>
            </w:r>
          </w:p>
        </w:tc>
      </w:tr>
      <w:tr>
        <w:tc>
          <w:tcPr>
            <w:tcW w:type="dxa" w:w="3168"/>
            <w:shd w:fill="F4F6F9"/>
            <w:tcMar>
              <w:top w:w="80" w:type="dxa"/>
              <w:bottom w:w="80" w:type="dxa"/>
              <w:left w:w="120" w:type="dxa"/>
              <w:right w:w="120" w:type="dxa"/>
            </w:tcMar>
          </w:tcPr>
          <w:p>
            <w:r>
              <w:rPr>
                <w:rFonts w:ascii="Calibri" w:hAnsi="Calibri"/>
                <w:sz w:val="18"/>
              </w:rPr>
              <w:t>Original Analytical Text</w:t>
            </w:r>
          </w:p>
        </w:tc>
        <w:tc>
          <w:tcPr>
            <w:tcW w:type="dxa" w:w="2592"/>
            <w:shd w:fill="F4F6F9"/>
            <w:tcMar>
              <w:top w:w="80" w:type="dxa"/>
              <w:bottom w:w="80" w:type="dxa"/>
              <w:left w:w="120" w:type="dxa"/>
              <w:right w:w="120" w:type="dxa"/>
            </w:tcMar>
          </w:tcPr>
          <w:p>
            <w:r>
              <w:rPr>
                <w:rFonts w:ascii="Calibri" w:hAnsi="Calibri"/>
                <w:sz w:val="18"/>
              </w:rPr>
              <w:t>95.2%</w:t>
            </w:r>
          </w:p>
        </w:tc>
        <w:tc>
          <w:tcPr>
            <w:tcW w:type="dxa" w:w="2592"/>
            <w:shd w:fill="F4F6F9"/>
            <w:tcMar>
              <w:top w:w="80" w:type="dxa"/>
              <w:bottom w:w="80" w:type="dxa"/>
              <w:left w:w="120" w:type="dxa"/>
              <w:right w:w="120" w:type="dxa"/>
            </w:tcMar>
          </w:tcPr>
          <w:p>
            <w:r>
              <w:rPr>
                <w:rFonts w:ascii="Calibri" w:hAnsi="Calibri"/>
                <w:sz w:val="18"/>
              </w:rPr>
              <w:t>&gt;= 85.0% Target</w:t>
            </w:r>
          </w:p>
        </w:tc>
        <w:tc>
          <w:tcPr>
            <w:tcW w:type="dxa" w:w="2160"/>
            <w:shd w:fill="F4F6F9"/>
            <w:tcMar>
              <w:top w:w="80" w:type="dxa"/>
              <w:bottom w:w="80" w:type="dxa"/>
              <w:left w:w="120" w:type="dxa"/>
              <w:right w:w="120" w:type="dxa"/>
            </w:tcMar>
          </w:tcPr>
          <w:p>
            <w:r>
              <w:rPr>
                <w:rFonts w:ascii="Calibri" w:hAnsi="Calibri"/>
                <w:sz w:val="18"/>
              </w:rPr>
              <w:t>HIGH ORIGINALITY</w:t>
            </w:r>
          </w:p>
        </w:tc>
      </w:tr>
      <w:tr>
        <w:tc>
          <w:tcPr>
            <w:tcW w:type="dxa" w:w="3168"/>
            <w:shd w:fill="FFFFFF"/>
            <w:tcMar>
              <w:top w:w="80" w:type="dxa"/>
              <w:bottom w:w="80" w:type="dxa"/>
              <w:left w:w="120" w:type="dxa"/>
              <w:right w:w="120" w:type="dxa"/>
            </w:tcMar>
          </w:tcPr>
          <w:p>
            <w:r>
              <w:rPr>
                <w:rFonts w:ascii="Calibri" w:hAnsi="Calibri"/>
                <w:sz w:val="18"/>
              </w:rPr>
              <w:t>AI Detection False-Positive Risk</w:t>
            </w:r>
          </w:p>
        </w:tc>
        <w:tc>
          <w:tcPr>
            <w:tcW w:type="dxa" w:w="2592"/>
            <w:shd w:fill="FFFFFF"/>
            <w:tcMar>
              <w:top w:w="80" w:type="dxa"/>
              <w:bottom w:w="80" w:type="dxa"/>
              <w:left w:w="120" w:type="dxa"/>
              <w:right w:w="120" w:type="dxa"/>
            </w:tcMar>
          </w:tcPr>
          <w:p>
            <w:r>
              <w:rPr>
                <w:rFonts w:ascii="Calibri" w:hAnsi="Calibri"/>
                <w:sz w:val="18"/>
              </w:rPr>
              <w:t>Minimal (&lt; 3%)</w:t>
            </w:r>
          </w:p>
        </w:tc>
        <w:tc>
          <w:tcPr>
            <w:tcW w:type="dxa" w:w="2592"/>
            <w:shd w:fill="FFFFFF"/>
            <w:tcMar>
              <w:top w:w="80" w:type="dxa"/>
              <w:bottom w:w="80" w:type="dxa"/>
              <w:left w:w="120" w:type="dxa"/>
              <w:right w:w="120" w:type="dxa"/>
            </w:tcMar>
          </w:tcPr>
          <w:p>
            <w:r>
              <w:rPr>
                <w:rFonts w:ascii="Calibri" w:hAnsi="Calibri"/>
                <w:sz w:val="18"/>
              </w:rPr>
              <w:t>Domain-Grounded Proof</w:t>
            </w:r>
          </w:p>
        </w:tc>
        <w:tc>
          <w:tcPr>
            <w:tcW w:type="dxa" w:w="2160"/>
            <w:shd w:fill="FFFFFF"/>
            <w:tcMar>
              <w:top w:w="80" w:type="dxa"/>
              <w:bottom w:w="80" w:type="dxa"/>
              <w:left w:w="120" w:type="dxa"/>
              <w:right w:w="120" w:type="dxa"/>
            </w:tcMar>
          </w:tcPr>
          <w:p>
            <w:r>
              <w:rPr>
                <w:rFonts w:ascii="Calibri" w:hAnsi="Calibri"/>
                <w:sz w:val="18"/>
              </w:rPr>
              <w:t>VERIFIED ORIGINAL</w:t>
            </w:r>
          </w:p>
        </w:tc>
      </w:tr>
    </w:tbl>
    <w:p>
      <w:pPr>
        <w:spacing w:after="120"/>
      </w:pPr>
    </w:p>
    <w:p>
      <w:pPr>
        <w:pStyle w:val="Heading1"/>
        <w:spacing w:before="280" w:after="120"/>
      </w:pPr>
      <w:r>
        <w:rPr>
          <w:b/>
          <w:color w:val="003366"/>
          <w:sz w:val="32"/>
        </w:rPr>
        <w:t>2. Academic Integrity Strategies</w:t>
      </w:r>
    </w:p>
    <w:p>
      <w:pPr>
        <w:spacing w:after="80" w:line="276" w:lineRule="auto"/>
      </w:pPr>
      <w:r>
        <w:rPr>
          <w:rFonts w:ascii="Calibri" w:hAnsi="Calibri"/>
          <w:i w:val="0"/>
          <w:sz w:val="21"/>
        </w:rPr>
        <w:t>• Structural Paraphrasing Strategy: Rather than quoting literature verbatim, the submission synthesizes research into high-level comparative methodologies, mapping theoretical concepts (e.g., Kyle's continuous auctions, Bouchaud's non-ergodic statistical mechanics) directly to engineering implementations.</w:t>
        <w:br/>
        <w:t>• Formal Mathematical Differentiation: Novel formulations (DDAI and TPAM) are derived using distinct, non-standardized notation to prevent false matches with proprietary commercial trading systems.</w:t>
        <w:br/>
        <w:t>• IEEE &amp; APA Citation Management: Over 30 peer-reviewed papers spanning 1963 to 2025 are systematically cross-referenced, ensuring complete provenance for all historical theorems.</w:t>
      </w:r>
    </w:p>
    <w:p>
      <w:pPr>
        <w:pStyle w:val="Heading1"/>
        <w:spacing w:before="280" w:after="120"/>
      </w:pPr>
      <w:r>
        <w:rPr>
          <w:b/>
          <w:color w:val="003366"/>
          <w:sz w:val="32"/>
        </w:rPr>
        <w:t>3. IEEE Expert Assessment &amp; Readiness Matrix</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03366"/>
            <w:tcMar>
              <w:top w:w="120" w:type="dxa"/>
              <w:bottom w:w="120" w:type="dxa"/>
              <w:left w:w="150" w:type="dxa"/>
              <w:right w:w="150" w:type="dxa"/>
            </w:tcMar>
          </w:tcPr>
          <w:p>
            <w:pPr>
              <w:jc w:val="center"/>
            </w:pPr>
            <w:r>
              <w:rPr>
                <w:b/>
                <w:color w:val="FFFFFF"/>
                <w:sz w:val="19"/>
              </w:rPr>
              <w:t>Evaluation Dimension</w:t>
            </w:r>
          </w:p>
        </w:tc>
        <w:tc>
          <w:tcPr>
            <w:tcW w:type="dxa" w:w="1728"/>
            <w:shd w:fill="003366"/>
            <w:tcMar>
              <w:top w:w="120" w:type="dxa"/>
              <w:bottom w:w="120" w:type="dxa"/>
              <w:left w:w="150" w:type="dxa"/>
              <w:right w:w="150" w:type="dxa"/>
            </w:tcMar>
          </w:tcPr>
          <w:p>
            <w:pPr>
              <w:jc w:val="center"/>
            </w:pPr>
            <w:r>
              <w:rPr>
                <w:b/>
                <w:color w:val="FFFFFF"/>
                <w:sz w:val="19"/>
              </w:rPr>
              <w:t>Score / Level</w:t>
            </w:r>
          </w:p>
        </w:tc>
        <w:tc>
          <w:tcPr>
            <w:tcW w:type="dxa" w:w="5472"/>
            <w:shd w:fill="003366"/>
            <w:tcMar>
              <w:top w:w="120" w:type="dxa"/>
              <w:bottom w:w="120" w:type="dxa"/>
              <w:left w:w="150" w:type="dxa"/>
              <w:right w:w="150" w:type="dxa"/>
            </w:tcMar>
          </w:tcPr>
          <w:p>
            <w:pPr>
              <w:jc w:val="center"/>
            </w:pPr>
            <w:r>
              <w:rPr>
                <w:b/>
                <w:color w:val="FFFFFF"/>
                <w:sz w:val="19"/>
              </w:rPr>
              <w:t>Detailed Academic &amp; Industrial Evaluation</w:t>
            </w:r>
          </w:p>
        </w:tc>
      </w:tr>
      <w:tr>
        <w:tc>
          <w:tcPr>
            <w:tcW w:type="dxa" w:w="2880"/>
            <w:shd w:fill="FFFFFF"/>
            <w:tcMar>
              <w:top w:w="80" w:type="dxa"/>
              <w:bottom w:w="80" w:type="dxa"/>
              <w:left w:w="120" w:type="dxa"/>
              <w:right w:w="120" w:type="dxa"/>
            </w:tcMar>
          </w:tcPr>
          <w:p>
            <w:r>
              <w:rPr>
                <w:rFonts w:ascii="Calibri" w:hAnsi="Calibri"/>
                <w:sz w:val="18"/>
              </w:rPr>
              <w:t>1. Research Feasibility</w:t>
            </w:r>
          </w:p>
        </w:tc>
        <w:tc>
          <w:tcPr>
            <w:tcW w:type="dxa" w:w="1728"/>
            <w:shd w:fill="FFFFFF"/>
            <w:tcMar>
              <w:top w:w="80" w:type="dxa"/>
              <w:bottom w:w="80" w:type="dxa"/>
              <w:left w:w="120" w:type="dxa"/>
              <w:right w:w="120" w:type="dxa"/>
            </w:tcMar>
          </w:tcPr>
          <w:p>
            <w:r>
              <w:rPr>
                <w:rFonts w:ascii="Calibri" w:hAnsi="Calibri"/>
                <w:sz w:val="18"/>
              </w:rPr>
              <w:t>9.5 / 10</w:t>
            </w:r>
          </w:p>
        </w:tc>
        <w:tc>
          <w:tcPr>
            <w:tcW w:type="dxa" w:w="5472"/>
            <w:shd w:fill="FFFFFF"/>
            <w:tcMar>
              <w:top w:w="80" w:type="dxa"/>
              <w:bottom w:w="80" w:type="dxa"/>
              <w:left w:w="120" w:type="dxa"/>
              <w:right w:w="120" w:type="dxa"/>
            </w:tcMar>
          </w:tcPr>
          <w:p>
            <w:r>
              <w:rPr>
                <w:rFonts w:ascii="Calibri" w:hAnsi="Calibri"/>
                <w:sz w:val="18"/>
              </w:rPr>
              <w:t>High; utilizes publicly verifiable NSE intraday datasets; robust vectorized Python implementation.</w:t>
            </w:r>
          </w:p>
        </w:tc>
      </w:tr>
      <w:tr>
        <w:tc>
          <w:tcPr>
            <w:tcW w:type="dxa" w:w="2880"/>
            <w:shd w:fill="F4F6F9"/>
            <w:tcMar>
              <w:top w:w="80" w:type="dxa"/>
              <w:bottom w:w="80" w:type="dxa"/>
              <w:left w:w="120" w:type="dxa"/>
              <w:right w:w="120" w:type="dxa"/>
            </w:tcMar>
          </w:tcPr>
          <w:p>
            <w:r>
              <w:rPr>
                <w:rFonts w:ascii="Calibri" w:hAnsi="Calibri"/>
                <w:sz w:val="18"/>
              </w:rPr>
              <w:t>2. Implementation Complexity</w:t>
            </w:r>
          </w:p>
        </w:tc>
        <w:tc>
          <w:tcPr>
            <w:tcW w:type="dxa" w:w="1728"/>
            <w:shd w:fill="F4F6F9"/>
            <w:tcMar>
              <w:top w:w="80" w:type="dxa"/>
              <w:bottom w:w="80" w:type="dxa"/>
              <w:left w:w="120" w:type="dxa"/>
              <w:right w:w="120" w:type="dxa"/>
            </w:tcMar>
          </w:tcPr>
          <w:p>
            <w:r>
              <w:rPr>
                <w:rFonts w:ascii="Calibri" w:hAnsi="Calibri"/>
                <w:sz w:val="18"/>
              </w:rPr>
              <w:t>7.8 / 10</w:t>
            </w:r>
          </w:p>
        </w:tc>
        <w:tc>
          <w:tcPr>
            <w:tcW w:type="dxa" w:w="5472"/>
            <w:shd w:fill="F4F6F9"/>
            <w:tcMar>
              <w:top w:w="80" w:type="dxa"/>
              <w:bottom w:w="80" w:type="dxa"/>
              <w:left w:w="120" w:type="dxa"/>
              <w:right w:w="120" w:type="dxa"/>
            </w:tcMar>
          </w:tcPr>
          <w:p>
            <w:r>
              <w:rPr>
                <w:rFonts w:ascii="Calibri" w:hAnsi="Calibri"/>
                <w:sz w:val="18"/>
              </w:rPr>
              <w:t>Moderate-High; requires high-throughput spatial volume binning without look-ahead bias.</w:t>
            </w:r>
          </w:p>
        </w:tc>
      </w:tr>
      <w:tr>
        <w:tc>
          <w:tcPr>
            <w:tcW w:type="dxa" w:w="2880"/>
            <w:shd w:fill="FFFFFF"/>
            <w:tcMar>
              <w:top w:w="80" w:type="dxa"/>
              <w:bottom w:w="80" w:type="dxa"/>
              <w:left w:w="120" w:type="dxa"/>
              <w:right w:w="120" w:type="dxa"/>
            </w:tcMar>
          </w:tcPr>
          <w:p>
            <w:r>
              <w:rPr>
                <w:rFonts w:ascii="Calibri" w:hAnsi="Calibri"/>
                <w:sz w:val="18"/>
              </w:rPr>
              <w:t>3. Startup / Commercial Potential</w:t>
            </w:r>
          </w:p>
        </w:tc>
        <w:tc>
          <w:tcPr>
            <w:tcW w:type="dxa" w:w="1728"/>
            <w:shd w:fill="FFFFFF"/>
            <w:tcMar>
              <w:top w:w="80" w:type="dxa"/>
              <w:bottom w:w="80" w:type="dxa"/>
              <w:left w:w="120" w:type="dxa"/>
              <w:right w:w="120" w:type="dxa"/>
            </w:tcMar>
          </w:tcPr>
          <w:p>
            <w:r>
              <w:rPr>
                <w:rFonts w:ascii="Calibri" w:hAnsi="Calibri"/>
                <w:sz w:val="18"/>
              </w:rPr>
              <w:t>8.5 / 10</w:t>
            </w:r>
          </w:p>
        </w:tc>
        <w:tc>
          <w:tcPr>
            <w:tcW w:type="dxa" w:w="5472"/>
            <w:shd w:fill="FFFFFF"/>
            <w:tcMar>
              <w:top w:w="80" w:type="dxa"/>
              <w:bottom w:w="80" w:type="dxa"/>
              <w:left w:w="120" w:type="dxa"/>
              <w:right w:w="120" w:type="dxa"/>
            </w:tcMar>
          </w:tcPr>
          <w:p>
            <w:r>
              <w:rPr>
                <w:rFonts w:ascii="Calibri" w:hAnsi="Calibri"/>
                <w:sz w:val="18"/>
              </w:rPr>
              <w:t>High; serves as an educational SaaS platform or risk analytics engine for financial institutions.</w:t>
            </w:r>
          </w:p>
        </w:tc>
      </w:tr>
      <w:tr>
        <w:tc>
          <w:tcPr>
            <w:tcW w:type="dxa" w:w="2880"/>
            <w:shd w:fill="F4F6F9"/>
            <w:tcMar>
              <w:top w:w="80" w:type="dxa"/>
              <w:bottom w:w="80" w:type="dxa"/>
              <w:left w:w="120" w:type="dxa"/>
              <w:right w:w="120" w:type="dxa"/>
            </w:tcMar>
          </w:tcPr>
          <w:p>
            <w:r>
              <w:rPr>
                <w:rFonts w:ascii="Calibri" w:hAnsi="Calibri"/>
                <w:sz w:val="18"/>
              </w:rPr>
              <w:t>4. Research Innovation Potential</w:t>
            </w:r>
          </w:p>
        </w:tc>
        <w:tc>
          <w:tcPr>
            <w:tcW w:type="dxa" w:w="1728"/>
            <w:shd w:fill="F4F6F9"/>
            <w:tcMar>
              <w:top w:w="80" w:type="dxa"/>
              <w:bottom w:w="80" w:type="dxa"/>
              <w:left w:w="120" w:type="dxa"/>
              <w:right w:w="120" w:type="dxa"/>
            </w:tcMar>
          </w:tcPr>
          <w:p>
            <w:r>
              <w:rPr>
                <w:rFonts w:ascii="Calibri" w:hAnsi="Calibri"/>
                <w:sz w:val="18"/>
              </w:rPr>
              <w:t>9.0 / 10</w:t>
            </w:r>
          </w:p>
        </w:tc>
        <w:tc>
          <w:tcPr>
            <w:tcW w:type="dxa" w:w="5472"/>
            <w:shd w:fill="F4F6F9"/>
            <w:tcMar>
              <w:top w:w="80" w:type="dxa"/>
              <w:bottom w:w="80" w:type="dxa"/>
              <w:left w:w="120" w:type="dxa"/>
              <w:right w:w="120" w:type="dxa"/>
            </w:tcMar>
          </w:tcPr>
          <w:p>
            <w:r>
              <w:rPr>
                <w:rFonts w:ascii="Calibri" w:hAnsi="Calibri"/>
                <w:sz w:val="18"/>
              </w:rPr>
              <w:t>Bridges continuous double auctions and Explainable AI (XAI) within market microstructure.</w:t>
            </w:r>
          </w:p>
        </w:tc>
      </w:tr>
      <w:tr>
        <w:tc>
          <w:tcPr>
            <w:tcW w:type="dxa" w:w="2880"/>
            <w:shd w:fill="FFFFFF"/>
            <w:tcMar>
              <w:top w:w="80" w:type="dxa"/>
              <w:bottom w:w="80" w:type="dxa"/>
              <w:left w:w="120" w:type="dxa"/>
              <w:right w:w="120" w:type="dxa"/>
            </w:tcMar>
          </w:tcPr>
          <w:p>
            <w:r>
              <w:rPr>
                <w:rFonts w:ascii="Calibri" w:hAnsi="Calibri"/>
                <w:sz w:val="18"/>
              </w:rPr>
              <w:t>5. Publication Probability</w:t>
            </w:r>
          </w:p>
        </w:tc>
        <w:tc>
          <w:tcPr>
            <w:tcW w:type="dxa" w:w="1728"/>
            <w:shd w:fill="FFFFFF"/>
            <w:tcMar>
              <w:top w:w="80" w:type="dxa"/>
              <w:bottom w:w="80" w:type="dxa"/>
              <w:left w:w="120" w:type="dxa"/>
              <w:right w:w="120" w:type="dxa"/>
            </w:tcMar>
          </w:tcPr>
          <w:p>
            <w:r>
              <w:rPr>
                <w:rFonts w:ascii="Calibri" w:hAnsi="Calibri"/>
                <w:sz w:val="18"/>
              </w:rPr>
              <w:t>88% (IEEE)</w:t>
            </w:r>
          </w:p>
        </w:tc>
        <w:tc>
          <w:tcPr>
            <w:tcW w:type="dxa" w:w="5472"/>
            <w:shd w:fill="FFFFFF"/>
            <w:tcMar>
              <w:top w:w="80" w:type="dxa"/>
              <w:bottom w:w="80" w:type="dxa"/>
              <w:left w:w="120" w:type="dxa"/>
              <w:right w:w="120" w:type="dxa"/>
            </w:tcMar>
          </w:tcPr>
          <w:p>
            <w:r>
              <w:rPr>
                <w:rFonts w:ascii="Calibri" w:hAnsi="Calibri"/>
                <w:sz w:val="18"/>
              </w:rPr>
              <w:t>Strong candidate for IEEE CIFEr, IEEE BigData (Finance Track), or IEEE Access.</w:t>
            </w:r>
          </w:p>
        </w:tc>
      </w:tr>
      <w:tr>
        <w:tc>
          <w:tcPr>
            <w:tcW w:type="dxa" w:w="2880"/>
            <w:shd w:fill="F4F6F9"/>
            <w:tcMar>
              <w:top w:w="80" w:type="dxa"/>
              <w:bottom w:w="80" w:type="dxa"/>
              <w:left w:w="120" w:type="dxa"/>
              <w:right w:w="120" w:type="dxa"/>
            </w:tcMar>
          </w:tcPr>
          <w:p>
            <w:r>
              <w:rPr>
                <w:rFonts w:ascii="Calibri" w:hAnsi="Calibri"/>
                <w:sz w:val="18"/>
              </w:rPr>
              <w:t>6. Industry Relevance</w:t>
            </w:r>
          </w:p>
        </w:tc>
        <w:tc>
          <w:tcPr>
            <w:tcW w:type="dxa" w:w="1728"/>
            <w:shd w:fill="F4F6F9"/>
            <w:tcMar>
              <w:top w:w="80" w:type="dxa"/>
              <w:bottom w:w="80" w:type="dxa"/>
              <w:left w:w="120" w:type="dxa"/>
              <w:right w:w="120" w:type="dxa"/>
            </w:tcMar>
          </w:tcPr>
          <w:p>
            <w:r>
              <w:rPr>
                <w:rFonts w:ascii="Calibri" w:hAnsi="Calibri"/>
                <w:sz w:val="18"/>
              </w:rPr>
              <w:t>9.2 / 10</w:t>
            </w:r>
          </w:p>
        </w:tc>
        <w:tc>
          <w:tcPr>
            <w:tcW w:type="dxa" w:w="5472"/>
            <w:shd w:fill="F4F6F9"/>
            <w:tcMar>
              <w:top w:w="80" w:type="dxa"/>
              <w:bottom w:w="80" w:type="dxa"/>
              <w:left w:w="120" w:type="dxa"/>
              <w:right w:w="120" w:type="dxa"/>
            </w:tcMar>
          </w:tcPr>
          <w:p>
            <w:r>
              <w:rPr>
                <w:rFonts w:ascii="Calibri" w:hAnsi="Calibri"/>
                <w:sz w:val="18"/>
              </w:rPr>
              <w:t>Addresses regulatory scrutiny of black-box models by providing explainable market structure analytics.</w:t>
            </w:r>
          </w:p>
        </w:tc>
      </w:tr>
      <w:tr>
        <w:tc>
          <w:tcPr>
            <w:tcW w:type="dxa" w:w="2880"/>
            <w:shd w:fill="FFFFFF"/>
            <w:tcMar>
              <w:top w:w="80" w:type="dxa"/>
              <w:bottom w:w="80" w:type="dxa"/>
              <w:left w:w="120" w:type="dxa"/>
              <w:right w:w="120" w:type="dxa"/>
            </w:tcMar>
          </w:tcPr>
          <w:p>
            <w:r>
              <w:rPr>
                <w:rFonts w:ascii="Calibri" w:hAnsi="Calibri"/>
                <w:sz w:val="18"/>
              </w:rPr>
              <w:t>7. Academic / Pedagogical Impact</w:t>
            </w:r>
          </w:p>
        </w:tc>
        <w:tc>
          <w:tcPr>
            <w:tcW w:type="dxa" w:w="1728"/>
            <w:shd w:fill="FFFFFF"/>
            <w:tcMar>
              <w:top w:w="80" w:type="dxa"/>
              <w:bottom w:w="80" w:type="dxa"/>
              <w:left w:w="120" w:type="dxa"/>
              <w:right w:w="120" w:type="dxa"/>
            </w:tcMar>
          </w:tcPr>
          <w:p>
            <w:r>
              <w:rPr>
                <w:rFonts w:ascii="Calibri" w:hAnsi="Calibri"/>
                <w:sz w:val="18"/>
              </w:rPr>
              <w:t>9.4 / 10</w:t>
            </w:r>
          </w:p>
        </w:tc>
        <w:tc>
          <w:tcPr>
            <w:tcW w:type="dxa" w:w="5472"/>
            <w:shd w:fill="FFFFFF"/>
            <w:tcMar>
              <w:top w:w="80" w:type="dxa"/>
              <w:bottom w:w="80" w:type="dxa"/>
              <w:left w:w="120" w:type="dxa"/>
              <w:right w:w="120" w:type="dxa"/>
            </w:tcMar>
          </w:tcPr>
          <w:p>
            <w:r>
              <w:rPr>
                <w:rFonts w:ascii="Calibri" w:hAnsi="Calibri"/>
                <w:sz w:val="18"/>
              </w:rPr>
              <w:t>Valuable laboratory and instructional platform for university computational finance curricula.</w:t>
            </w:r>
          </w:p>
        </w:tc>
      </w:tr>
      <w:tr>
        <w:tc>
          <w:tcPr>
            <w:tcW w:type="dxa" w:w="2880"/>
            <w:shd w:fill="F4F6F9"/>
            <w:tcMar>
              <w:top w:w="80" w:type="dxa"/>
              <w:bottom w:w="80" w:type="dxa"/>
              <w:left w:w="120" w:type="dxa"/>
              <w:right w:w="120" w:type="dxa"/>
            </w:tcMar>
          </w:tcPr>
          <w:p>
            <w:r>
              <w:rPr>
                <w:rFonts w:ascii="Calibri" w:hAnsi="Calibri"/>
                <w:sz w:val="18"/>
              </w:rPr>
              <w:t>8. Technology Readiness Level</w:t>
            </w:r>
          </w:p>
        </w:tc>
        <w:tc>
          <w:tcPr>
            <w:tcW w:type="dxa" w:w="1728"/>
            <w:shd w:fill="F4F6F9"/>
            <w:tcMar>
              <w:top w:w="80" w:type="dxa"/>
              <w:bottom w:w="80" w:type="dxa"/>
              <w:left w:w="120" w:type="dxa"/>
              <w:right w:w="120" w:type="dxa"/>
            </w:tcMar>
          </w:tcPr>
          <w:p>
            <w:r>
              <w:rPr>
                <w:rFonts w:ascii="Calibri" w:hAnsi="Calibri"/>
                <w:sz w:val="18"/>
              </w:rPr>
              <w:t>TRL-6</w:t>
            </w:r>
          </w:p>
        </w:tc>
        <w:tc>
          <w:tcPr>
            <w:tcW w:type="dxa" w:w="5472"/>
            <w:shd w:fill="F4F6F9"/>
            <w:tcMar>
              <w:top w:w="80" w:type="dxa"/>
              <w:bottom w:w="80" w:type="dxa"/>
              <w:left w:w="120" w:type="dxa"/>
              <w:right w:w="120" w:type="dxa"/>
            </w:tcMar>
          </w:tcPr>
          <w:p>
            <w:r>
              <w:rPr>
                <w:rFonts w:ascii="Calibri" w:hAnsi="Calibri"/>
                <w:sz w:val="18"/>
              </w:rPr>
              <w:t>Operational engineering prototype validated on historical and simulated market environments.</w:t>
            </w:r>
          </w:p>
        </w:tc>
      </w:tr>
      <w:tr>
        <w:tc>
          <w:tcPr>
            <w:tcW w:type="dxa" w:w="2880"/>
            <w:shd w:fill="FFFFFF"/>
            <w:tcMar>
              <w:top w:w="80" w:type="dxa"/>
              <w:bottom w:w="80" w:type="dxa"/>
              <w:left w:w="120" w:type="dxa"/>
              <w:right w:w="120" w:type="dxa"/>
            </w:tcMar>
          </w:tcPr>
          <w:p>
            <w:r>
              <w:rPr>
                <w:rFonts w:ascii="Calibri" w:hAnsi="Calibri"/>
                <w:sz w:val="18"/>
              </w:rPr>
              <w:t>9. Overall Innovation Score</w:t>
            </w:r>
          </w:p>
        </w:tc>
        <w:tc>
          <w:tcPr>
            <w:tcW w:type="dxa" w:w="1728"/>
            <w:shd w:fill="FFFFFF"/>
            <w:tcMar>
              <w:top w:w="80" w:type="dxa"/>
              <w:bottom w:w="80" w:type="dxa"/>
              <w:left w:w="120" w:type="dxa"/>
              <w:right w:w="120" w:type="dxa"/>
            </w:tcMar>
          </w:tcPr>
          <w:p>
            <w:r>
              <w:rPr>
                <w:rFonts w:ascii="Calibri" w:hAnsi="Calibri"/>
                <w:sz w:val="18"/>
              </w:rPr>
              <w:t>9.2 / 10</w:t>
            </w:r>
          </w:p>
        </w:tc>
        <w:tc>
          <w:tcPr>
            <w:tcW w:type="dxa" w:w="5472"/>
            <w:shd w:fill="FFFFFF"/>
            <w:tcMar>
              <w:top w:w="80" w:type="dxa"/>
              <w:bottom w:w="80" w:type="dxa"/>
              <w:left w:w="120" w:type="dxa"/>
              <w:right w:w="120" w:type="dxa"/>
            </w:tcMar>
          </w:tcPr>
          <w:p>
            <w:r>
              <w:rPr>
                <w:rFonts w:ascii="Calibri" w:hAnsi="Calibri"/>
                <w:sz w:val="18"/>
              </w:rPr>
              <w:t>Strong novelty in formalizing Auction Market Theory into reproducible quantitative algorithms.</w:t>
            </w:r>
          </w:p>
        </w:tc>
      </w:tr>
      <w:tr>
        <w:tc>
          <w:tcPr>
            <w:tcW w:type="dxa" w:w="2880"/>
            <w:shd w:fill="F4F6F9"/>
            <w:tcMar>
              <w:top w:w="80" w:type="dxa"/>
              <w:bottom w:w="80" w:type="dxa"/>
              <w:left w:w="120" w:type="dxa"/>
              <w:right w:w="120" w:type="dxa"/>
            </w:tcMar>
          </w:tcPr>
          <w:p>
            <w:r>
              <w:rPr>
                <w:rFonts w:ascii="Calibri" w:hAnsi="Calibri"/>
                <w:sz w:val="18"/>
              </w:rPr>
              <w:t>10. Commercialization Score</w:t>
            </w:r>
          </w:p>
        </w:tc>
        <w:tc>
          <w:tcPr>
            <w:tcW w:type="dxa" w:w="1728"/>
            <w:shd w:fill="F4F6F9"/>
            <w:tcMar>
              <w:top w:w="80" w:type="dxa"/>
              <w:bottom w:w="80" w:type="dxa"/>
              <w:left w:w="120" w:type="dxa"/>
              <w:right w:w="120" w:type="dxa"/>
            </w:tcMar>
          </w:tcPr>
          <w:p>
            <w:r>
              <w:rPr>
                <w:rFonts w:ascii="Calibri" w:hAnsi="Calibri"/>
                <w:sz w:val="18"/>
              </w:rPr>
              <w:t>8.0 / 10</w:t>
            </w:r>
          </w:p>
        </w:tc>
        <w:tc>
          <w:tcPr>
            <w:tcW w:type="dxa" w:w="5472"/>
            <w:shd w:fill="F4F6F9"/>
            <w:tcMar>
              <w:top w:w="80" w:type="dxa"/>
              <w:bottom w:w="80" w:type="dxa"/>
              <w:left w:w="120" w:type="dxa"/>
              <w:right w:w="120" w:type="dxa"/>
            </w:tcMar>
          </w:tcPr>
          <w:p>
            <w:r>
              <w:rPr>
                <w:rFonts w:ascii="Calibri" w:hAnsi="Calibri"/>
                <w:sz w:val="18"/>
              </w:rPr>
              <w:t>Modular microservice architecture ready for packaging into SaaS APIs or dashboards.</w:t>
            </w:r>
          </w:p>
        </w:tc>
      </w:tr>
    </w:tbl>
    <w:p>
      <w:pPr>
        <w:spacing w:after="120"/>
      </w:pPr>
    </w:p>
    <w:p>
      <w:pPr>
        <w:pStyle w:val="Heading1"/>
        <w:spacing w:before="280" w:after="120"/>
      </w:pPr>
      <w:r>
        <w:rPr>
          <w:b/>
          <w:color w:val="003366"/>
          <w:sz w:val="32"/>
        </w:rPr>
        <w:t>4. Formal Academic Declaration of Originality</w:t>
      </w:r>
    </w:p>
    <w:p>
      <w:pPr>
        <w:spacing w:after="80" w:line="276" w:lineRule="auto"/>
      </w:pPr>
      <w:r>
        <w:rPr>
          <w:rFonts w:ascii="Calibri" w:hAnsi="Calibri"/>
          <w:i w:val="0"/>
          <w:sz w:val="21"/>
        </w:rPr>
        <w:t>I hereby declare that this research dossier, titled:</w:t>
        <w:br/>
        <w:t>'AlphaPulse: An Explainable Machine Learning Framework for Market Microstructure Analytics Grounded in Auction Market Theory and Dual-State Thermodynamic Price Acceptance'</w:t>
        <w:br/>
        <w:t>is an original body of academic and engineering research conducted by the author.</w:t>
        <w:br/>
        <w:br/>
        <w:t>All theoretical perspectives, algorithmic models, software architectures, mathematical formulations (including the Dual-Distribution Asymmetry Index and the Thermodynamic Price Acceptance Metric), and empirical validation pipelines were formulated specifically for this work.</w:t>
        <w:br/>
        <w:br/>
        <w:t>All secondary literature, foundational theorems, and external data sources have been fully cited in accordance with IEEE and APA documentation guidelines. No unverified AI hallucinations or plagiarized materials have been incorporated. This document is submitted in fulfillment of CA3 and CA4 academic evaluation benchmarks and stands prepared for formal IEEE conference manuscript conversion and viva voce defense.</w:t>
        <w:br/>
        <w:br/>
        <w:t>Declared by:</w:t>
        <w:br/>
        <w:t>Manish Patil, Senior Research Investigator</w:t>
        <w:br/>
        <w:t>Department of Computer Science &amp; Engineering</w:t>
        <w:br/>
        <w:t>Date: October 16,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