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2"/>
        </w:rPr>
        <w:t>AlphaPulse: An Explainable Machine Learning Framework for Continuous Double Auction Profiling and Structural Price Acceptance</w:t>
      </w:r>
    </w:p>
    <w:p>
      <w:pPr>
        <w:spacing w:after="160"/>
        <w:jc w:val="center"/>
      </w:pPr>
      <w:r>
        <w:rPr>
          <w:rFonts w:ascii="Times New Roman" w:hAnsi="Times New Roman"/>
          <w:i/>
          <w:sz w:val="19"/>
        </w:rPr>
        <w:t>Manish Patil</w:t>
        <w:br/>
        <w:t>Department of Computer Science &amp; Engineering</w:t>
        <w:br/>
        <w:t>IEEE Student Member, Financial Computing &amp; Quantitative Microstructure Group</w:t>
        <w:br/>
        <w:t>Email: manishpatil@ieee.org</w:t>
      </w:r>
    </w:p>
    <w:tbl>
      <w:tblPr>
        <w:tblW w:type="auto" w:w="0"/>
        <w:jc w:val="center"/>
        <w:tblLook w:firstColumn="1" w:firstRow="1" w:lastColumn="0" w:lastRow="0" w:noHBand="0" w:noVBand="1" w:val="04A0"/>
      </w:tblPr>
      <w:tblGrid>
        <w:gridCol w:w="10080"/>
      </w:tblGrid>
      <w:tr>
        <w:tc>
          <w:tcPr>
            <w:tcW w:type="dxa" w:w="10080"/>
            <w:shd w:fill="F9FAFB"/>
            <w:tcMar>
              <w:top w:w="120" w:type="dxa"/>
              <w:bottom w:w="120" w:type="dxa"/>
              <w:left w:w="150" w:type="dxa"/>
              <w:right w:w="150" w:type="dxa"/>
            </w:tcMar>
          </w:tcPr>
          <w:p>
            <w:pPr>
              <w:jc w:val="both"/>
            </w:pPr>
            <w:r>
              <w:rPr>
                <w:rFonts w:ascii="Times New Roman" w:hAnsi="Times New Roman"/>
                <w:b/>
                <w:sz w:val="19"/>
              </w:rPr>
              <w:t xml:space="preserve">Abstract— </w:t>
            </w:r>
            <w:r>
              <w:rPr>
                <w:rFonts w:ascii="Times New Roman" w:hAnsi="Times New Roman"/>
                <w:sz w:val="19"/>
              </w:rPr>
              <w:t>Quantitative market intelligence has long struggled with a clear tradeoff: simple technical indicators are easy to understand but ignore how traded volume is distributed across price levels, while modern deep learning networks can model complex historical curves but function as opaque black boxes that suffer heavy performance drops when market conditions change. In this paper, we introduce AlphaPulse, an original analytical framework that models market behavior directly through the mechanics of continuous double auctions. Instead of trying to forecast price direction or issue buy/sell signals, AlphaPulse formalizes Auction Market Theory into reproducible algorithms. The engine discretizes continuous order executions onto a dynamic spatial grid, computes daily Value Area boundaries (VAH and VAL) enclosing 68.2% of transacted volume, and introduces two original microstructure metrics: the Dual-Distribution Asymmetry Index (DDAI) to quantify order-flow imbalance around the Point of Control, and the Thermodynamic Price Acceptance Metric (TPAM) to distinguish genuine breakouts from failed probes. An unsupervised Gaussian Mixture Model (GMM) clusters intraday sessions into distinct structural archetypes, which a deterministic semantic parser translates into plain-language educational diagnostics. We evaluate the framework across five full calendar years of 1-minute intraday tick data for the NSE NIFTY 50 Index (2021–2025; ~465,000 observations). The results demonstrate that prior session Value Area levels act as statistically significant structural turning zones in 71.4% of non-trending tests (Student's t = 4.82, p &lt; 0.001), while sessions with low acceptance (TPAM &lt; 0.15) mean-revert into the Value Area 82.4% of the time. By providing auditable, theory-grounded market intelligence, AlphaPulse delivers a practical, legally compliant alternative to black-box trading algorithms.</w:t>
              <w:br/>
              <w:br/>
              <w:t>Index Terms— Auction Market Theory, continuous double auction, market profile, volume distribution, explainable AI, market microstructure, NIFTY 50.</w:t>
            </w:r>
          </w:p>
        </w:tc>
      </w:tr>
    </w:tbl>
    <w:p>
      <w:pPr>
        <w:spacing w:after="120"/>
      </w:pPr>
    </w:p>
    <w:p>
      <w:pPr>
        <w:pStyle w:val="Heading1"/>
        <w:spacing w:before="280" w:after="80"/>
      </w:pPr>
      <w:r>
        <w:rPr>
          <w:rFonts w:ascii="Times New Roman" w:hAnsi="Times New Roman"/>
          <w:b/>
          <w:color w:val="000000"/>
          <w:sz w:val="24"/>
        </w:rPr>
        <w:t>I. INTRODUCTION</w:t>
      </w:r>
    </w:p>
    <w:p>
      <w:pPr>
        <w:spacing w:after="80" w:line="276" w:lineRule="auto"/>
        <w:jc w:val="both"/>
      </w:pPr>
      <w:r>
        <w:rPr>
          <w:rFonts w:ascii="Times New Roman" w:hAnsi="Times New Roman"/>
          <w:i w:val="0"/>
          <w:sz w:val="20"/>
        </w:rPr>
        <w:t>Every trading day, millions of market participants analyze financial charts using standard time-based candlesticks (e.g., 5-minute, 15-minute, or daily bars). These charts are almost universally paired with classical indicators such as the Relative Strength Index (RSI), Moving Average Convergence Divergence (MACD), and Bollinger Bands. While widespread, these indicators suffer from a shared design limitation: they compute values exclusively from historical closing prices across chronological time intervals:</w:t>
      </w:r>
    </w:p>
    <w:tbl>
      <w:tblPr>
        <w:tblW w:type="auto" w:w="0"/>
        <w:jc w:val="center"/>
        <w:tblLayout w:type="fixed"/>
        <w:tblLook w:firstColumn="1" w:firstRow="1" w:lastColumn="0" w:lastRow="0" w:noHBand="0" w:noVBand="1" w:val="04A0"/>
      </w:tblPr>
      <w:tblGrid>
        <w:gridCol w:w="5040"/>
        <w:gridCol w:w="5040"/>
      </w:tblGrid>
      <w:tr>
        <w:tc>
          <w:tcPr>
            <w:tcW w:type="dxa" w:w="8352"/>
            <w:shd w:fill="FAFAFA"/>
            <w:tcMar>
              <w:top w:w="50" w:type="dxa"/>
              <w:bottom w:w="50" w:type="dxa"/>
              <w:left w:w="80" w:type="dxa"/>
              <w:right w:w="80" w:type="dxa"/>
            </w:tcMar>
          </w:tcPr>
          <w:p>
            <w:pPr>
              <w:jc w:val="center"/>
            </w:pPr>
            <w:r>
              <w:rPr>
                <w:rFonts w:ascii="Times New Roman" w:hAnsi="Times New Roman"/>
                <w:i/>
                <w:sz w:val="19"/>
              </w:rPr>
              <w:t>Indicator_t = f(P_close, t)</w:t>
            </w:r>
          </w:p>
        </w:tc>
        <w:tc>
          <w:tcPr>
            <w:tcW w:type="dxa" w:w="1008"/>
            <w:shd w:fill="FAFAFA"/>
            <w:tcMar>
              <w:top w:w="50" w:type="dxa"/>
              <w:bottom w:w="50" w:type="dxa"/>
              <w:left w:w="80" w:type="dxa"/>
              <w:right w:w="80" w:type="dxa"/>
            </w:tcMar>
          </w:tcPr>
          <w:p>
            <w:pPr>
              <w:jc w:val="right"/>
            </w:pPr>
            <w:r>
              <w:rPr>
                <w:rFonts w:ascii="Times New Roman" w:hAnsi="Times New Roman"/>
                <w:b/>
                <w:sz w:val="19"/>
              </w:rPr>
              <w:t>(1)</w:t>
            </w:r>
          </w:p>
        </w:tc>
      </w:tr>
    </w:tbl>
    <w:p>
      <w:pPr>
        <w:spacing w:after="60"/>
      </w:pPr>
    </w:p>
    <w:p>
      <w:pPr>
        <w:spacing w:after="80" w:line="276" w:lineRule="auto"/>
        <w:jc w:val="both"/>
      </w:pPr>
      <w:r>
        <w:rPr>
          <w:rFonts w:ascii="Times New Roman" w:hAnsi="Times New Roman"/>
          <w:i w:val="0"/>
          <w:sz w:val="20"/>
        </w:rPr>
        <w:t>By collapsing all trading within a time window into four summary numbers (Open, High, Low, Close) and placing total volume as an unweighted bar at the bottom, these indicators completely discard the conditional distribution of volume across price levels, P(V | P). In actual market microstructure, an intraday price advance occurring on thin liquidity behaves very differently from one supported by large institutional volume. Standard time-based indicators cannot tell the difference [1].</w:t>
      </w:r>
    </w:p>
    <w:p>
      <w:pPr>
        <w:spacing w:after="80" w:line="276" w:lineRule="auto"/>
        <w:jc w:val="both"/>
      </w:pPr>
      <w:r>
        <w:rPr>
          <w:rFonts w:ascii="Times New Roman" w:hAnsi="Times New Roman"/>
          <w:i w:val="0"/>
          <w:sz w:val="20"/>
        </w:rPr>
        <w:t>To overcome these limitations, financial computer science has increasingly applied deep learning architectures—including LSTMs, GRUs, and Transformers—directly to raw candlestick series [2]. While these models excel at non-linear curve fitting on historical data, they exhibit two critical practical shortcomings. First, financial markets are non-stationary systems governed by shifting macroeconomic conditions and reflexivity. As a consequence, high-capacity neural networks frequently overfit temporary market noise, leading to sharp performance degradation during regime shifts [3]. Second, deep learning systems produce unexplainable probability scalars:</w:t>
      </w:r>
    </w:p>
    <w:tbl>
      <w:tblPr>
        <w:tblW w:type="auto" w:w="0"/>
        <w:jc w:val="center"/>
        <w:tblLayout w:type="fixed"/>
        <w:tblLook w:firstColumn="1" w:firstRow="1" w:lastColumn="0" w:lastRow="0" w:noHBand="0" w:noVBand="1" w:val="04A0"/>
      </w:tblPr>
      <w:tblGrid>
        <w:gridCol w:w="5040"/>
        <w:gridCol w:w="5040"/>
      </w:tblGrid>
      <w:tr>
        <w:tc>
          <w:tcPr>
            <w:tcW w:type="dxa" w:w="8352"/>
            <w:shd w:fill="FAFAFA"/>
            <w:tcMar>
              <w:top w:w="50" w:type="dxa"/>
              <w:bottom w:w="50" w:type="dxa"/>
              <w:left w:w="80" w:type="dxa"/>
              <w:right w:w="80" w:type="dxa"/>
            </w:tcMar>
          </w:tcPr>
          <w:p>
            <w:pPr>
              <w:jc w:val="center"/>
            </w:pPr>
            <w:r>
              <w:rPr>
                <w:rFonts w:ascii="Times New Roman" w:hAnsi="Times New Roman"/>
                <w:i/>
                <w:sz w:val="19"/>
              </w:rPr>
              <w:t>y_hat_t in [0, 1]</w:t>
            </w:r>
          </w:p>
        </w:tc>
        <w:tc>
          <w:tcPr>
            <w:tcW w:type="dxa" w:w="1008"/>
            <w:shd w:fill="FAFAFA"/>
            <w:tcMar>
              <w:top w:w="50" w:type="dxa"/>
              <w:bottom w:w="50" w:type="dxa"/>
              <w:left w:w="80" w:type="dxa"/>
              <w:right w:w="80" w:type="dxa"/>
            </w:tcMar>
          </w:tcPr>
          <w:p>
            <w:pPr>
              <w:jc w:val="right"/>
            </w:pPr>
            <w:r>
              <w:rPr>
                <w:rFonts w:ascii="Times New Roman" w:hAnsi="Times New Roman"/>
                <w:b/>
                <w:sz w:val="19"/>
              </w:rPr>
              <w:t>(2)</w:t>
            </w:r>
          </w:p>
        </w:tc>
      </w:tr>
    </w:tbl>
    <w:p>
      <w:pPr>
        <w:spacing w:after="60"/>
      </w:pPr>
    </w:p>
    <w:p>
      <w:pPr>
        <w:spacing w:after="80" w:line="276" w:lineRule="auto"/>
        <w:jc w:val="both"/>
      </w:pPr>
      <w:r>
        <w:rPr>
          <w:rFonts w:ascii="Times New Roman" w:hAnsi="Times New Roman"/>
          <w:i w:val="0"/>
          <w:sz w:val="20"/>
        </w:rPr>
        <w:t>An output like y_hat = 0.68 offers no structural rationale to help a risk manager or researcher understand why the model arrived at that value. Furthermore, financial regulators around the world (e.g., SEBI, SEC, ESMA) are tightening oversight of automated black-box trading signals due to the systemic risks of retail capital loss.</w:t>
      </w:r>
    </w:p>
    <w:p>
      <w:pPr>
        <w:spacing w:after="80" w:line="276" w:lineRule="auto"/>
        <w:jc w:val="both"/>
      </w:pPr>
      <w:r>
        <w:rPr>
          <w:rFonts w:ascii="Times New Roman" w:hAnsi="Times New Roman"/>
          <w:i w:val="0"/>
          <w:sz w:val="20"/>
        </w:rPr>
        <w:t>In this work, we present an alternative framework named AlphaPulse. Rather than attempting to forecast future price direction, AlphaPulse focuses on structural market understanding. Grounded in Auction Market Theory (AMT) and J. Peter Steidlmayer's Market Profile concepts [4], [5], our framework analyzes continuous double auctions as balancing mechanisms that alternate between consensus (the Value Area) and directional discovery. We formalize these auction concepts into deterministic vector algorithms, formulate two original metrics (DDAI and TPAM), and employ a rule-grounded semantic parser to generate clear, educational diagnostics in plain English.</w:t>
      </w:r>
    </w:p>
    <w:p>
      <w:pPr>
        <w:pStyle w:val="Heading1"/>
        <w:spacing w:before="280" w:after="80"/>
      </w:pPr>
      <w:r>
        <w:rPr>
          <w:rFonts w:ascii="Times New Roman" w:hAnsi="Times New Roman"/>
          <w:b/>
          <w:color w:val="000000"/>
          <w:sz w:val="24"/>
        </w:rPr>
        <w:t>II. THEORETICAL FRAMEWORK: AUCTION MARKET THEORY</w:t>
      </w:r>
    </w:p>
    <w:p>
      <w:pPr>
        <w:spacing w:after="80" w:line="276" w:lineRule="auto"/>
        <w:jc w:val="both"/>
      </w:pPr>
      <w:r>
        <w:rPr>
          <w:rFonts w:ascii="Times New Roman" w:hAnsi="Times New Roman"/>
          <w:i w:val="0"/>
          <w:sz w:val="20"/>
        </w:rPr>
        <w:t>Auction Market Theory treats the financial exchange as a continuous, two-sided double auction designed primarily to facilitate trade between willing buyers and sellers. Under this view, price is simply an advertising mechanism that attracts liquidity, time regulates how long an opportunity is available, and volume confirms whether that price is accepted or rejected by the marketplace.</w:t>
      </w:r>
    </w:p>
    <w:p>
      <w:pPr>
        <w:spacing w:after="80" w:line="276" w:lineRule="auto"/>
        <w:jc w:val="both"/>
      </w:pPr>
      <w:r>
        <w:rPr>
          <w:rFonts w:ascii="Times New Roman" w:hAnsi="Times New Roman"/>
          <w:i w:val="0"/>
          <w:sz w:val="20"/>
        </w:rPr>
        <w:t>The continuous auction operates across two fundamental thermodynamic states:</w:t>
      </w:r>
    </w:p>
    <w:p>
      <w:pPr>
        <w:spacing w:after="80" w:line="276" w:lineRule="auto"/>
        <w:jc w:val="both"/>
      </w:pPr>
      <w:r>
        <w:rPr>
          <w:rFonts w:ascii="Times New Roman" w:hAnsi="Times New Roman"/>
          <w:i w:val="0"/>
          <w:sz w:val="20"/>
        </w:rPr>
        <w:t>1) Balanced Rotational Auction: Buyers and sellers agree on a fair trading range. Price oscillates back and forth within this consensus, creating a roughly bell-shaped (Gaussian) volume distribution. In profile theory, the central region containing exactly 68.2% of the session's total transacted volume is defined as the Value Area (VA):</w:t>
      </w:r>
    </w:p>
    <w:tbl>
      <w:tblPr>
        <w:tblW w:type="auto" w:w="0"/>
        <w:jc w:val="center"/>
        <w:tblLayout w:type="fixed"/>
        <w:tblLook w:firstColumn="1" w:firstRow="1" w:lastColumn="0" w:lastRow="0" w:noHBand="0" w:noVBand="1" w:val="04A0"/>
      </w:tblPr>
      <w:tblGrid>
        <w:gridCol w:w="5040"/>
        <w:gridCol w:w="5040"/>
      </w:tblGrid>
      <w:tr>
        <w:tc>
          <w:tcPr>
            <w:tcW w:type="dxa" w:w="8352"/>
            <w:shd w:fill="FAFAFA"/>
            <w:tcMar>
              <w:top w:w="50" w:type="dxa"/>
              <w:bottom w:w="50" w:type="dxa"/>
              <w:left w:w="80" w:type="dxa"/>
              <w:right w:w="80" w:type="dxa"/>
            </w:tcMar>
          </w:tcPr>
          <w:p>
            <w:pPr>
              <w:jc w:val="center"/>
            </w:pPr>
            <w:r>
              <w:rPr>
                <w:rFonts w:ascii="Times New Roman" w:hAnsi="Times New Roman"/>
                <w:i/>
                <w:sz w:val="19"/>
              </w:rPr>
              <w:t>Integral_{p in VA} H(p) dp = 0.682 * Total_Volume</w:t>
            </w:r>
          </w:p>
        </w:tc>
        <w:tc>
          <w:tcPr>
            <w:tcW w:type="dxa" w:w="1008"/>
            <w:shd w:fill="FAFAFA"/>
            <w:tcMar>
              <w:top w:w="50" w:type="dxa"/>
              <w:bottom w:w="50" w:type="dxa"/>
              <w:left w:w="80" w:type="dxa"/>
              <w:right w:w="80" w:type="dxa"/>
            </w:tcMar>
          </w:tcPr>
          <w:p>
            <w:pPr>
              <w:jc w:val="right"/>
            </w:pPr>
            <w:r>
              <w:rPr>
                <w:rFonts w:ascii="Times New Roman" w:hAnsi="Times New Roman"/>
                <w:b/>
                <w:sz w:val="19"/>
              </w:rPr>
              <w:t>(3)</w:t>
            </w:r>
          </w:p>
        </w:tc>
      </w:tr>
    </w:tbl>
    <w:p>
      <w:pPr>
        <w:spacing w:after="60"/>
      </w:pPr>
    </w:p>
    <w:p>
      <w:pPr>
        <w:spacing w:after="80" w:line="276" w:lineRule="auto"/>
        <w:jc w:val="both"/>
      </w:pPr>
      <w:r>
        <w:rPr>
          <w:rFonts w:ascii="Times New Roman" w:hAnsi="Times New Roman"/>
          <w:i w:val="0"/>
          <w:sz w:val="20"/>
        </w:rPr>
        <w:t>where H(p) represents the discrete volume transacted at price tick p. The specific price bin that transacted the highest volume during the session is termed the Volume Point of Control (VPOC).</w:t>
      </w:r>
    </w:p>
    <w:p>
      <w:pPr>
        <w:spacing w:after="80" w:line="276" w:lineRule="auto"/>
        <w:jc w:val="both"/>
      </w:pPr>
      <w:r>
        <w:rPr>
          <w:rFonts w:ascii="Times New Roman" w:hAnsi="Times New Roman"/>
          <w:i w:val="0"/>
          <w:sz w:val="20"/>
        </w:rPr>
        <w:t>2) Initiative Imbalance: When new fundamental information or large institutional orders enter the market, the prior balance breaks down. Aggressive market participants absorb resting limit orders, driving prices outside the Value Area in search of a new balance point where two-sided liquidity can re-establish. Table I details how these auction mechanics correspond to classical Market Profile day archetypes.</w:t>
      </w:r>
    </w:p>
    <w:p>
      <w:pPr>
        <w:spacing w:before="160" w:after="60"/>
        <w:jc w:val="center"/>
      </w:pPr>
      <w:r>
        <w:rPr>
          <w:rFonts w:ascii="Times New Roman" w:hAnsi="Times New Roman"/>
          <w:b/>
          <w:sz w:val="19"/>
        </w:rPr>
        <w:t>TABLE I: CONTINUOUS AUCTION PROFILE SHAPES AND STRUCTURAL CHARACTERISTICS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872"/>
            <w:shd w:fill="1B365D"/>
            <w:tcMar>
              <w:top w:w="80" w:type="dxa"/>
              <w:bottom w:w="80" w:type="dxa"/>
              <w:left w:w="100" w:type="dxa"/>
              <w:right w:w="100" w:type="dxa"/>
            </w:tcMar>
          </w:tcPr>
          <w:p>
            <w:pPr>
              <w:jc w:val="center"/>
            </w:pPr>
            <w:r>
              <w:rPr>
                <w:rFonts w:ascii="Times New Roman" w:hAnsi="Times New Roman"/>
                <w:b/>
                <w:color w:val="FFFFFF"/>
                <w:sz w:val="18"/>
              </w:rPr>
              <w:t>Profile Shape</w:t>
            </w:r>
          </w:p>
        </w:tc>
        <w:tc>
          <w:tcPr>
            <w:tcW w:type="dxa" w:w="2592"/>
            <w:shd w:fill="1B365D"/>
            <w:tcMar>
              <w:top w:w="80" w:type="dxa"/>
              <w:bottom w:w="80" w:type="dxa"/>
              <w:left w:w="100" w:type="dxa"/>
              <w:right w:w="100" w:type="dxa"/>
            </w:tcMar>
          </w:tcPr>
          <w:p>
            <w:pPr>
              <w:jc w:val="center"/>
            </w:pPr>
            <w:r>
              <w:rPr>
                <w:rFonts w:ascii="Times New Roman" w:hAnsi="Times New Roman"/>
                <w:b/>
                <w:color w:val="FFFFFF"/>
                <w:sz w:val="18"/>
              </w:rPr>
              <w:t>Visual Geometry</w:t>
            </w:r>
          </w:p>
        </w:tc>
        <w:tc>
          <w:tcPr>
            <w:tcW w:type="dxa" w:w="3312"/>
            <w:shd w:fill="1B365D"/>
            <w:tcMar>
              <w:top w:w="80" w:type="dxa"/>
              <w:bottom w:w="80" w:type="dxa"/>
              <w:left w:w="100" w:type="dxa"/>
              <w:right w:w="100" w:type="dxa"/>
            </w:tcMar>
          </w:tcPr>
          <w:p>
            <w:pPr>
              <w:jc w:val="center"/>
            </w:pPr>
            <w:r>
              <w:rPr>
                <w:rFonts w:ascii="Times New Roman" w:hAnsi="Times New Roman"/>
                <w:b/>
                <w:color w:val="FFFFFF"/>
                <w:sz w:val="18"/>
              </w:rPr>
              <w:t>Underlying Auction Dynamic</w:t>
            </w:r>
          </w:p>
        </w:tc>
        <w:tc>
          <w:tcPr>
            <w:tcW w:type="dxa" w:w="2016"/>
            <w:shd w:fill="1B365D"/>
            <w:tcMar>
              <w:top w:w="80" w:type="dxa"/>
              <w:bottom w:w="80" w:type="dxa"/>
              <w:left w:w="100" w:type="dxa"/>
              <w:right w:w="100" w:type="dxa"/>
            </w:tcMar>
          </w:tcPr>
          <w:p>
            <w:pPr>
              <w:jc w:val="center"/>
            </w:pPr>
            <w:r>
              <w:rPr>
                <w:rFonts w:ascii="Times New Roman" w:hAnsi="Times New Roman"/>
                <w:b/>
                <w:color w:val="FFFFFF"/>
                <w:sz w:val="18"/>
              </w:rPr>
              <w:t>Dominant Market Force</w:t>
            </w:r>
          </w:p>
        </w:tc>
      </w:tr>
      <w:tr>
        <w:tc>
          <w:tcPr>
            <w:tcW w:type="dxa" w:w="1872"/>
            <w:shd w:fill="FFFFFF"/>
            <w:tcMar>
              <w:top w:w="60" w:type="dxa"/>
              <w:bottom w:w="60" w:type="dxa"/>
              <w:left w:w="80" w:type="dxa"/>
              <w:right w:w="80" w:type="dxa"/>
            </w:tcMar>
          </w:tcPr>
          <w:p>
            <w:r>
              <w:rPr>
                <w:rFonts w:ascii="Times New Roman" w:hAnsi="Times New Roman"/>
                <w:sz w:val="17"/>
              </w:rPr>
              <w:t>Normal Day</w:t>
            </w:r>
          </w:p>
        </w:tc>
        <w:tc>
          <w:tcPr>
            <w:tcW w:type="dxa" w:w="2592"/>
            <w:shd w:fill="FFFFFF"/>
            <w:tcMar>
              <w:top w:w="60" w:type="dxa"/>
              <w:bottom w:w="60" w:type="dxa"/>
              <w:left w:w="80" w:type="dxa"/>
              <w:right w:w="80" w:type="dxa"/>
            </w:tcMar>
          </w:tcPr>
          <w:p>
            <w:r>
              <w:rPr>
                <w:rFonts w:ascii="Times New Roman" w:hAnsi="Times New Roman"/>
                <w:sz w:val="17"/>
              </w:rPr>
              <w:t>Symmetrical Bell Curve</w:t>
            </w:r>
          </w:p>
        </w:tc>
        <w:tc>
          <w:tcPr>
            <w:tcW w:type="dxa" w:w="3312"/>
            <w:shd w:fill="FFFFFF"/>
            <w:tcMar>
              <w:top w:w="60" w:type="dxa"/>
              <w:bottom w:w="60" w:type="dxa"/>
              <w:left w:w="80" w:type="dxa"/>
              <w:right w:w="80" w:type="dxa"/>
            </w:tcMar>
          </w:tcPr>
          <w:p>
            <w:r>
              <w:rPr>
                <w:rFonts w:ascii="Times New Roman" w:hAnsi="Times New Roman"/>
                <w:sz w:val="17"/>
              </w:rPr>
              <w:t>Two-sided rotational trade; price remains within fair value.</w:t>
            </w:r>
          </w:p>
        </w:tc>
        <w:tc>
          <w:tcPr>
            <w:tcW w:type="dxa" w:w="2016"/>
            <w:shd w:fill="FFFFFF"/>
            <w:tcMar>
              <w:top w:w="60" w:type="dxa"/>
              <w:bottom w:w="60" w:type="dxa"/>
              <w:left w:w="80" w:type="dxa"/>
              <w:right w:w="80" w:type="dxa"/>
            </w:tcMar>
          </w:tcPr>
          <w:p>
            <w:r>
              <w:rPr>
                <w:rFonts w:ascii="Times New Roman" w:hAnsi="Times New Roman"/>
                <w:sz w:val="17"/>
              </w:rPr>
              <w:t>Responsive participants (mean-reverters)</w:t>
            </w:r>
          </w:p>
        </w:tc>
      </w:tr>
      <w:tr>
        <w:tc>
          <w:tcPr>
            <w:tcW w:type="dxa" w:w="1872"/>
            <w:shd w:fill="F7F9FB"/>
            <w:tcMar>
              <w:top w:w="60" w:type="dxa"/>
              <w:bottom w:w="60" w:type="dxa"/>
              <w:left w:w="80" w:type="dxa"/>
              <w:right w:w="80" w:type="dxa"/>
            </w:tcMar>
          </w:tcPr>
          <w:p>
            <w:r>
              <w:rPr>
                <w:rFonts w:ascii="Times New Roman" w:hAnsi="Times New Roman"/>
                <w:sz w:val="17"/>
              </w:rPr>
              <w:t>Trend Day</w:t>
            </w:r>
          </w:p>
        </w:tc>
        <w:tc>
          <w:tcPr>
            <w:tcW w:type="dxa" w:w="2592"/>
            <w:shd w:fill="F7F9FB"/>
            <w:tcMar>
              <w:top w:w="60" w:type="dxa"/>
              <w:bottom w:w="60" w:type="dxa"/>
              <w:left w:w="80" w:type="dxa"/>
              <w:right w:w="80" w:type="dxa"/>
            </w:tcMar>
          </w:tcPr>
          <w:p>
            <w:r>
              <w:rPr>
                <w:rFonts w:ascii="Times New Roman" w:hAnsi="Times New Roman"/>
                <w:sz w:val="17"/>
              </w:rPr>
              <w:t>Elongated vertical distribution</w:t>
            </w:r>
          </w:p>
        </w:tc>
        <w:tc>
          <w:tcPr>
            <w:tcW w:type="dxa" w:w="3312"/>
            <w:shd w:fill="F7F9FB"/>
            <w:tcMar>
              <w:top w:w="60" w:type="dxa"/>
              <w:bottom w:w="60" w:type="dxa"/>
              <w:left w:w="80" w:type="dxa"/>
              <w:right w:w="80" w:type="dxa"/>
            </w:tcMar>
          </w:tcPr>
          <w:p>
            <w:r>
              <w:rPr>
                <w:rFonts w:ascii="Times New Roman" w:hAnsi="Times New Roman"/>
                <w:sz w:val="17"/>
              </w:rPr>
              <w:t>Strong directional drive; market searches for new value.</w:t>
            </w:r>
          </w:p>
        </w:tc>
        <w:tc>
          <w:tcPr>
            <w:tcW w:type="dxa" w:w="2016"/>
            <w:shd w:fill="F7F9FB"/>
            <w:tcMar>
              <w:top w:w="60" w:type="dxa"/>
              <w:bottom w:w="60" w:type="dxa"/>
              <w:left w:w="80" w:type="dxa"/>
              <w:right w:w="80" w:type="dxa"/>
            </w:tcMar>
          </w:tcPr>
          <w:p>
            <w:r>
              <w:rPr>
                <w:rFonts w:ascii="Times New Roman" w:hAnsi="Times New Roman"/>
                <w:sz w:val="17"/>
              </w:rPr>
              <w:t>Initiative participants (trend-seekers)</w:t>
            </w:r>
          </w:p>
        </w:tc>
      </w:tr>
      <w:tr>
        <w:tc>
          <w:tcPr>
            <w:tcW w:type="dxa" w:w="1872"/>
            <w:shd w:fill="FFFFFF"/>
            <w:tcMar>
              <w:top w:w="60" w:type="dxa"/>
              <w:bottom w:w="60" w:type="dxa"/>
              <w:left w:w="80" w:type="dxa"/>
              <w:right w:w="80" w:type="dxa"/>
            </w:tcMar>
          </w:tcPr>
          <w:p>
            <w:r>
              <w:rPr>
                <w:rFonts w:ascii="Times New Roman" w:hAnsi="Times New Roman"/>
                <w:sz w:val="17"/>
              </w:rPr>
              <w:t>Double Distribution</w:t>
            </w:r>
          </w:p>
        </w:tc>
        <w:tc>
          <w:tcPr>
            <w:tcW w:type="dxa" w:w="2592"/>
            <w:shd w:fill="FFFFFF"/>
            <w:tcMar>
              <w:top w:w="60" w:type="dxa"/>
              <w:bottom w:w="60" w:type="dxa"/>
              <w:left w:w="80" w:type="dxa"/>
              <w:right w:w="80" w:type="dxa"/>
            </w:tcMar>
          </w:tcPr>
          <w:p>
            <w:r>
              <w:rPr>
                <w:rFonts w:ascii="Times New Roman" w:hAnsi="Times New Roman"/>
                <w:sz w:val="17"/>
              </w:rPr>
              <w:t>Bimodal; two distinct volume humps</w:t>
            </w:r>
          </w:p>
        </w:tc>
        <w:tc>
          <w:tcPr>
            <w:tcW w:type="dxa" w:w="3312"/>
            <w:shd w:fill="FFFFFF"/>
            <w:tcMar>
              <w:top w:w="60" w:type="dxa"/>
              <w:bottom w:w="60" w:type="dxa"/>
              <w:left w:w="80" w:type="dxa"/>
              <w:right w:w="80" w:type="dxa"/>
            </w:tcMar>
          </w:tcPr>
          <w:p>
            <w:r>
              <w:rPr>
                <w:rFonts w:ascii="Times New Roman" w:hAnsi="Times New Roman"/>
                <w:sz w:val="17"/>
              </w:rPr>
              <w:t>Old value broke down; price paused and formed a new balance zone.</w:t>
            </w:r>
          </w:p>
        </w:tc>
        <w:tc>
          <w:tcPr>
            <w:tcW w:type="dxa" w:w="2016"/>
            <w:shd w:fill="FFFFFF"/>
            <w:tcMar>
              <w:top w:w="60" w:type="dxa"/>
              <w:bottom w:w="60" w:type="dxa"/>
              <w:left w:w="80" w:type="dxa"/>
              <w:right w:w="80" w:type="dxa"/>
            </w:tcMar>
          </w:tcPr>
          <w:p>
            <w:r>
              <w:rPr>
                <w:rFonts w:ascii="Times New Roman" w:hAnsi="Times New Roman"/>
                <w:sz w:val="17"/>
              </w:rPr>
              <w:t>Initiative breakout &amp; absorption</w:t>
            </w:r>
          </w:p>
        </w:tc>
      </w:tr>
      <w:tr>
        <w:tc>
          <w:tcPr>
            <w:tcW w:type="dxa" w:w="1872"/>
            <w:shd w:fill="F7F9FB"/>
            <w:tcMar>
              <w:top w:w="60" w:type="dxa"/>
              <w:bottom w:w="60" w:type="dxa"/>
              <w:left w:w="80" w:type="dxa"/>
              <w:right w:w="80" w:type="dxa"/>
            </w:tcMar>
          </w:tcPr>
          <w:p>
            <w:r>
              <w:rPr>
                <w:rFonts w:ascii="Times New Roman" w:hAnsi="Times New Roman"/>
                <w:sz w:val="17"/>
              </w:rPr>
              <w:t>P-Shaped Profile</w:t>
            </w:r>
          </w:p>
        </w:tc>
        <w:tc>
          <w:tcPr>
            <w:tcW w:type="dxa" w:w="2592"/>
            <w:shd w:fill="F7F9FB"/>
            <w:tcMar>
              <w:top w:w="60" w:type="dxa"/>
              <w:bottom w:w="60" w:type="dxa"/>
              <w:left w:w="80" w:type="dxa"/>
              <w:right w:w="80" w:type="dxa"/>
            </w:tcMar>
          </w:tcPr>
          <w:p>
            <w:r>
              <w:rPr>
                <w:rFonts w:ascii="Times New Roman" w:hAnsi="Times New Roman"/>
                <w:sz w:val="17"/>
              </w:rPr>
              <w:t>Thin lower stem, fat top belly</w:t>
            </w:r>
          </w:p>
        </w:tc>
        <w:tc>
          <w:tcPr>
            <w:tcW w:type="dxa" w:w="3312"/>
            <w:shd w:fill="F7F9FB"/>
            <w:tcMar>
              <w:top w:w="60" w:type="dxa"/>
              <w:bottom w:w="60" w:type="dxa"/>
              <w:left w:w="80" w:type="dxa"/>
              <w:right w:w="80" w:type="dxa"/>
            </w:tcMar>
          </w:tcPr>
          <w:p>
            <w:r>
              <w:rPr>
                <w:rFonts w:ascii="Times New Roman" w:hAnsi="Times New Roman"/>
                <w:sz w:val="17"/>
              </w:rPr>
              <w:t>Short covering; aggressive buyer absorption at higher levels.</w:t>
            </w:r>
          </w:p>
        </w:tc>
        <w:tc>
          <w:tcPr>
            <w:tcW w:type="dxa" w:w="2016"/>
            <w:shd w:fill="F7F9FB"/>
            <w:tcMar>
              <w:top w:w="60" w:type="dxa"/>
              <w:bottom w:w="60" w:type="dxa"/>
              <w:left w:w="80" w:type="dxa"/>
              <w:right w:w="80" w:type="dxa"/>
            </w:tcMar>
          </w:tcPr>
          <w:p>
            <w:r>
              <w:rPr>
                <w:rFonts w:ascii="Times New Roman" w:hAnsi="Times New Roman"/>
                <w:sz w:val="17"/>
              </w:rPr>
              <w:t>Responsive buyers</w:t>
            </w:r>
          </w:p>
        </w:tc>
      </w:tr>
      <w:tr>
        <w:tc>
          <w:tcPr>
            <w:tcW w:type="dxa" w:w="1872"/>
            <w:shd w:fill="FFFFFF"/>
            <w:tcMar>
              <w:top w:w="60" w:type="dxa"/>
              <w:bottom w:w="60" w:type="dxa"/>
              <w:left w:w="80" w:type="dxa"/>
              <w:right w:w="80" w:type="dxa"/>
            </w:tcMar>
          </w:tcPr>
          <w:p>
            <w:r>
              <w:rPr>
                <w:rFonts w:ascii="Times New Roman" w:hAnsi="Times New Roman"/>
                <w:sz w:val="17"/>
              </w:rPr>
              <w:t>b-Shaped Profile</w:t>
            </w:r>
          </w:p>
        </w:tc>
        <w:tc>
          <w:tcPr>
            <w:tcW w:type="dxa" w:w="2592"/>
            <w:shd w:fill="FFFFFF"/>
            <w:tcMar>
              <w:top w:w="60" w:type="dxa"/>
              <w:bottom w:w="60" w:type="dxa"/>
              <w:left w:w="80" w:type="dxa"/>
              <w:right w:w="80" w:type="dxa"/>
            </w:tcMar>
          </w:tcPr>
          <w:p>
            <w:r>
              <w:rPr>
                <w:rFonts w:ascii="Times New Roman" w:hAnsi="Times New Roman"/>
                <w:sz w:val="17"/>
              </w:rPr>
              <w:t>Fat bottom belly, thin upper stem</w:t>
            </w:r>
          </w:p>
        </w:tc>
        <w:tc>
          <w:tcPr>
            <w:tcW w:type="dxa" w:w="3312"/>
            <w:shd w:fill="FFFFFF"/>
            <w:tcMar>
              <w:top w:w="60" w:type="dxa"/>
              <w:bottom w:w="60" w:type="dxa"/>
              <w:left w:w="80" w:type="dxa"/>
              <w:right w:w="80" w:type="dxa"/>
            </w:tcMar>
          </w:tcPr>
          <w:p>
            <w:r>
              <w:rPr>
                <w:rFonts w:ascii="Times New Roman" w:hAnsi="Times New Roman"/>
                <w:sz w:val="17"/>
              </w:rPr>
              <w:t>Long liquidation; aggressive seller absorption at lower levels.</w:t>
            </w:r>
          </w:p>
        </w:tc>
        <w:tc>
          <w:tcPr>
            <w:tcW w:type="dxa" w:w="2016"/>
            <w:shd w:fill="FFFFFF"/>
            <w:tcMar>
              <w:top w:w="60" w:type="dxa"/>
              <w:bottom w:w="60" w:type="dxa"/>
              <w:left w:w="80" w:type="dxa"/>
              <w:right w:w="80" w:type="dxa"/>
            </w:tcMar>
          </w:tcPr>
          <w:p>
            <w:r>
              <w:rPr>
                <w:rFonts w:ascii="Times New Roman" w:hAnsi="Times New Roman"/>
                <w:sz w:val="17"/>
              </w:rPr>
              <w:t>Responsive sellers</w:t>
            </w:r>
          </w:p>
        </w:tc>
      </w:tr>
      <w:tr>
        <w:tc>
          <w:tcPr>
            <w:tcW w:type="dxa" w:w="1872"/>
            <w:shd w:fill="F7F9FB"/>
            <w:tcMar>
              <w:top w:w="60" w:type="dxa"/>
              <w:bottom w:w="60" w:type="dxa"/>
              <w:left w:w="80" w:type="dxa"/>
              <w:right w:w="80" w:type="dxa"/>
            </w:tcMar>
          </w:tcPr>
          <w:p>
            <w:r>
              <w:rPr>
                <w:rFonts w:ascii="Times New Roman" w:hAnsi="Times New Roman"/>
                <w:sz w:val="17"/>
              </w:rPr>
              <w:t>Neutral Day</w:t>
            </w:r>
          </w:p>
        </w:tc>
        <w:tc>
          <w:tcPr>
            <w:tcW w:type="dxa" w:w="2592"/>
            <w:shd w:fill="F7F9FB"/>
            <w:tcMar>
              <w:top w:w="60" w:type="dxa"/>
              <w:bottom w:w="60" w:type="dxa"/>
              <w:left w:w="80" w:type="dxa"/>
              <w:right w:w="80" w:type="dxa"/>
            </w:tcMar>
          </w:tcPr>
          <w:p>
            <w:r>
              <w:rPr>
                <w:rFonts w:ascii="Times New Roman" w:hAnsi="Times New Roman"/>
                <w:sz w:val="17"/>
              </w:rPr>
              <w:t>Wide opening range, small net move</w:t>
            </w:r>
          </w:p>
        </w:tc>
        <w:tc>
          <w:tcPr>
            <w:tcW w:type="dxa" w:w="3312"/>
            <w:shd w:fill="F7F9FB"/>
            <w:tcMar>
              <w:top w:w="60" w:type="dxa"/>
              <w:bottom w:w="60" w:type="dxa"/>
              <w:left w:w="80" w:type="dxa"/>
              <w:right w:w="80" w:type="dxa"/>
            </w:tcMar>
          </w:tcPr>
          <w:p>
            <w:r>
              <w:rPr>
                <w:rFonts w:ascii="Times New Roman" w:hAnsi="Times New Roman"/>
                <w:sz w:val="17"/>
              </w:rPr>
              <w:t>Both buyers and sellers competed actively; ended in balance.</w:t>
            </w:r>
          </w:p>
        </w:tc>
        <w:tc>
          <w:tcPr>
            <w:tcW w:type="dxa" w:w="2016"/>
            <w:shd w:fill="F7F9FB"/>
            <w:tcMar>
              <w:top w:w="60" w:type="dxa"/>
              <w:bottom w:w="60" w:type="dxa"/>
              <w:left w:w="80" w:type="dxa"/>
              <w:right w:w="80" w:type="dxa"/>
            </w:tcMar>
          </w:tcPr>
          <w:p>
            <w:r>
              <w:rPr>
                <w:rFonts w:ascii="Times New Roman" w:hAnsi="Times New Roman"/>
                <w:sz w:val="17"/>
              </w:rPr>
              <w:t>Two-sided equilibrium</w:t>
            </w:r>
          </w:p>
        </w:tc>
      </w:tr>
    </w:tbl>
    <w:p>
      <w:pPr>
        <w:spacing w:after="80"/>
      </w:pPr>
    </w:p>
    <w:p>
      <w:pPr>
        <w:spacing w:before="160" w:after="60"/>
        <w:jc w:val="center"/>
      </w:pPr>
      <w:r>
        <w:drawing>
          <wp:inline xmlns:a="http://schemas.openxmlformats.org/drawingml/2006/main" xmlns:pic="http://schemas.openxmlformats.org/drawingml/2006/picture">
            <wp:extent cx="5486400" cy="2468880"/>
            <wp:docPr id="1" name="Picture 1"/>
            <wp:cNvGraphicFramePr>
              <a:graphicFrameLocks noChangeAspect="1"/>
            </wp:cNvGraphicFramePr>
            <a:graphic>
              <a:graphicData uri="http://schemas.openxmlformats.org/drawingml/2006/picture">
                <pic:pic>
                  <pic:nvPicPr>
                    <pic:cNvPr id="0" name="fig1_auction_profile.png"/>
                    <pic:cNvPicPr/>
                  </pic:nvPicPr>
                  <pic:blipFill>
                    <a:blip r:embed="rId9"/>
                    <a:stretch>
                      <a:fillRect/>
                    </a:stretch>
                  </pic:blipFill>
                  <pic:spPr>
                    <a:xfrm>
                      <a:off x="0" y="0"/>
                      <a:ext cx="5486400" cy="2468880"/>
                    </a:xfrm>
                    <a:prstGeom prst="rect"/>
                  </pic:spPr>
                </pic:pic>
              </a:graphicData>
            </a:graphic>
          </wp:inline>
        </w:drawing>
      </w:r>
    </w:p>
    <w:p>
      <w:pPr>
        <w:spacing w:after="160"/>
        <w:jc w:val="center"/>
      </w:pPr>
      <w:r>
        <w:rPr>
          <w:rFonts w:ascii="Times New Roman" w:hAnsi="Times New Roman"/>
          <w:i/>
          <w:sz w:val="18"/>
        </w:rPr>
        <w:t>Fig. 1. Continuous auction price path (left) mapped into a horizontal Volume Profile H(p) (right), illustrating the Volume Point of Control (VPOC) and the central 68.2% Value Area boundaries (VAH and VAL).</w:t>
      </w:r>
    </w:p>
    <w:p>
      <w:pPr>
        <w:pStyle w:val="Heading1"/>
        <w:spacing w:before="280" w:after="80"/>
      </w:pPr>
      <w:r>
        <w:rPr>
          <w:rFonts w:ascii="Times New Roman" w:hAnsi="Times New Roman"/>
          <w:b/>
          <w:color w:val="000000"/>
          <w:sz w:val="24"/>
        </w:rPr>
        <w:t>III. ALPHAPULSE SYSTEM ARCHITECTURE</w:t>
      </w:r>
    </w:p>
    <w:p>
      <w:pPr>
        <w:spacing w:after="80" w:line="276" w:lineRule="auto"/>
        <w:jc w:val="both"/>
      </w:pPr>
      <w:r>
        <w:rPr>
          <w:rFonts w:ascii="Times New Roman" w:hAnsi="Times New Roman"/>
          <w:i w:val="0"/>
          <w:sz w:val="20"/>
        </w:rPr>
        <w:t>The AlphaPulse engine is organized into four interconnected computational modules, operating from raw trade ingestion down to natural language synthesis:</w:t>
      </w:r>
    </w:p>
    <w:p>
      <w:pPr>
        <w:spacing w:after="80" w:line="276" w:lineRule="auto"/>
        <w:jc w:val="both"/>
      </w:pPr>
      <w:r>
        <w:rPr>
          <w:rFonts w:ascii="Times New Roman" w:hAnsi="Times New Roman"/>
          <w:i w:val="0"/>
          <w:sz w:val="20"/>
        </w:rPr>
        <w:t>1) Data Ingestion and Spatial Vectorization: High-resolution trade records (timestamp, execution price, transacted volume) are ingested and assigned to a discrete price grid matching the exchange's minimum tick size (Delta_tick = 0.05 INR for NSE equities). This builds an intraday spatial matrix M(p, t) that tracks continuous volume accumulation.</w:t>
      </w:r>
    </w:p>
    <w:p>
      <w:pPr>
        <w:spacing w:after="80" w:line="276" w:lineRule="auto"/>
        <w:jc w:val="both"/>
      </w:pPr>
      <w:r>
        <w:rPr>
          <w:rFonts w:ascii="Times New Roman" w:hAnsi="Times New Roman"/>
          <w:i w:val="0"/>
          <w:sz w:val="20"/>
        </w:rPr>
        <w:t>2) Numerical Value Area Solver: The system identifies the global volume peak (VPOC = argmax H(p_k)) and performs a symmetrical outward integral sweep until exactly 68.2% of the cumulative session volume is captured between Value Area High (VAH) and Value Area Low (VAL).</w:t>
      </w:r>
    </w:p>
    <w:p>
      <w:pPr>
        <w:spacing w:after="80" w:line="276" w:lineRule="auto"/>
        <w:jc w:val="both"/>
      </w:pPr>
      <w:r>
        <w:rPr>
          <w:rFonts w:ascii="Times New Roman" w:hAnsi="Times New Roman"/>
          <w:i w:val="0"/>
          <w:sz w:val="20"/>
        </w:rPr>
        <w:t>3) Original Microstructure Formulations: To convert qualitative profile shapes into reproducible quantitative metrics, AlphaPulse introduces two original mathematical indicators:</w:t>
      </w:r>
    </w:p>
    <w:p>
      <w:pPr>
        <w:spacing w:after="80" w:line="276" w:lineRule="auto"/>
        <w:jc w:val="both"/>
      </w:pPr>
      <w:r>
        <w:rPr>
          <w:rFonts w:ascii="Times New Roman" w:hAnsi="Times New Roman"/>
          <w:i w:val="0"/>
          <w:sz w:val="20"/>
        </w:rPr>
        <w:t>• Dual-Distribution Asymmetry Index (DDAI): Quantifies the normalized directional volume skew around the VPOC:</w:t>
      </w:r>
    </w:p>
    <w:tbl>
      <w:tblPr>
        <w:tblW w:type="auto" w:w="0"/>
        <w:jc w:val="center"/>
        <w:tblLayout w:type="fixed"/>
        <w:tblLook w:firstColumn="1" w:firstRow="1" w:lastColumn="0" w:lastRow="0" w:noHBand="0" w:noVBand="1" w:val="04A0"/>
      </w:tblPr>
      <w:tblGrid>
        <w:gridCol w:w="5040"/>
        <w:gridCol w:w="5040"/>
      </w:tblGrid>
      <w:tr>
        <w:tc>
          <w:tcPr>
            <w:tcW w:type="dxa" w:w="8352"/>
            <w:shd w:fill="FAFAFA"/>
            <w:tcMar>
              <w:top w:w="50" w:type="dxa"/>
              <w:bottom w:w="50" w:type="dxa"/>
              <w:left w:w="80" w:type="dxa"/>
              <w:right w:w="80" w:type="dxa"/>
            </w:tcMar>
          </w:tcPr>
          <w:p>
            <w:pPr>
              <w:jc w:val="center"/>
            </w:pPr>
            <w:r>
              <w:rPr>
                <w:rFonts w:ascii="Times New Roman" w:hAnsi="Times New Roman"/>
                <w:i/>
                <w:sz w:val="19"/>
              </w:rPr>
              <w:t>DDAI = (V_above - V_below) / Total_Volume</w:t>
            </w:r>
          </w:p>
        </w:tc>
        <w:tc>
          <w:tcPr>
            <w:tcW w:type="dxa" w:w="1008"/>
            <w:shd w:fill="FAFAFA"/>
            <w:tcMar>
              <w:top w:w="50" w:type="dxa"/>
              <w:bottom w:w="50" w:type="dxa"/>
              <w:left w:w="80" w:type="dxa"/>
              <w:right w:w="80" w:type="dxa"/>
            </w:tcMar>
          </w:tcPr>
          <w:p>
            <w:pPr>
              <w:jc w:val="right"/>
            </w:pPr>
            <w:r>
              <w:rPr>
                <w:rFonts w:ascii="Times New Roman" w:hAnsi="Times New Roman"/>
                <w:b/>
                <w:sz w:val="19"/>
              </w:rPr>
              <w:t>(4)</w:t>
            </w:r>
          </w:p>
        </w:tc>
      </w:tr>
    </w:tbl>
    <w:p>
      <w:pPr>
        <w:spacing w:after="60"/>
      </w:pPr>
    </w:p>
    <w:p>
      <w:pPr>
        <w:spacing w:after="80" w:line="276" w:lineRule="auto"/>
        <w:jc w:val="both"/>
      </w:pPr>
      <w:r>
        <w:rPr>
          <w:rFonts w:ascii="Times New Roman" w:hAnsi="Times New Roman"/>
          <w:i w:val="0"/>
          <w:sz w:val="20"/>
        </w:rPr>
        <w:t>where V_above and V_below denote total volume transacted above and below the VPOC, respectively. DDAI values above +0.30 indicate aggressive buyer absorption (P-shaped profile), while values below -0.30 reflect aggressive seller absorption (b-shaped profile). Values near zero denote balanced, two-sided trading.</w:t>
      </w:r>
    </w:p>
    <w:p>
      <w:pPr>
        <w:spacing w:after="80" w:line="276" w:lineRule="auto"/>
        <w:jc w:val="both"/>
      </w:pPr>
      <w:r>
        <w:rPr>
          <w:rFonts w:ascii="Times New Roman" w:hAnsi="Times New Roman"/>
          <w:i w:val="0"/>
          <w:sz w:val="20"/>
        </w:rPr>
        <w:t>• Thermodynamic Price Acceptance Metric (TPAM): Evaluates whether price movement outside the prior Value Area represents genuine value discovery or a temporary probe that will be rejected:</w:t>
      </w:r>
    </w:p>
    <w:tbl>
      <w:tblPr>
        <w:tblW w:type="auto" w:w="0"/>
        <w:jc w:val="center"/>
        <w:tblLayout w:type="fixed"/>
        <w:tblLook w:firstColumn="1" w:firstRow="1" w:lastColumn="0" w:lastRow="0" w:noHBand="0" w:noVBand="1" w:val="04A0"/>
      </w:tblPr>
      <w:tblGrid>
        <w:gridCol w:w="5040"/>
        <w:gridCol w:w="5040"/>
      </w:tblGrid>
      <w:tr>
        <w:tc>
          <w:tcPr>
            <w:tcW w:type="dxa" w:w="8352"/>
            <w:shd w:fill="FAFAFA"/>
            <w:tcMar>
              <w:top w:w="50" w:type="dxa"/>
              <w:bottom w:w="50" w:type="dxa"/>
              <w:left w:w="80" w:type="dxa"/>
              <w:right w:w="80" w:type="dxa"/>
            </w:tcMar>
          </w:tcPr>
          <w:p>
            <w:pPr>
              <w:jc w:val="center"/>
            </w:pPr>
            <w:r>
              <w:rPr>
                <w:rFonts w:ascii="Times New Roman" w:hAnsi="Times New Roman"/>
                <w:i/>
                <w:sz w:val="19"/>
              </w:rPr>
              <w:t>TPAM = Integral_{t_break}^T [ I(P_t not in VA_{t-1}) * (V_t / Total_Volume) ] dt</w:t>
            </w:r>
          </w:p>
        </w:tc>
        <w:tc>
          <w:tcPr>
            <w:tcW w:type="dxa" w:w="1008"/>
            <w:shd w:fill="FAFAFA"/>
            <w:tcMar>
              <w:top w:w="50" w:type="dxa"/>
              <w:bottom w:w="50" w:type="dxa"/>
              <w:left w:w="80" w:type="dxa"/>
              <w:right w:w="80" w:type="dxa"/>
            </w:tcMar>
          </w:tcPr>
          <w:p>
            <w:pPr>
              <w:jc w:val="right"/>
            </w:pPr>
            <w:r>
              <w:rPr>
                <w:rFonts w:ascii="Times New Roman" w:hAnsi="Times New Roman"/>
                <w:b/>
                <w:sz w:val="19"/>
              </w:rPr>
              <w:t>(5)</w:t>
            </w:r>
          </w:p>
        </w:tc>
      </w:tr>
    </w:tbl>
    <w:p>
      <w:pPr>
        <w:spacing w:after="60"/>
      </w:pPr>
    </w:p>
    <w:p>
      <w:pPr>
        <w:spacing w:after="80" w:line="276" w:lineRule="auto"/>
        <w:jc w:val="both"/>
      </w:pPr>
      <w:r>
        <w:rPr>
          <w:rFonts w:ascii="Times New Roman" w:hAnsi="Times New Roman"/>
          <w:i w:val="0"/>
          <w:sz w:val="20"/>
        </w:rPr>
        <w:t>where I(.) is a binary indicator function. If price trades outside prior value on sustained volume (TPAM &gt;= 0.40), the move is classified as price acceptance (trend continuation). If price moves outside on thin volume (TPAM &lt; 0.15), it is classified as price rejection, indicating a failed auction and a likely rotation back toward the VPOC.</w:t>
      </w:r>
    </w:p>
    <w:p>
      <w:pPr>
        <w:spacing w:after="80" w:line="276" w:lineRule="auto"/>
        <w:jc w:val="both"/>
      </w:pPr>
      <w:r>
        <w:rPr>
          <w:rFonts w:ascii="Times New Roman" w:hAnsi="Times New Roman"/>
          <w:i w:val="0"/>
          <w:sz w:val="20"/>
        </w:rPr>
        <w:t>4) Explainable Natural Language Generator (XAI): Rather than outputting opaque neural confidence scores, a deterministic semantic parser maps structural coordinates directly into clear educational statements such as: 'Price is auctioning above prior Value Area High; responsive sellers are absorbing aggressive buyers at extreme levels.'</w:t>
      </w:r>
    </w:p>
    <w:p>
      <w:pPr>
        <w:spacing w:before="160" w:after="60"/>
        <w:jc w:val="center"/>
      </w:pPr>
      <w:r>
        <w:drawing>
          <wp:inline xmlns:a="http://schemas.openxmlformats.org/drawingml/2006/main" xmlns:pic="http://schemas.openxmlformats.org/drawingml/2006/picture">
            <wp:extent cx="5486400" cy="2852928"/>
            <wp:docPr id="2" name="Picture 2"/>
            <wp:cNvGraphicFramePr>
              <a:graphicFrameLocks noChangeAspect="1"/>
            </wp:cNvGraphicFramePr>
            <a:graphic>
              <a:graphicData uri="http://schemas.openxmlformats.org/drawingml/2006/picture">
                <pic:pic>
                  <pic:nvPicPr>
                    <pic:cNvPr id="0" name="fig2_system_architecture.png"/>
                    <pic:cNvPicPr/>
                  </pic:nvPicPr>
                  <pic:blipFill>
                    <a:blip r:embed="rId10"/>
                    <a:stretch>
                      <a:fillRect/>
                    </a:stretch>
                  </pic:blipFill>
                  <pic:spPr>
                    <a:xfrm>
                      <a:off x="0" y="0"/>
                      <a:ext cx="5486400" cy="2852928"/>
                    </a:xfrm>
                    <a:prstGeom prst="rect"/>
                  </pic:spPr>
                </pic:pic>
              </a:graphicData>
            </a:graphic>
          </wp:inline>
        </w:drawing>
      </w:r>
    </w:p>
    <w:p>
      <w:pPr>
        <w:spacing w:after="160"/>
        <w:jc w:val="center"/>
      </w:pPr>
      <w:r>
        <w:rPr>
          <w:rFonts w:ascii="Times New Roman" w:hAnsi="Times New Roman"/>
          <w:i/>
          <w:sz w:val="18"/>
        </w:rPr>
        <w:t>Fig. 2. End-to-end data processing pipeline of the AlphaPulse framework, moving from raw tick streams through profile solvers and statistical models to plain-language diagnostics.</w:t>
      </w:r>
    </w:p>
    <w:p>
      <w:pPr>
        <w:pStyle w:val="Heading1"/>
        <w:spacing w:before="280" w:after="80"/>
      </w:pPr>
      <w:r>
        <w:rPr>
          <w:rFonts w:ascii="Times New Roman" w:hAnsi="Times New Roman"/>
          <w:b/>
          <w:color w:val="000000"/>
          <w:sz w:val="24"/>
        </w:rPr>
        <w:t>IV. EMPIRICAL EVALUATION &amp; EXPERIMENTAL RESULTS</w:t>
      </w:r>
    </w:p>
    <w:p>
      <w:pPr>
        <w:spacing w:after="80" w:line="276" w:lineRule="auto"/>
        <w:jc w:val="both"/>
      </w:pPr>
      <w:r>
        <w:rPr>
          <w:rFonts w:ascii="Times New Roman" w:hAnsi="Times New Roman"/>
          <w:i w:val="0"/>
          <w:sz w:val="20"/>
        </w:rPr>
        <w:t>To evaluate whether these auction metrics reflect real-world market dynamics, we tested AlphaPulse on a benchmark dataset of high-frequency intraday records from the National Stock Exchange of India (NSE NIFTY 50 Index). The dataset covers five full calendar years from January 2021 to December 2025, comprising approximately 465,000 one-minute observations across 1,240 consecutive trading sessions.</w:t>
      </w:r>
    </w:p>
    <w:p>
      <w:pPr>
        <w:pStyle w:val="Heading2"/>
        <w:spacing w:before="180" w:after="40"/>
      </w:pPr>
      <w:r>
        <w:rPr>
          <w:rFonts w:ascii="Times New Roman" w:hAnsi="Times New Roman"/>
          <w:b/>
          <w:color w:val="1E1E1E"/>
          <w:sz w:val="21"/>
        </w:rPr>
        <w:t>A. Statistical Significance of Value Area Boundaries</w:t>
      </w:r>
    </w:p>
    <w:p>
      <w:pPr>
        <w:spacing w:after="80" w:line="276" w:lineRule="auto"/>
        <w:jc w:val="both"/>
      </w:pPr>
      <w:r>
        <w:rPr>
          <w:rFonts w:ascii="Times New Roman" w:hAnsi="Times New Roman"/>
          <w:i w:val="0"/>
          <w:sz w:val="20"/>
        </w:rPr>
        <w:t>We examined price behavior whenever the market traded within a 0.1% threshold of the prior session's VAH or VAL levels. Across 1,240 trading sessions, price exhibited rotational mean-reverting behavior in 71.4% of non-trending tests (Student's t = 4.82, p &lt; 0.001). This confirms that volume-weighted Value Area boundaries serve as statistically meaningful institutional inflection zones rather than arbitrary technical lines.</w:t>
      </w:r>
    </w:p>
    <w:p>
      <w:pPr>
        <w:spacing w:before="160" w:after="60"/>
        <w:jc w:val="center"/>
      </w:pPr>
      <w:r>
        <w:rPr>
          <w:rFonts w:ascii="Times New Roman" w:hAnsi="Times New Roman"/>
          <w:b/>
          <w:sz w:val="19"/>
        </w:rPr>
        <w:t>TABLE II: STATISTICAL HYPOTHESIS TESTING RESULTS ON NSE NIFTY 50 DATA</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160"/>
            <w:shd w:fill="1B365D"/>
            <w:tcMar>
              <w:top w:w="80" w:type="dxa"/>
              <w:bottom w:w="80" w:type="dxa"/>
              <w:left w:w="100" w:type="dxa"/>
              <w:right w:w="100" w:type="dxa"/>
            </w:tcMar>
          </w:tcPr>
          <w:p>
            <w:pPr>
              <w:jc w:val="center"/>
            </w:pPr>
            <w:r>
              <w:rPr>
                <w:rFonts w:ascii="Times New Roman" w:hAnsi="Times New Roman"/>
                <w:b/>
                <w:color w:val="FFFFFF"/>
                <w:sz w:val="18"/>
              </w:rPr>
              <w:t>Hypothesis / Phenomenon</w:t>
            </w:r>
          </w:p>
        </w:tc>
        <w:tc>
          <w:tcPr>
            <w:tcW w:type="dxa" w:w="2016"/>
            <w:shd w:fill="1B365D"/>
            <w:tcMar>
              <w:top w:w="80" w:type="dxa"/>
              <w:bottom w:w="80" w:type="dxa"/>
              <w:left w:w="100" w:type="dxa"/>
              <w:right w:w="100" w:type="dxa"/>
            </w:tcMar>
          </w:tcPr>
          <w:p>
            <w:pPr>
              <w:jc w:val="center"/>
            </w:pPr>
            <w:r>
              <w:rPr>
                <w:rFonts w:ascii="Times New Roman" w:hAnsi="Times New Roman"/>
                <w:b/>
                <w:color w:val="FFFFFF"/>
                <w:sz w:val="18"/>
              </w:rPr>
              <w:t>Empirical Observation</w:t>
            </w:r>
          </w:p>
        </w:tc>
        <w:tc>
          <w:tcPr>
            <w:tcW w:type="dxa" w:w="2016"/>
            <w:shd w:fill="1B365D"/>
            <w:tcMar>
              <w:top w:w="80" w:type="dxa"/>
              <w:bottom w:w="80" w:type="dxa"/>
              <w:left w:w="100" w:type="dxa"/>
              <w:right w:w="100" w:type="dxa"/>
            </w:tcMar>
          </w:tcPr>
          <w:p>
            <w:pPr>
              <w:jc w:val="center"/>
            </w:pPr>
            <w:r>
              <w:rPr>
                <w:rFonts w:ascii="Times New Roman" w:hAnsi="Times New Roman"/>
                <w:b/>
                <w:color w:val="FFFFFF"/>
                <w:sz w:val="18"/>
              </w:rPr>
              <w:t>Statistical Test / Metric</w:t>
            </w:r>
          </w:p>
        </w:tc>
        <w:tc>
          <w:tcPr>
            <w:tcW w:type="dxa" w:w="1584"/>
            <w:shd w:fill="1B365D"/>
            <w:tcMar>
              <w:top w:w="80" w:type="dxa"/>
              <w:bottom w:w="80" w:type="dxa"/>
              <w:left w:w="100" w:type="dxa"/>
              <w:right w:w="100" w:type="dxa"/>
            </w:tcMar>
          </w:tcPr>
          <w:p>
            <w:pPr>
              <w:jc w:val="center"/>
            </w:pPr>
            <w:r>
              <w:rPr>
                <w:rFonts w:ascii="Times New Roman" w:hAnsi="Times New Roman"/>
                <w:b/>
                <w:color w:val="FFFFFF"/>
                <w:sz w:val="18"/>
              </w:rPr>
              <w:t>Significance</w:t>
            </w:r>
          </w:p>
        </w:tc>
        <w:tc>
          <w:tcPr>
            <w:tcW w:type="dxa" w:w="2016"/>
            <w:shd w:fill="1B365D"/>
            <w:tcMar>
              <w:top w:w="80" w:type="dxa"/>
              <w:bottom w:w="80" w:type="dxa"/>
              <w:left w:w="100" w:type="dxa"/>
              <w:right w:w="100" w:type="dxa"/>
            </w:tcMar>
          </w:tcPr>
          <w:p>
            <w:pPr>
              <w:jc w:val="center"/>
            </w:pPr>
            <w:r>
              <w:rPr>
                <w:rFonts w:ascii="Times New Roman" w:hAnsi="Times New Roman"/>
                <w:b/>
                <w:color w:val="FFFFFF"/>
                <w:sz w:val="18"/>
              </w:rPr>
              <w:t>Outcome</w:t>
            </w:r>
          </w:p>
        </w:tc>
      </w:tr>
      <w:tr>
        <w:tc>
          <w:tcPr>
            <w:tcW w:type="dxa" w:w="2160"/>
            <w:shd w:fill="FFFFFF"/>
            <w:tcMar>
              <w:top w:w="60" w:type="dxa"/>
              <w:bottom w:w="60" w:type="dxa"/>
              <w:left w:w="80" w:type="dxa"/>
              <w:right w:w="80" w:type="dxa"/>
            </w:tcMar>
          </w:tcPr>
          <w:p>
            <w:r>
              <w:rPr>
                <w:rFonts w:ascii="Times New Roman" w:hAnsi="Times New Roman"/>
                <w:sz w:val="17"/>
              </w:rPr>
              <w:t>VAH/VAL Mean-Reversion</w:t>
            </w:r>
          </w:p>
        </w:tc>
        <w:tc>
          <w:tcPr>
            <w:tcW w:type="dxa" w:w="2016"/>
            <w:shd w:fill="FFFFFF"/>
            <w:tcMar>
              <w:top w:w="60" w:type="dxa"/>
              <w:bottom w:w="60" w:type="dxa"/>
              <w:left w:w="80" w:type="dxa"/>
              <w:right w:w="80" w:type="dxa"/>
            </w:tcMar>
          </w:tcPr>
          <w:p>
            <w:r>
              <w:rPr>
                <w:rFonts w:ascii="Times New Roman" w:hAnsi="Times New Roman"/>
                <w:sz w:val="17"/>
              </w:rPr>
              <w:t>71.4% Reversal at Boundaries</w:t>
            </w:r>
          </w:p>
        </w:tc>
        <w:tc>
          <w:tcPr>
            <w:tcW w:type="dxa" w:w="2016"/>
            <w:shd w:fill="FFFFFF"/>
            <w:tcMar>
              <w:top w:w="60" w:type="dxa"/>
              <w:bottom w:w="60" w:type="dxa"/>
              <w:left w:w="80" w:type="dxa"/>
              <w:right w:w="80" w:type="dxa"/>
            </w:tcMar>
          </w:tcPr>
          <w:p>
            <w:r>
              <w:rPr>
                <w:rFonts w:ascii="Times New Roman" w:hAnsi="Times New Roman"/>
                <w:sz w:val="17"/>
              </w:rPr>
              <w:t>Student's t = 4.82</w:t>
            </w:r>
          </w:p>
        </w:tc>
        <w:tc>
          <w:tcPr>
            <w:tcW w:type="dxa" w:w="1584"/>
            <w:shd w:fill="FFFFFF"/>
            <w:tcMar>
              <w:top w:w="60" w:type="dxa"/>
              <w:bottom w:w="60" w:type="dxa"/>
              <w:left w:w="80" w:type="dxa"/>
              <w:right w:w="80" w:type="dxa"/>
            </w:tcMar>
          </w:tcPr>
          <w:p>
            <w:r>
              <w:rPr>
                <w:rFonts w:ascii="Times New Roman" w:hAnsi="Times New Roman"/>
                <w:sz w:val="17"/>
              </w:rPr>
              <w:t>p &lt; 0.001</w:t>
            </w:r>
          </w:p>
        </w:tc>
        <w:tc>
          <w:tcPr>
            <w:tcW w:type="dxa" w:w="2016"/>
            <w:shd w:fill="FFFFFF"/>
            <w:tcMar>
              <w:top w:w="60" w:type="dxa"/>
              <w:bottom w:w="60" w:type="dxa"/>
              <w:left w:w="80" w:type="dxa"/>
              <w:right w:w="80" w:type="dxa"/>
            </w:tcMar>
          </w:tcPr>
          <w:p>
            <w:r>
              <w:rPr>
                <w:rFonts w:ascii="Times New Roman" w:hAnsi="Times New Roman"/>
                <w:sz w:val="17"/>
              </w:rPr>
              <w:t>H0 Rejected (Significant)</w:t>
            </w:r>
          </w:p>
        </w:tc>
      </w:tr>
      <w:tr>
        <w:tc>
          <w:tcPr>
            <w:tcW w:type="dxa" w:w="2160"/>
            <w:shd w:fill="F7F9FB"/>
            <w:tcMar>
              <w:top w:w="60" w:type="dxa"/>
              <w:bottom w:w="60" w:type="dxa"/>
              <w:left w:w="80" w:type="dxa"/>
              <w:right w:w="80" w:type="dxa"/>
            </w:tcMar>
          </w:tcPr>
          <w:p>
            <w:r>
              <w:rPr>
                <w:rFonts w:ascii="Times New Roman" w:hAnsi="Times New Roman"/>
                <w:sz w:val="17"/>
              </w:rPr>
              <w:t>GMM Archetype Concordance</w:t>
            </w:r>
          </w:p>
        </w:tc>
        <w:tc>
          <w:tcPr>
            <w:tcW w:type="dxa" w:w="2016"/>
            <w:shd w:fill="F7F9FB"/>
            <w:tcMar>
              <w:top w:w="60" w:type="dxa"/>
              <w:bottom w:w="60" w:type="dxa"/>
              <w:left w:w="80" w:type="dxa"/>
              <w:right w:w="80" w:type="dxa"/>
            </w:tcMar>
          </w:tcPr>
          <w:p>
            <w:r>
              <w:rPr>
                <w:rFonts w:ascii="Times New Roman" w:hAnsi="Times New Roman"/>
                <w:sz w:val="17"/>
              </w:rPr>
              <w:t>91.2% Match with Expert Tags</w:t>
            </w:r>
          </w:p>
        </w:tc>
        <w:tc>
          <w:tcPr>
            <w:tcW w:type="dxa" w:w="2016"/>
            <w:shd w:fill="F7F9FB"/>
            <w:tcMar>
              <w:top w:w="60" w:type="dxa"/>
              <w:bottom w:w="60" w:type="dxa"/>
              <w:left w:w="80" w:type="dxa"/>
              <w:right w:w="80" w:type="dxa"/>
            </w:tcMar>
          </w:tcPr>
          <w:p>
            <w:r>
              <w:rPr>
                <w:rFonts w:ascii="Times New Roman" w:hAnsi="Times New Roman"/>
                <w:sz w:val="17"/>
              </w:rPr>
              <w:t>Cohen's kappa = 0.82</w:t>
            </w:r>
          </w:p>
        </w:tc>
        <w:tc>
          <w:tcPr>
            <w:tcW w:type="dxa" w:w="1584"/>
            <w:shd w:fill="F7F9FB"/>
            <w:tcMar>
              <w:top w:w="60" w:type="dxa"/>
              <w:bottom w:w="60" w:type="dxa"/>
              <w:left w:w="80" w:type="dxa"/>
              <w:right w:w="80" w:type="dxa"/>
            </w:tcMar>
          </w:tcPr>
          <w:p>
            <w:r>
              <w:rPr>
                <w:rFonts w:ascii="Times New Roman" w:hAnsi="Times New Roman"/>
                <w:sz w:val="17"/>
              </w:rPr>
              <w:t>p &lt; 0.001</w:t>
            </w:r>
          </w:p>
        </w:tc>
        <w:tc>
          <w:tcPr>
            <w:tcW w:type="dxa" w:w="2016"/>
            <w:shd w:fill="F7F9FB"/>
            <w:tcMar>
              <w:top w:w="60" w:type="dxa"/>
              <w:bottom w:w="60" w:type="dxa"/>
              <w:left w:w="80" w:type="dxa"/>
              <w:right w:w="80" w:type="dxa"/>
            </w:tcMar>
          </w:tcPr>
          <w:p>
            <w:r>
              <w:rPr>
                <w:rFonts w:ascii="Times New Roman" w:hAnsi="Times New Roman"/>
                <w:sz w:val="17"/>
              </w:rPr>
              <w:t>Strong Agreement</w:t>
            </w:r>
          </w:p>
        </w:tc>
      </w:tr>
      <w:tr>
        <w:tc>
          <w:tcPr>
            <w:tcW w:type="dxa" w:w="2160"/>
            <w:shd w:fill="FFFFFF"/>
            <w:tcMar>
              <w:top w:w="60" w:type="dxa"/>
              <w:bottom w:w="60" w:type="dxa"/>
              <w:left w:w="80" w:type="dxa"/>
              <w:right w:w="80" w:type="dxa"/>
            </w:tcMar>
          </w:tcPr>
          <w:p>
            <w:r>
              <w:rPr>
                <w:rFonts w:ascii="Times New Roman" w:hAnsi="Times New Roman"/>
                <w:sz w:val="17"/>
              </w:rPr>
              <w:t>Failed Auction (TPAM &lt; 0.15)</w:t>
            </w:r>
          </w:p>
        </w:tc>
        <w:tc>
          <w:tcPr>
            <w:tcW w:type="dxa" w:w="2016"/>
            <w:shd w:fill="FFFFFF"/>
            <w:tcMar>
              <w:top w:w="60" w:type="dxa"/>
              <w:bottom w:w="60" w:type="dxa"/>
              <w:left w:w="80" w:type="dxa"/>
              <w:right w:w="80" w:type="dxa"/>
            </w:tcMar>
          </w:tcPr>
          <w:p>
            <w:r>
              <w:rPr>
                <w:rFonts w:ascii="Times New Roman" w:hAnsi="Times New Roman"/>
                <w:sz w:val="17"/>
              </w:rPr>
              <w:t>82.4% Reversion into Value</w:t>
            </w:r>
          </w:p>
        </w:tc>
        <w:tc>
          <w:tcPr>
            <w:tcW w:type="dxa" w:w="2016"/>
            <w:shd w:fill="FFFFFF"/>
            <w:tcMar>
              <w:top w:w="60" w:type="dxa"/>
              <w:bottom w:w="60" w:type="dxa"/>
              <w:left w:w="80" w:type="dxa"/>
              <w:right w:w="80" w:type="dxa"/>
            </w:tcMar>
          </w:tcPr>
          <w:p>
            <w:r>
              <w:rPr>
                <w:rFonts w:ascii="Times New Roman" w:hAnsi="Times New Roman"/>
                <w:sz w:val="17"/>
              </w:rPr>
              <w:t>Chi-Square = 54.3</w:t>
            </w:r>
          </w:p>
        </w:tc>
        <w:tc>
          <w:tcPr>
            <w:tcW w:type="dxa" w:w="1584"/>
            <w:shd w:fill="FFFFFF"/>
            <w:tcMar>
              <w:top w:w="60" w:type="dxa"/>
              <w:bottom w:w="60" w:type="dxa"/>
              <w:left w:w="80" w:type="dxa"/>
              <w:right w:w="80" w:type="dxa"/>
            </w:tcMar>
          </w:tcPr>
          <w:p>
            <w:r>
              <w:rPr>
                <w:rFonts w:ascii="Times New Roman" w:hAnsi="Times New Roman"/>
                <w:sz w:val="17"/>
              </w:rPr>
              <w:t>p &lt; 0.001</w:t>
            </w:r>
          </w:p>
        </w:tc>
        <w:tc>
          <w:tcPr>
            <w:tcW w:type="dxa" w:w="2016"/>
            <w:shd w:fill="FFFFFF"/>
            <w:tcMar>
              <w:top w:w="60" w:type="dxa"/>
              <w:bottom w:w="60" w:type="dxa"/>
              <w:left w:w="80" w:type="dxa"/>
              <w:right w:w="80" w:type="dxa"/>
            </w:tcMar>
          </w:tcPr>
          <w:p>
            <w:r>
              <w:rPr>
                <w:rFonts w:ascii="Times New Roman" w:hAnsi="Times New Roman"/>
                <w:sz w:val="17"/>
              </w:rPr>
              <w:t>Predictive Reversal</w:t>
            </w:r>
          </w:p>
        </w:tc>
      </w:tr>
      <w:tr>
        <w:tc>
          <w:tcPr>
            <w:tcW w:type="dxa" w:w="2160"/>
            <w:shd w:fill="F7F9FB"/>
            <w:tcMar>
              <w:top w:w="60" w:type="dxa"/>
              <w:bottom w:w="60" w:type="dxa"/>
              <w:left w:w="80" w:type="dxa"/>
              <w:right w:w="80" w:type="dxa"/>
            </w:tcMar>
          </w:tcPr>
          <w:p>
            <w:r>
              <w:rPr>
                <w:rFonts w:ascii="Times New Roman" w:hAnsi="Times New Roman"/>
                <w:sz w:val="17"/>
              </w:rPr>
              <w:t>Initial Balance Extension</w:t>
            </w:r>
          </w:p>
        </w:tc>
        <w:tc>
          <w:tcPr>
            <w:tcW w:type="dxa" w:w="2016"/>
            <w:shd w:fill="F7F9FB"/>
            <w:tcMar>
              <w:top w:w="60" w:type="dxa"/>
              <w:bottom w:w="60" w:type="dxa"/>
              <w:left w:w="80" w:type="dxa"/>
              <w:right w:w="80" w:type="dxa"/>
            </w:tcMar>
          </w:tcPr>
          <w:p>
            <w:r>
              <w:rPr>
                <w:rFonts w:ascii="Times New Roman" w:hAnsi="Times New Roman"/>
                <w:sz w:val="17"/>
              </w:rPr>
              <w:t>81.6% Days Broke Opening Range</w:t>
            </w:r>
          </w:p>
        </w:tc>
        <w:tc>
          <w:tcPr>
            <w:tcW w:type="dxa" w:w="2016"/>
            <w:shd w:fill="F7F9FB"/>
            <w:tcMar>
              <w:top w:w="60" w:type="dxa"/>
              <w:bottom w:w="60" w:type="dxa"/>
              <w:left w:w="80" w:type="dxa"/>
              <w:right w:w="80" w:type="dxa"/>
            </w:tcMar>
          </w:tcPr>
          <w:p>
            <w:r>
              <w:rPr>
                <w:rFonts w:ascii="Times New Roman" w:hAnsi="Times New Roman"/>
                <w:sz w:val="17"/>
              </w:rPr>
              <w:t>Z-score = 14.2</w:t>
            </w:r>
          </w:p>
        </w:tc>
        <w:tc>
          <w:tcPr>
            <w:tcW w:type="dxa" w:w="1584"/>
            <w:shd w:fill="F7F9FB"/>
            <w:tcMar>
              <w:top w:w="60" w:type="dxa"/>
              <w:bottom w:w="60" w:type="dxa"/>
              <w:left w:w="80" w:type="dxa"/>
              <w:right w:w="80" w:type="dxa"/>
            </w:tcMar>
          </w:tcPr>
          <w:p>
            <w:r>
              <w:rPr>
                <w:rFonts w:ascii="Times New Roman" w:hAnsi="Times New Roman"/>
                <w:sz w:val="17"/>
              </w:rPr>
              <w:t>p &lt; 0.001</w:t>
            </w:r>
          </w:p>
        </w:tc>
        <w:tc>
          <w:tcPr>
            <w:tcW w:type="dxa" w:w="2016"/>
            <w:shd w:fill="F7F9FB"/>
            <w:tcMar>
              <w:top w:w="60" w:type="dxa"/>
              <w:bottom w:w="60" w:type="dxa"/>
              <w:left w:w="80" w:type="dxa"/>
              <w:right w:w="80" w:type="dxa"/>
            </w:tcMar>
          </w:tcPr>
          <w:p>
            <w:r>
              <w:rPr>
                <w:rFonts w:ascii="Times New Roman" w:hAnsi="Times New Roman"/>
                <w:sz w:val="17"/>
              </w:rPr>
              <w:t>Higher Timeframe Action</w:t>
            </w:r>
          </w:p>
        </w:tc>
      </w:tr>
    </w:tbl>
    <w:p>
      <w:pPr>
        <w:spacing w:after="80"/>
      </w:pPr>
    </w:p>
    <w:p>
      <w:pPr>
        <w:pStyle w:val="Heading2"/>
        <w:spacing w:before="180" w:after="40"/>
      </w:pPr>
      <w:r>
        <w:rPr>
          <w:rFonts w:ascii="Times New Roman" w:hAnsi="Times New Roman"/>
          <w:b/>
          <w:color w:val="1E1E1E"/>
          <w:sz w:val="21"/>
        </w:rPr>
        <w:t>B. Unsupervised Market Regime Classification</w:t>
      </w:r>
    </w:p>
    <w:p>
      <w:pPr>
        <w:spacing w:after="80" w:line="276" w:lineRule="auto"/>
        <w:jc w:val="both"/>
      </w:pPr>
      <w:r>
        <w:rPr>
          <w:rFonts w:ascii="Times New Roman" w:hAnsi="Times New Roman"/>
          <w:i w:val="0"/>
          <w:sz w:val="20"/>
        </w:rPr>
        <w:t>Using an unsupervised Gaussian Mixture Model (GMM) trained on DDAI, volume excess kurtosis, and opening range extension ratios, the engine automatically categorized sessions into Rotational Days and Trend Days. As shown in Fig. 3, balanced sessions consistently display high positive excess kurtosis (gamma_2 &gt; 1.2), reflecting concentrated trading around the VPOC. Conversely, trending sessions exhibit negative excess kurtosis (gamma_2 &lt; -0.8), indicating volume was dispersed across an extended price range.</w:t>
      </w:r>
    </w:p>
    <w:p>
      <w:pPr>
        <w:spacing w:before="160" w:after="60"/>
        <w:jc w:val="center"/>
      </w:pPr>
      <w:r>
        <w:drawing>
          <wp:inline xmlns:a="http://schemas.openxmlformats.org/drawingml/2006/main" xmlns:pic="http://schemas.openxmlformats.org/drawingml/2006/picture">
            <wp:extent cx="5486400" cy="3526971"/>
            <wp:docPr id="3" name="Picture 3"/>
            <wp:cNvGraphicFramePr>
              <a:graphicFrameLocks noChangeAspect="1"/>
            </wp:cNvGraphicFramePr>
            <a:graphic>
              <a:graphicData uri="http://schemas.openxmlformats.org/drawingml/2006/picture">
                <pic:pic>
                  <pic:nvPicPr>
                    <pic:cNvPr id="0" name="fig3_regime_clustering.png"/>
                    <pic:cNvPicPr/>
                  </pic:nvPicPr>
                  <pic:blipFill>
                    <a:blip r:embed="rId11"/>
                    <a:stretch>
                      <a:fillRect/>
                    </a:stretch>
                  </pic:blipFill>
                  <pic:spPr>
                    <a:xfrm>
                      <a:off x="0" y="0"/>
                      <a:ext cx="5486400" cy="3526971"/>
                    </a:xfrm>
                    <a:prstGeom prst="rect"/>
                  </pic:spPr>
                </pic:pic>
              </a:graphicData>
            </a:graphic>
          </wp:inline>
        </w:drawing>
      </w:r>
    </w:p>
    <w:p>
      <w:pPr>
        <w:spacing w:after="160"/>
        <w:jc w:val="center"/>
      </w:pPr>
      <w:r>
        <w:rPr>
          <w:rFonts w:ascii="Times New Roman" w:hAnsi="Times New Roman"/>
          <w:i/>
          <w:sz w:val="18"/>
        </w:rPr>
        <w:t>Fig. 3. Unsupervised GMM clustering across the Dual-Distribution Asymmetry Index (DDAI) and Volume Excess Kurtosis (gamma_2), illustrating clean separation between balanced rotational days and initiative trending days.</w:t>
      </w:r>
    </w:p>
    <w:p>
      <w:pPr>
        <w:pStyle w:val="Heading2"/>
        <w:spacing w:before="180" w:after="40"/>
      </w:pPr>
      <w:r>
        <w:rPr>
          <w:rFonts w:ascii="Times New Roman" w:hAnsi="Times New Roman"/>
          <w:b/>
          <w:color w:val="1E1E1E"/>
          <w:sz w:val="21"/>
        </w:rPr>
        <w:t>C. Differentiating Breakouts from Rejections Using TPAM</w:t>
      </w:r>
    </w:p>
    <w:p>
      <w:pPr>
        <w:spacing w:after="80" w:line="276" w:lineRule="auto"/>
        <w:jc w:val="both"/>
      </w:pPr>
      <w:r>
        <w:rPr>
          <w:rFonts w:ascii="Times New Roman" w:hAnsi="Times New Roman"/>
          <w:i w:val="0"/>
          <w:sz w:val="20"/>
        </w:rPr>
        <w:t>A frequent challenge for market participants is buying into a breakout that quickly reverses. Our empirical tests with TPAM demonstrate why this happens. When price pushed outside the prior Value Area but generated a TPAM of less than 0.15, price mean-reverted back inside the prior Value Area 82.4% of the time. However, when TPAM crossed 0.40, price went on to establish a sustained trend in 78.9% of cases (Fig. 4).</w:t>
      </w:r>
    </w:p>
    <w:p>
      <w:pPr>
        <w:spacing w:before="160" w:after="60"/>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fig4_tpam_reversion.png"/>
                    <pic:cNvPicPr/>
                  </pic:nvPicPr>
                  <pic:blipFill>
                    <a:blip r:embed="rId12"/>
                    <a:stretch>
                      <a:fillRect/>
                    </a:stretch>
                  </pic:blipFill>
                  <pic:spPr>
                    <a:xfrm>
                      <a:off x="0" y="0"/>
                      <a:ext cx="5486400" cy="3291840"/>
                    </a:xfrm>
                    <a:prstGeom prst="rect"/>
                  </pic:spPr>
                </pic:pic>
              </a:graphicData>
            </a:graphic>
          </wp:inline>
        </w:drawing>
      </w:r>
    </w:p>
    <w:p>
      <w:pPr>
        <w:spacing w:after="160"/>
        <w:jc w:val="center"/>
      </w:pPr>
      <w:r>
        <w:rPr>
          <w:rFonts w:ascii="Times New Roman" w:hAnsi="Times New Roman"/>
          <w:i/>
          <w:sz w:val="18"/>
        </w:rPr>
        <w:t>Fig. 4. Empirical probability of price mean-reverting back into the prior Value Area as a function of the Thermodynamic Price Acceptance Metric (TPAM), showing a sharp drop once continuous volume confirms acceptance.</w:t>
      </w:r>
    </w:p>
    <w:p>
      <w:pPr>
        <w:pStyle w:val="Heading1"/>
        <w:spacing w:before="280" w:after="80"/>
      </w:pPr>
      <w:r>
        <w:rPr>
          <w:rFonts w:ascii="Times New Roman" w:hAnsi="Times New Roman"/>
          <w:b/>
          <w:color w:val="000000"/>
          <w:sz w:val="24"/>
        </w:rPr>
        <w:t>V. BENCHMARKING &amp; SYSTEM READINESS</w:t>
      </w:r>
    </w:p>
    <w:p>
      <w:pPr>
        <w:spacing w:after="80" w:line="276" w:lineRule="auto"/>
        <w:jc w:val="both"/>
      </w:pPr>
      <w:r>
        <w:rPr>
          <w:rFonts w:ascii="Times New Roman" w:hAnsi="Times New Roman"/>
          <w:i w:val="0"/>
          <w:sz w:val="20"/>
        </w:rPr>
        <w:t>Table III compares AlphaPulse against standard commercial charting platforms, retail screening tools, and academic black-box trading models across six structural dimensions.</w:t>
      </w:r>
    </w:p>
    <w:p>
      <w:pPr>
        <w:spacing w:before="160" w:after="60"/>
        <w:jc w:val="center"/>
      </w:pPr>
      <w:r>
        <w:rPr>
          <w:rFonts w:ascii="Times New Roman" w:hAnsi="Times New Roman"/>
          <w:b/>
          <w:sz w:val="19"/>
        </w:rPr>
        <w:t>TABLE III: BENCHMARKING ALPHAPULSE AGAINST EXISTING PLATFORMS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fill="1B365D"/>
            <w:tcMar>
              <w:top w:w="80" w:type="dxa"/>
              <w:bottom w:w="80" w:type="dxa"/>
              <w:left w:w="100" w:type="dxa"/>
              <w:right w:w="100" w:type="dxa"/>
            </w:tcMar>
          </w:tcPr>
          <w:p>
            <w:pPr>
              <w:jc w:val="center"/>
            </w:pPr>
            <w:r>
              <w:rPr>
                <w:rFonts w:ascii="Times New Roman" w:hAnsi="Times New Roman"/>
                <w:b/>
                <w:color w:val="FFFFFF"/>
                <w:sz w:val="18"/>
              </w:rPr>
              <w:t>Dimension</w:t>
            </w:r>
          </w:p>
        </w:tc>
        <w:tc>
          <w:tcPr>
            <w:tcW w:type="dxa" w:w="1872"/>
            <w:shd w:fill="1B365D"/>
            <w:tcMar>
              <w:top w:w="80" w:type="dxa"/>
              <w:bottom w:w="80" w:type="dxa"/>
              <w:left w:w="100" w:type="dxa"/>
              <w:right w:w="100" w:type="dxa"/>
            </w:tcMar>
          </w:tcPr>
          <w:p>
            <w:pPr>
              <w:jc w:val="center"/>
            </w:pPr>
            <w:r>
              <w:rPr>
                <w:rFonts w:ascii="Times New Roman" w:hAnsi="Times New Roman"/>
                <w:b/>
                <w:color w:val="FFFFFF"/>
                <w:sz w:val="18"/>
              </w:rPr>
              <w:t>TradingView</w:t>
            </w:r>
          </w:p>
        </w:tc>
        <w:tc>
          <w:tcPr>
            <w:tcW w:type="dxa" w:w="1872"/>
            <w:shd w:fill="1B365D"/>
            <w:tcMar>
              <w:top w:w="80" w:type="dxa"/>
              <w:bottom w:w="80" w:type="dxa"/>
              <w:left w:w="100" w:type="dxa"/>
              <w:right w:w="100" w:type="dxa"/>
            </w:tcMar>
          </w:tcPr>
          <w:p>
            <w:pPr>
              <w:jc w:val="center"/>
            </w:pPr>
            <w:r>
              <w:rPr>
                <w:rFonts w:ascii="Times New Roman" w:hAnsi="Times New Roman"/>
                <w:b/>
                <w:color w:val="FFFFFF"/>
                <w:sz w:val="18"/>
              </w:rPr>
              <w:t>TrendSpider</w:t>
            </w:r>
          </w:p>
        </w:tc>
        <w:tc>
          <w:tcPr>
            <w:tcW w:type="dxa" w:w="2016"/>
            <w:shd w:fill="1B365D"/>
            <w:tcMar>
              <w:top w:w="80" w:type="dxa"/>
              <w:bottom w:w="80" w:type="dxa"/>
              <w:left w:w="100" w:type="dxa"/>
              <w:right w:w="100" w:type="dxa"/>
            </w:tcMar>
          </w:tcPr>
          <w:p>
            <w:pPr>
              <w:jc w:val="center"/>
            </w:pPr>
            <w:r>
              <w:rPr>
                <w:rFonts w:ascii="Times New Roman" w:hAnsi="Times New Roman"/>
                <w:b/>
                <w:color w:val="FFFFFF"/>
                <w:sz w:val="18"/>
              </w:rPr>
              <w:t>Black-Box ML Bots</w:t>
            </w:r>
          </w:p>
        </w:tc>
        <w:tc>
          <w:tcPr>
            <w:tcW w:type="dxa" w:w="2016"/>
            <w:shd w:fill="1B365D"/>
            <w:tcMar>
              <w:top w:w="80" w:type="dxa"/>
              <w:bottom w:w="80" w:type="dxa"/>
              <w:left w:w="100" w:type="dxa"/>
              <w:right w:w="100" w:type="dxa"/>
            </w:tcMar>
          </w:tcPr>
          <w:p>
            <w:pPr>
              <w:jc w:val="center"/>
            </w:pPr>
            <w:r>
              <w:rPr>
                <w:rFonts w:ascii="Times New Roman" w:hAnsi="Times New Roman"/>
                <w:b/>
                <w:color w:val="FFFFFF"/>
                <w:sz w:val="18"/>
              </w:rPr>
              <w:t>AlphaPulse Engine</w:t>
            </w:r>
          </w:p>
        </w:tc>
      </w:tr>
      <w:tr>
        <w:tc>
          <w:tcPr>
            <w:tcW w:type="dxa" w:w="2016"/>
            <w:shd w:fill="FFFFFF"/>
            <w:tcMar>
              <w:top w:w="60" w:type="dxa"/>
              <w:bottom w:w="60" w:type="dxa"/>
              <w:left w:w="80" w:type="dxa"/>
              <w:right w:w="80" w:type="dxa"/>
            </w:tcMar>
          </w:tcPr>
          <w:p>
            <w:r>
              <w:rPr>
                <w:rFonts w:ascii="Times New Roman" w:hAnsi="Times New Roman"/>
                <w:sz w:val="17"/>
              </w:rPr>
              <w:t>Core Methodology</w:t>
            </w:r>
          </w:p>
        </w:tc>
        <w:tc>
          <w:tcPr>
            <w:tcW w:type="dxa" w:w="1872"/>
            <w:shd w:fill="FFFFFF"/>
            <w:tcMar>
              <w:top w:w="60" w:type="dxa"/>
              <w:bottom w:w="60" w:type="dxa"/>
              <w:left w:w="80" w:type="dxa"/>
              <w:right w:w="80" w:type="dxa"/>
            </w:tcMar>
          </w:tcPr>
          <w:p>
            <w:r>
              <w:rPr>
                <w:rFonts w:ascii="Times New Roman" w:hAnsi="Times New Roman"/>
                <w:sz w:val="17"/>
              </w:rPr>
              <w:t>Closing price indicators</w:t>
            </w:r>
          </w:p>
        </w:tc>
        <w:tc>
          <w:tcPr>
            <w:tcW w:type="dxa" w:w="1872"/>
            <w:shd w:fill="FFFFFF"/>
            <w:tcMar>
              <w:top w:w="60" w:type="dxa"/>
              <w:bottom w:w="60" w:type="dxa"/>
              <w:left w:w="80" w:type="dxa"/>
              <w:right w:w="80" w:type="dxa"/>
            </w:tcMar>
          </w:tcPr>
          <w:p>
            <w:r>
              <w:rPr>
                <w:rFonts w:ascii="Times New Roman" w:hAnsi="Times New Roman"/>
                <w:sz w:val="17"/>
              </w:rPr>
              <w:t>Automated heuristics</w:t>
            </w:r>
          </w:p>
        </w:tc>
        <w:tc>
          <w:tcPr>
            <w:tcW w:type="dxa" w:w="2016"/>
            <w:shd w:fill="FFFFFF"/>
            <w:tcMar>
              <w:top w:w="60" w:type="dxa"/>
              <w:bottom w:w="60" w:type="dxa"/>
              <w:left w:w="80" w:type="dxa"/>
              <w:right w:w="80" w:type="dxa"/>
            </w:tcMar>
          </w:tcPr>
          <w:p>
            <w:r>
              <w:rPr>
                <w:rFonts w:ascii="Times New Roman" w:hAnsi="Times New Roman"/>
                <w:sz w:val="17"/>
              </w:rPr>
              <w:t>Deep neural networks</w:t>
            </w:r>
          </w:p>
        </w:tc>
        <w:tc>
          <w:tcPr>
            <w:tcW w:type="dxa" w:w="2016"/>
            <w:shd w:fill="FFFFFF"/>
            <w:tcMar>
              <w:top w:w="60" w:type="dxa"/>
              <w:bottom w:w="60" w:type="dxa"/>
              <w:left w:w="80" w:type="dxa"/>
              <w:right w:w="80" w:type="dxa"/>
            </w:tcMar>
          </w:tcPr>
          <w:p>
            <w:r>
              <w:rPr>
                <w:rFonts w:ascii="Times New Roman" w:hAnsi="Times New Roman"/>
                <w:sz w:val="17"/>
              </w:rPr>
              <w:t>Auction Market Theory</w:t>
            </w:r>
          </w:p>
        </w:tc>
      </w:tr>
      <w:tr>
        <w:tc>
          <w:tcPr>
            <w:tcW w:type="dxa" w:w="2016"/>
            <w:shd w:fill="F7F9FB"/>
            <w:tcMar>
              <w:top w:w="60" w:type="dxa"/>
              <w:bottom w:w="60" w:type="dxa"/>
              <w:left w:w="80" w:type="dxa"/>
              <w:right w:w="80" w:type="dxa"/>
            </w:tcMar>
          </w:tcPr>
          <w:p>
            <w:r>
              <w:rPr>
                <w:rFonts w:ascii="Times New Roman" w:hAnsi="Times New Roman"/>
                <w:sz w:val="17"/>
              </w:rPr>
              <w:t>Volume Profile</w:t>
            </w:r>
          </w:p>
        </w:tc>
        <w:tc>
          <w:tcPr>
            <w:tcW w:type="dxa" w:w="1872"/>
            <w:shd w:fill="F7F9FB"/>
            <w:tcMar>
              <w:top w:w="60" w:type="dxa"/>
              <w:bottom w:w="60" w:type="dxa"/>
              <w:left w:w="80" w:type="dxa"/>
              <w:right w:w="80" w:type="dxa"/>
            </w:tcMar>
          </w:tcPr>
          <w:p>
            <w:r>
              <w:rPr>
                <w:rFonts w:ascii="Times New Roman" w:hAnsi="Times New Roman"/>
                <w:sz w:val="17"/>
              </w:rPr>
              <w:t>Paid add-on script</w:t>
            </w:r>
          </w:p>
        </w:tc>
        <w:tc>
          <w:tcPr>
            <w:tcW w:type="dxa" w:w="1872"/>
            <w:shd w:fill="F7F9FB"/>
            <w:tcMar>
              <w:top w:w="60" w:type="dxa"/>
              <w:bottom w:w="60" w:type="dxa"/>
              <w:left w:w="80" w:type="dxa"/>
              <w:right w:w="80" w:type="dxa"/>
            </w:tcMar>
          </w:tcPr>
          <w:p>
            <w:r>
              <w:rPr>
                <w:rFonts w:ascii="Times New Roman" w:hAnsi="Times New Roman"/>
                <w:sz w:val="17"/>
              </w:rPr>
              <w:t>Basic automated overlays</w:t>
            </w:r>
          </w:p>
        </w:tc>
        <w:tc>
          <w:tcPr>
            <w:tcW w:type="dxa" w:w="2016"/>
            <w:shd w:fill="F7F9FB"/>
            <w:tcMar>
              <w:top w:w="60" w:type="dxa"/>
              <w:bottom w:w="60" w:type="dxa"/>
              <w:left w:w="80" w:type="dxa"/>
              <w:right w:w="80" w:type="dxa"/>
            </w:tcMar>
          </w:tcPr>
          <w:p>
            <w:r>
              <w:rPr>
                <w:rFonts w:ascii="Times New Roman" w:hAnsi="Times New Roman"/>
                <w:sz w:val="17"/>
              </w:rPr>
              <w:t>Not supported</w:t>
            </w:r>
          </w:p>
        </w:tc>
        <w:tc>
          <w:tcPr>
            <w:tcW w:type="dxa" w:w="2016"/>
            <w:shd w:fill="F7F9FB"/>
            <w:tcMar>
              <w:top w:w="60" w:type="dxa"/>
              <w:bottom w:w="60" w:type="dxa"/>
              <w:left w:w="80" w:type="dxa"/>
              <w:right w:w="80" w:type="dxa"/>
            </w:tcMar>
          </w:tcPr>
          <w:p>
            <w:r>
              <w:rPr>
                <w:rFonts w:ascii="Times New Roman" w:hAnsi="Times New Roman"/>
                <w:sz w:val="17"/>
              </w:rPr>
              <w:t>Native, open mathematical core</w:t>
            </w:r>
          </w:p>
        </w:tc>
      </w:tr>
      <w:tr>
        <w:tc>
          <w:tcPr>
            <w:tcW w:type="dxa" w:w="2016"/>
            <w:shd w:fill="FFFFFF"/>
            <w:tcMar>
              <w:top w:w="60" w:type="dxa"/>
              <w:bottom w:w="60" w:type="dxa"/>
              <w:left w:w="80" w:type="dxa"/>
              <w:right w:w="80" w:type="dxa"/>
            </w:tcMar>
          </w:tcPr>
          <w:p>
            <w:r>
              <w:rPr>
                <w:rFonts w:ascii="Times New Roman" w:hAnsi="Times New Roman"/>
                <w:sz w:val="17"/>
              </w:rPr>
              <w:t>Microstructure Metrics</w:t>
            </w:r>
          </w:p>
        </w:tc>
        <w:tc>
          <w:tcPr>
            <w:tcW w:type="dxa" w:w="1872"/>
            <w:shd w:fill="FFFFFF"/>
            <w:tcMar>
              <w:top w:w="60" w:type="dxa"/>
              <w:bottom w:w="60" w:type="dxa"/>
              <w:left w:w="80" w:type="dxa"/>
              <w:right w:w="80" w:type="dxa"/>
            </w:tcMar>
          </w:tcPr>
          <w:p>
            <w:r>
              <w:rPr>
                <w:rFonts w:ascii="Times New Roman" w:hAnsi="Times New Roman"/>
                <w:sz w:val="17"/>
              </w:rPr>
              <w:t>None</w:t>
            </w:r>
          </w:p>
        </w:tc>
        <w:tc>
          <w:tcPr>
            <w:tcW w:type="dxa" w:w="1872"/>
            <w:shd w:fill="FFFFFF"/>
            <w:tcMar>
              <w:top w:w="60" w:type="dxa"/>
              <w:bottom w:w="60" w:type="dxa"/>
              <w:left w:w="80" w:type="dxa"/>
              <w:right w:w="80" w:type="dxa"/>
            </w:tcMar>
          </w:tcPr>
          <w:p>
            <w:r>
              <w:rPr>
                <w:rFonts w:ascii="Times New Roman" w:hAnsi="Times New Roman"/>
                <w:sz w:val="17"/>
              </w:rPr>
              <w:t>None</w:t>
            </w:r>
          </w:p>
        </w:tc>
        <w:tc>
          <w:tcPr>
            <w:tcW w:type="dxa" w:w="2016"/>
            <w:shd w:fill="FFFFFF"/>
            <w:tcMar>
              <w:top w:w="60" w:type="dxa"/>
              <w:bottom w:w="60" w:type="dxa"/>
              <w:left w:w="80" w:type="dxa"/>
              <w:right w:w="80" w:type="dxa"/>
            </w:tcMar>
          </w:tcPr>
          <w:p>
            <w:r>
              <w:rPr>
                <w:rFonts w:ascii="Times New Roman" w:hAnsi="Times New Roman"/>
                <w:sz w:val="17"/>
              </w:rPr>
              <w:t>None</w:t>
            </w:r>
          </w:p>
        </w:tc>
        <w:tc>
          <w:tcPr>
            <w:tcW w:type="dxa" w:w="2016"/>
            <w:shd w:fill="FFFFFF"/>
            <w:tcMar>
              <w:top w:w="60" w:type="dxa"/>
              <w:bottom w:w="60" w:type="dxa"/>
              <w:left w:w="80" w:type="dxa"/>
              <w:right w:w="80" w:type="dxa"/>
            </w:tcMar>
          </w:tcPr>
          <w:p>
            <w:r>
              <w:rPr>
                <w:rFonts w:ascii="Times New Roman" w:hAnsi="Times New Roman"/>
                <w:sz w:val="17"/>
              </w:rPr>
              <w:t>Native (DDAI &amp; TPAM)</w:t>
            </w:r>
          </w:p>
        </w:tc>
      </w:tr>
      <w:tr>
        <w:tc>
          <w:tcPr>
            <w:tcW w:type="dxa" w:w="2016"/>
            <w:shd w:fill="F7F9FB"/>
            <w:tcMar>
              <w:top w:w="60" w:type="dxa"/>
              <w:bottom w:w="60" w:type="dxa"/>
              <w:left w:w="80" w:type="dxa"/>
              <w:right w:w="80" w:type="dxa"/>
            </w:tcMar>
          </w:tcPr>
          <w:p>
            <w:r>
              <w:rPr>
                <w:rFonts w:ascii="Times New Roman" w:hAnsi="Times New Roman"/>
                <w:sz w:val="17"/>
              </w:rPr>
              <w:t>Model Explainability</w:t>
            </w:r>
          </w:p>
        </w:tc>
        <w:tc>
          <w:tcPr>
            <w:tcW w:type="dxa" w:w="1872"/>
            <w:shd w:fill="F7F9FB"/>
            <w:tcMar>
              <w:top w:w="60" w:type="dxa"/>
              <w:bottom w:w="60" w:type="dxa"/>
              <w:left w:w="80" w:type="dxa"/>
              <w:right w:w="80" w:type="dxa"/>
            </w:tcMar>
          </w:tcPr>
          <w:p>
            <w:r>
              <w:rPr>
                <w:rFonts w:ascii="Times New Roman" w:hAnsi="Times New Roman"/>
                <w:sz w:val="17"/>
              </w:rPr>
              <w:t>None</w:t>
            </w:r>
          </w:p>
        </w:tc>
        <w:tc>
          <w:tcPr>
            <w:tcW w:type="dxa" w:w="1872"/>
            <w:shd w:fill="F7F9FB"/>
            <w:tcMar>
              <w:top w:w="60" w:type="dxa"/>
              <w:bottom w:w="60" w:type="dxa"/>
              <w:left w:w="80" w:type="dxa"/>
              <w:right w:w="80" w:type="dxa"/>
            </w:tcMar>
          </w:tcPr>
          <w:p>
            <w:r>
              <w:rPr>
                <w:rFonts w:ascii="Times New Roman" w:hAnsi="Times New Roman"/>
                <w:sz w:val="17"/>
              </w:rPr>
              <w:t>None</w:t>
            </w:r>
          </w:p>
        </w:tc>
        <w:tc>
          <w:tcPr>
            <w:tcW w:type="dxa" w:w="2016"/>
            <w:shd w:fill="F7F9FB"/>
            <w:tcMar>
              <w:top w:w="60" w:type="dxa"/>
              <w:bottom w:w="60" w:type="dxa"/>
              <w:left w:w="80" w:type="dxa"/>
              <w:right w:w="80" w:type="dxa"/>
            </w:tcMar>
          </w:tcPr>
          <w:p>
            <w:r>
              <w:rPr>
                <w:rFonts w:ascii="Times New Roman" w:hAnsi="Times New Roman"/>
                <w:sz w:val="17"/>
              </w:rPr>
              <w:t>Opaque neural weights</w:t>
            </w:r>
          </w:p>
        </w:tc>
        <w:tc>
          <w:tcPr>
            <w:tcW w:type="dxa" w:w="2016"/>
            <w:shd w:fill="F7F9FB"/>
            <w:tcMar>
              <w:top w:w="60" w:type="dxa"/>
              <w:bottom w:w="60" w:type="dxa"/>
              <w:left w:w="80" w:type="dxa"/>
              <w:right w:w="80" w:type="dxa"/>
            </w:tcMar>
          </w:tcPr>
          <w:p>
            <w:r>
              <w:rPr>
                <w:rFonts w:ascii="Times New Roman" w:hAnsi="Times New Roman"/>
                <w:sz w:val="17"/>
              </w:rPr>
              <w:t>Deterministic plain English</w:t>
            </w:r>
          </w:p>
        </w:tc>
      </w:tr>
      <w:tr>
        <w:tc>
          <w:tcPr>
            <w:tcW w:type="dxa" w:w="2016"/>
            <w:shd w:fill="FFFFFF"/>
            <w:tcMar>
              <w:top w:w="60" w:type="dxa"/>
              <w:bottom w:w="60" w:type="dxa"/>
              <w:left w:w="80" w:type="dxa"/>
              <w:right w:w="80" w:type="dxa"/>
            </w:tcMar>
          </w:tcPr>
          <w:p>
            <w:r>
              <w:rPr>
                <w:rFonts w:ascii="Times New Roman" w:hAnsi="Times New Roman"/>
                <w:sz w:val="17"/>
              </w:rPr>
              <w:t>Regulatory Position</w:t>
            </w:r>
          </w:p>
        </w:tc>
        <w:tc>
          <w:tcPr>
            <w:tcW w:type="dxa" w:w="1872"/>
            <w:shd w:fill="FFFFFF"/>
            <w:tcMar>
              <w:top w:w="60" w:type="dxa"/>
              <w:bottom w:w="60" w:type="dxa"/>
              <w:left w:w="80" w:type="dxa"/>
              <w:right w:w="80" w:type="dxa"/>
            </w:tcMar>
          </w:tcPr>
          <w:p>
            <w:r>
              <w:rPr>
                <w:rFonts w:ascii="Times New Roman" w:hAnsi="Times New Roman"/>
                <w:sz w:val="17"/>
              </w:rPr>
              <w:t>Disseminates trade signals</w:t>
            </w:r>
          </w:p>
        </w:tc>
        <w:tc>
          <w:tcPr>
            <w:tcW w:type="dxa" w:w="1872"/>
            <w:shd w:fill="FFFFFF"/>
            <w:tcMar>
              <w:top w:w="60" w:type="dxa"/>
              <w:bottom w:w="60" w:type="dxa"/>
              <w:left w:w="80" w:type="dxa"/>
              <w:right w:w="80" w:type="dxa"/>
            </w:tcMar>
          </w:tcPr>
          <w:p>
            <w:r>
              <w:rPr>
                <w:rFonts w:ascii="Times New Roman" w:hAnsi="Times New Roman"/>
                <w:sz w:val="17"/>
              </w:rPr>
              <w:t>Breakout alerts</w:t>
            </w:r>
          </w:p>
        </w:tc>
        <w:tc>
          <w:tcPr>
            <w:tcW w:type="dxa" w:w="2016"/>
            <w:shd w:fill="FFFFFF"/>
            <w:tcMar>
              <w:top w:w="60" w:type="dxa"/>
              <w:bottom w:w="60" w:type="dxa"/>
              <w:left w:w="80" w:type="dxa"/>
              <w:right w:w="80" w:type="dxa"/>
            </w:tcMar>
          </w:tcPr>
          <w:p>
            <w:r>
              <w:rPr>
                <w:rFonts w:ascii="Times New Roman" w:hAnsi="Times New Roman"/>
                <w:sz w:val="17"/>
              </w:rPr>
              <w:t>Automated trade flags</w:t>
            </w:r>
          </w:p>
        </w:tc>
        <w:tc>
          <w:tcPr>
            <w:tcW w:type="dxa" w:w="2016"/>
            <w:shd w:fill="FFFFFF"/>
            <w:tcMar>
              <w:top w:w="60" w:type="dxa"/>
              <w:bottom w:w="60" w:type="dxa"/>
              <w:left w:w="80" w:type="dxa"/>
              <w:right w:w="80" w:type="dxa"/>
            </w:tcMar>
          </w:tcPr>
          <w:p>
            <w:r>
              <w:rPr>
                <w:rFonts w:ascii="Times New Roman" w:hAnsi="Times New Roman"/>
                <w:sz w:val="17"/>
              </w:rPr>
              <w:t>Strictly educational diagnostics</w:t>
            </w:r>
          </w:p>
        </w:tc>
      </w:tr>
      <w:tr>
        <w:tc>
          <w:tcPr>
            <w:tcW w:type="dxa" w:w="2016"/>
            <w:shd w:fill="F7F9FB"/>
            <w:tcMar>
              <w:top w:w="60" w:type="dxa"/>
              <w:bottom w:w="60" w:type="dxa"/>
              <w:left w:w="80" w:type="dxa"/>
              <w:right w:w="80" w:type="dxa"/>
            </w:tcMar>
          </w:tcPr>
          <w:p>
            <w:r>
              <w:rPr>
                <w:rFonts w:ascii="Times New Roman" w:hAnsi="Times New Roman"/>
                <w:sz w:val="17"/>
              </w:rPr>
              <w:t>Technology Readiness Level</w:t>
            </w:r>
          </w:p>
        </w:tc>
        <w:tc>
          <w:tcPr>
            <w:tcW w:type="dxa" w:w="1872"/>
            <w:shd w:fill="F7F9FB"/>
            <w:tcMar>
              <w:top w:w="60" w:type="dxa"/>
              <w:bottom w:w="60" w:type="dxa"/>
              <w:left w:w="80" w:type="dxa"/>
              <w:right w:w="80" w:type="dxa"/>
            </w:tcMar>
          </w:tcPr>
          <w:p>
            <w:r>
              <w:rPr>
                <w:rFonts w:ascii="Times New Roman" w:hAnsi="Times New Roman"/>
                <w:sz w:val="17"/>
              </w:rPr>
              <w:t>Commercial SaaS</w:t>
            </w:r>
          </w:p>
        </w:tc>
        <w:tc>
          <w:tcPr>
            <w:tcW w:type="dxa" w:w="1872"/>
            <w:shd w:fill="F7F9FB"/>
            <w:tcMar>
              <w:top w:w="60" w:type="dxa"/>
              <w:bottom w:w="60" w:type="dxa"/>
              <w:left w:w="80" w:type="dxa"/>
              <w:right w:w="80" w:type="dxa"/>
            </w:tcMar>
          </w:tcPr>
          <w:p>
            <w:r>
              <w:rPr>
                <w:rFonts w:ascii="Times New Roman" w:hAnsi="Times New Roman"/>
                <w:sz w:val="17"/>
              </w:rPr>
              <w:t>Commercial SaaS</w:t>
            </w:r>
          </w:p>
        </w:tc>
        <w:tc>
          <w:tcPr>
            <w:tcW w:type="dxa" w:w="2016"/>
            <w:shd w:fill="F7F9FB"/>
            <w:tcMar>
              <w:top w:w="60" w:type="dxa"/>
              <w:bottom w:w="60" w:type="dxa"/>
              <w:left w:w="80" w:type="dxa"/>
              <w:right w:w="80" w:type="dxa"/>
            </w:tcMar>
          </w:tcPr>
          <w:p>
            <w:r>
              <w:rPr>
                <w:rFonts w:ascii="Times New Roman" w:hAnsi="Times New Roman"/>
                <w:sz w:val="17"/>
              </w:rPr>
              <w:t>TRL-3 (Research Prototype)</w:t>
            </w:r>
          </w:p>
        </w:tc>
        <w:tc>
          <w:tcPr>
            <w:tcW w:type="dxa" w:w="2016"/>
            <w:shd w:fill="F7F9FB"/>
            <w:tcMar>
              <w:top w:w="60" w:type="dxa"/>
              <w:bottom w:w="60" w:type="dxa"/>
              <w:left w:w="80" w:type="dxa"/>
              <w:right w:w="80" w:type="dxa"/>
            </w:tcMar>
          </w:tcPr>
          <w:p>
            <w:r>
              <w:rPr>
                <w:rFonts w:ascii="Times New Roman" w:hAnsi="Times New Roman"/>
                <w:sz w:val="17"/>
              </w:rPr>
              <w:t>TRL-6 (Operational Prototype)</w:t>
            </w:r>
          </w:p>
        </w:tc>
      </w:tr>
      <w:tr>
        <w:tc>
          <w:tcPr>
            <w:tcW w:type="dxa" w:w="2016"/>
            <w:shd w:fill="FFFFFF"/>
            <w:tcMar>
              <w:top w:w="60" w:type="dxa"/>
              <w:bottom w:w="60" w:type="dxa"/>
              <w:left w:w="80" w:type="dxa"/>
              <w:right w:w="80" w:type="dxa"/>
            </w:tcMar>
          </w:tcPr>
          <w:p>
            <w:r>
              <w:rPr>
                <w:rFonts w:ascii="Times New Roman" w:hAnsi="Times New Roman"/>
                <w:sz w:val="17"/>
              </w:rPr>
              <w:t>Innovation Score (/10)</w:t>
            </w:r>
          </w:p>
        </w:tc>
        <w:tc>
          <w:tcPr>
            <w:tcW w:type="dxa" w:w="1872"/>
            <w:shd w:fill="FFFFFF"/>
            <w:tcMar>
              <w:top w:w="60" w:type="dxa"/>
              <w:bottom w:w="60" w:type="dxa"/>
              <w:left w:w="80" w:type="dxa"/>
              <w:right w:w="80" w:type="dxa"/>
            </w:tcMar>
          </w:tcPr>
          <w:p>
            <w:r>
              <w:rPr>
                <w:rFonts w:ascii="Times New Roman" w:hAnsi="Times New Roman"/>
                <w:sz w:val="17"/>
              </w:rPr>
              <w:t>5.5 / 10</w:t>
            </w:r>
          </w:p>
        </w:tc>
        <w:tc>
          <w:tcPr>
            <w:tcW w:type="dxa" w:w="1872"/>
            <w:shd w:fill="FFFFFF"/>
            <w:tcMar>
              <w:top w:w="60" w:type="dxa"/>
              <w:bottom w:w="60" w:type="dxa"/>
              <w:left w:w="80" w:type="dxa"/>
              <w:right w:w="80" w:type="dxa"/>
            </w:tcMar>
          </w:tcPr>
          <w:p>
            <w:r>
              <w:rPr>
                <w:rFonts w:ascii="Times New Roman" w:hAnsi="Times New Roman"/>
                <w:sz w:val="17"/>
              </w:rPr>
              <w:t>6.5 / 10</w:t>
            </w:r>
          </w:p>
        </w:tc>
        <w:tc>
          <w:tcPr>
            <w:tcW w:type="dxa" w:w="2016"/>
            <w:shd w:fill="FFFFFF"/>
            <w:tcMar>
              <w:top w:w="60" w:type="dxa"/>
              <w:bottom w:w="60" w:type="dxa"/>
              <w:left w:w="80" w:type="dxa"/>
              <w:right w:w="80" w:type="dxa"/>
            </w:tcMar>
          </w:tcPr>
          <w:p>
            <w:r>
              <w:rPr>
                <w:rFonts w:ascii="Times New Roman" w:hAnsi="Times New Roman"/>
                <w:sz w:val="17"/>
              </w:rPr>
              <w:t>6.0 / 10</w:t>
            </w:r>
          </w:p>
        </w:tc>
        <w:tc>
          <w:tcPr>
            <w:tcW w:type="dxa" w:w="2016"/>
            <w:shd w:fill="FFFFFF"/>
            <w:tcMar>
              <w:top w:w="60" w:type="dxa"/>
              <w:bottom w:w="60" w:type="dxa"/>
              <w:left w:w="80" w:type="dxa"/>
              <w:right w:w="80" w:type="dxa"/>
            </w:tcMar>
          </w:tcPr>
          <w:p>
            <w:r>
              <w:rPr>
                <w:rFonts w:ascii="Times New Roman" w:hAnsi="Times New Roman"/>
                <w:sz w:val="17"/>
              </w:rPr>
              <w:t>9.2 / 10</w:t>
            </w:r>
          </w:p>
        </w:tc>
      </w:tr>
    </w:tbl>
    <w:p>
      <w:pPr>
        <w:spacing w:after="80"/>
      </w:pPr>
    </w:p>
    <w:p>
      <w:pPr>
        <w:pStyle w:val="Heading1"/>
        <w:spacing w:before="280" w:after="80"/>
      </w:pPr>
      <w:r>
        <w:rPr>
          <w:rFonts w:ascii="Times New Roman" w:hAnsi="Times New Roman"/>
          <w:b/>
          <w:color w:val="000000"/>
          <w:sz w:val="24"/>
        </w:rPr>
        <w:t>VI. CONCLUSION &amp; FUTURE DIRECTIONS</w:t>
      </w:r>
    </w:p>
    <w:p>
      <w:pPr>
        <w:spacing w:after="80" w:line="276" w:lineRule="auto"/>
        <w:jc w:val="both"/>
      </w:pPr>
      <w:r>
        <w:rPr>
          <w:rFonts w:ascii="Times New Roman" w:hAnsi="Times New Roman"/>
          <w:i w:val="0"/>
          <w:sz w:val="20"/>
        </w:rPr>
        <w:t>In this work, we presented AlphaPulse, an explainable market structure analytics framework grounded in Auction Market Theory. By formalizing continuous double auction mechanics into deterministic algorithms, AlphaPulse provides an objective way to calculate institutional Value Areas, measure directional volume asymmetry, and evaluate whether price breakouts are genuine or false.</w:t>
      </w:r>
    </w:p>
    <w:p>
      <w:pPr>
        <w:spacing w:after="80" w:line="276" w:lineRule="auto"/>
        <w:jc w:val="both"/>
      </w:pPr>
      <w:r>
        <w:rPr>
          <w:rFonts w:ascii="Times New Roman" w:hAnsi="Times New Roman"/>
          <w:i w:val="0"/>
          <w:sz w:val="20"/>
        </w:rPr>
        <w:t>Our empirical evaluation across five years of NIFTY 50 intraday data confirms that volume-at-price levels provide statistically significant structural support and resistance (p &lt; 0.001). Because the system produces transparent, plain-English educational diagnostics rather than speculative buy/sell signals, it avoids regulatory pitfalls and offers a reliable foundation for market education, risk auditing, and transaction cost analysis. In future work, we plan to extend the framework by integrating resting Level 3 (L3) limit order book queue tracking to analyze passive liquidity before trades occur.</w:t>
      </w:r>
    </w:p>
    <w:p>
      <w:pPr>
        <w:pStyle w:val="Heading1"/>
        <w:spacing w:before="280" w:after="80"/>
      </w:pPr>
      <w:r>
        <w:rPr>
          <w:rFonts w:ascii="Times New Roman" w:hAnsi="Times New Roman"/>
          <w:b/>
          <w:color w:val="000000"/>
          <w:sz w:val="24"/>
        </w:rPr>
        <w:t>REFERENCES</w:t>
      </w:r>
    </w:p>
    <w:p>
      <w:pPr>
        <w:spacing w:after="40"/>
      </w:pPr>
      <w:r>
        <w:rPr>
          <w:rFonts w:ascii="Times New Roman" w:hAnsi="Times New Roman"/>
          <w:sz w:val="17"/>
        </w:rPr>
        <w:t>[1] M. O’Hara, Market Microstructure Theory. Cambridge, MA: Blackwell, 1995.</w:t>
      </w:r>
    </w:p>
    <w:p>
      <w:pPr>
        <w:spacing w:after="40"/>
      </w:pPr>
      <w:r>
        <w:rPr>
          <w:rFonts w:ascii="Times New Roman" w:hAnsi="Times New Roman"/>
          <w:sz w:val="17"/>
        </w:rPr>
        <w:t>[2] T. Fischer and C. Krauss, 'Deep learning with long short-term memory networks for financial market predictions,' Eur. J. Oper. Res., vol. 270, no. 2, pp. 654–669, 2018.</w:t>
      </w:r>
    </w:p>
    <w:p>
      <w:pPr>
        <w:spacing w:after="40"/>
      </w:pPr>
      <w:r>
        <w:rPr>
          <w:rFonts w:ascii="Times New Roman" w:hAnsi="Times New Roman"/>
          <w:sz w:val="17"/>
        </w:rPr>
        <w:t>[3] M. López de Prado, Advances in Financial Machine Learning. Hoboken, NJ: Wiley, 2018.</w:t>
      </w:r>
    </w:p>
    <w:p>
      <w:pPr>
        <w:spacing w:after="40"/>
      </w:pPr>
      <w:r>
        <w:rPr>
          <w:rFonts w:ascii="Times New Roman" w:hAnsi="Times New Roman"/>
          <w:sz w:val="17"/>
        </w:rPr>
        <w:t>[4] J. D. Dalton, E. T. Jones, and R. B. Dalton, Mind Over Markets: Power Trading with Market Generated Information. Hoboken, NJ: Wiley, 1999.</w:t>
      </w:r>
    </w:p>
    <w:p>
      <w:pPr>
        <w:spacing w:after="40"/>
      </w:pPr>
      <w:r>
        <w:rPr>
          <w:rFonts w:ascii="Times New Roman" w:hAnsi="Times New Roman"/>
          <w:sz w:val="17"/>
        </w:rPr>
        <w:t>[5] J. P. Steidlmayer and K. Koy, Markets and Market Logic. Chicago, IL: Porcupine Press, 1986.</w:t>
      </w:r>
    </w:p>
    <w:p>
      <w:pPr>
        <w:spacing w:after="40"/>
      </w:pPr>
      <w:r>
        <w:rPr>
          <w:rFonts w:ascii="Times New Roman" w:hAnsi="Times New Roman"/>
          <w:sz w:val="17"/>
        </w:rPr>
        <w:t>[6] E. F. Fama, 'Efficient capital markets: A review of theory and empirical work,' J. Finance, vol. 25, no. 2, pp. 383–417, 1970.</w:t>
      </w:r>
    </w:p>
    <w:p>
      <w:pPr>
        <w:spacing w:after="40"/>
      </w:pPr>
      <w:r>
        <w:rPr>
          <w:rFonts w:ascii="Times New Roman" w:hAnsi="Times New Roman"/>
          <w:sz w:val="17"/>
        </w:rPr>
        <w:t>[7] A. S. Kyle, 'Continuous auctions and informed trader liquidity,' Econometrica, vol. 53, no. 6, pp. 1315–1335, 1985.</w:t>
      </w:r>
    </w:p>
    <w:p>
      <w:pPr>
        <w:spacing w:after="40"/>
      </w:pPr>
      <w:r>
        <w:rPr>
          <w:rFonts w:ascii="Times New Roman" w:hAnsi="Times New Roman"/>
          <w:sz w:val="17"/>
        </w:rPr>
        <w:t>[8] J. P. Bouchaud, Y. Gefen, M. Potters, and M. Wyart, 'Fluctuations and response in financial markets,' Quant. Finance, vol. 4, no. 2, pp. 176–185, 2004.</w:t>
      </w:r>
    </w:p>
    <w:p>
      <w:pPr>
        <w:spacing w:after="40"/>
      </w:pPr>
      <w:r>
        <w:rPr>
          <w:rFonts w:ascii="Times New Roman" w:hAnsi="Times New Roman"/>
          <w:sz w:val="17"/>
        </w:rPr>
        <w:t>[9] R. Cont, 'Empirical properties of asset returns: Stylized facts and statistical issues,' Quant. Finance, vol. 1, no. 2, pp. 223–236, 2001.</w:t>
      </w:r>
    </w:p>
    <w:p>
      <w:pPr>
        <w:spacing w:after="40"/>
      </w:pPr>
      <w:r>
        <w:rPr>
          <w:rFonts w:ascii="Times New Roman" w:hAnsi="Times New Roman"/>
          <w:sz w:val="17"/>
        </w:rPr>
        <w:t>[10] M. López de Prado, 'The 10 reasons most machine learning funds fail,' J. Portfolio Manage., vol. 44, no. 6, pp. 120–133, 2018.</w:t>
      </w:r>
    </w:p>
    <w:p>
      <w:pPr>
        <w:spacing w:after="40"/>
      </w:pPr>
      <w:r>
        <w:rPr>
          <w:rFonts w:ascii="Times New Roman" w:hAnsi="Times New Roman"/>
          <w:sz w:val="17"/>
        </w:rPr>
        <w:t>[11] T. Fischer and C. Krauss, 'Deep learning with LSTM networks for financial market predictions,' Eur. J. Oper. Res., vol. 270, no. 2, pp. 654–669, 2018.</w:t>
      </w:r>
    </w:p>
    <w:p>
      <w:pPr>
        <w:spacing w:after="40"/>
      </w:pPr>
      <w:r>
        <w:rPr>
          <w:rFonts w:ascii="Times New Roman" w:hAnsi="Times New Roman"/>
          <w:sz w:val="17"/>
        </w:rPr>
        <w:t>[12] S. Gu, B. Kelly, and D. Xiu, 'Empirical asset pricing via machine learning,' Rev. Financ. Stud., vol. 33, no. 5, pp. 2223–2273, 2020.</w:t>
      </w:r>
    </w:p>
    <w:p>
      <w:pPr>
        <w:spacing w:after="40"/>
      </w:pPr>
      <w:r>
        <w:rPr>
          <w:rFonts w:ascii="Times New Roman" w:hAnsi="Times New Roman"/>
          <w:sz w:val="17"/>
        </w:rPr>
        <w:t>[13] A. B. Arrieta et al., 'Explainable Artificial Intelligence (XAI): Concepts, taxonomies, opportunities and challenges,' Inform. Fusion, vol. 58, pp. 82–115, 2020.</w:t>
      </w:r>
    </w:p>
    <w:p>
      <w:pPr>
        <w:spacing w:after="40"/>
      </w:pPr>
      <w:r>
        <w:rPr>
          <w:rFonts w:ascii="Times New Roman" w:hAnsi="Times New Roman"/>
          <w:sz w:val="17"/>
        </w:rPr>
        <w:t>[14] S. M. Lundberg and S.-I. Lee, 'A unified approach to interpreting model predictions,' in Adv. Neural Inf. Process. Syst. (NeurIPS), 2017, pp. 4765–4774.</w:t>
      </w:r>
    </w:p>
    <w:p>
      <w:pPr>
        <w:spacing w:after="40"/>
      </w:pPr>
      <w:r>
        <w:rPr>
          <w:rFonts w:ascii="Times New Roman" w:hAnsi="Times New Roman"/>
          <w:sz w:val="17"/>
        </w:rPr>
        <w:t>[15] M. T. Ribeiro, S. Singh, and C. Guestrin, ''Why should I trust you?': Explaining the predictions of any classifier,' in Proc. ACM SIGKDD, 2016, pp. 1135–1144.</w:t>
      </w:r>
    </w:p>
    <w:p>
      <w:pPr>
        <w:spacing w:after="40"/>
      </w:pPr>
      <w:r>
        <w:rPr>
          <w:rFonts w:ascii="Times New Roman" w:hAnsi="Times New Roman"/>
          <w:sz w:val="17"/>
        </w:rPr>
        <w:t>[16] J. Hasbrouck, Empirical Market Microstructure. New York: Oxford Univ. Press, 2007.</w:t>
      </w:r>
    </w:p>
    <w:p>
      <w:pPr>
        <w:spacing w:after="40"/>
      </w:pPr>
      <w:r>
        <w:rPr>
          <w:rFonts w:ascii="Times New Roman" w:hAnsi="Times New Roman"/>
          <w:sz w:val="17"/>
        </w:rPr>
        <w:t>[17] R. S. Tsay, Analysis of Financial Time Series, 3rd ed. Hoboken, NJ: Wiley, 2010.</w:t>
      </w:r>
    </w:p>
    <w:p>
      <w:pPr>
        <w:spacing w:after="40"/>
      </w:pPr>
      <w:r>
        <w:rPr>
          <w:rFonts w:ascii="Times New Roman" w:hAnsi="Times New Roman"/>
          <w:sz w:val="17"/>
        </w:rPr>
        <w:t>[18] B. Mandelbrot, 'The variation of certain speculative prices,' J. Bus., vol. 36, no. 4, pp. 394–419, 1963.</w:t>
      </w:r>
    </w:p>
    <w:p>
      <w:pPr>
        <w:spacing w:after="40"/>
      </w:pPr>
      <w:r>
        <w:rPr>
          <w:rFonts w:ascii="Times New Roman" w:hAnsi="Times New Roman"/>
          <w:sz w:val="17"/>
        </w:rPr>
        <w:t>[19] D. Easley, M. M. López de Prado, and M. O’Hara, 'Flow toxicity and liquidity in a high-frequency world,' Rev. Financ. Stud., vol. 25, no. 5, pp. 1457–1493, 2012.</w:t>
      </w:r>
    </w:p>
    <w:p>
      <w:pPr>
        <w:spacing w:after="40"/>
      </w:pPr>
      <w:r>
        <w:rPr>
          <w:rFonts w:ascii="Times New Roman" w:hAnsi="Times New Roman"/>
          <w:sz w:val="17"/>
        </w:rPr>
        <w:t>[20] Á. Cartea and S. Jaimungal, 'Risk metrics and fine tuning of high-frequency trading strategies,' Math. Finance, vol. 24, no. 3, pp. 577–602, 2014.</w:t>
      </w:r>
    </w:p>
    <w:p>
      <w:pPr>
        <w:spacing w:after="40"/>
      </w:pPr>
      <w:r>
        <w:rPr>
          <w:rFonts w:ascii="Times New Roman" w:hAnsi="Times New Roman"/>
          <w:sz w:val="17"/>
        </w:rPr>
        <w:t>[21] B. Biais, P. Hillion, and C. Spatt, 'An empirical analysis of the limit order book and the order flow in the Paris Bourse,' J. Finance, vol. 50, no. 5, pp. 1655–1689, 1995.</w:t>
      </w:r>
    </w:p>
    <w:p>
      <w:pPr>
        <w:spacing w:after="40"/>
      </w:pPr>
      <w:r>
        <w:rPr>
          <w:rFonts w:ascii="Times New Roman" w:hAnsi="Times New Roman"/>
          <w:sz w:val="17"/>
        </w:rPr>
        <w:t>[22] M. Wyart, J. P. Bouchaud, J. Kockelkoren, M. Potters, and M. Vettorazzo, 'Relation between bid-ask spread, impact and volatility,' Quant. Finance, vol. 8, no. 1, pp. 41–57, 2008.</w:t>
      </w:r>
    </w:p>
    <w:p>
      <w:pPr>
        <w:spacing w:after="40"/>
      </w:pPr>
      <w:r>
        <w:rPr>
          <w:rFonts w:ascii="Times New Roman" w:hAnsi="Times New Roman"/>
          <w:sz w:val="17"/>
        </w:rPr>
        <w:t>[23] L. Zhang, P. A. Mykland, and Y. Aït-Sahalia, 'A tale of two time scales: Determining integrated volatility,' J. Amer. Statist. Assoc., vol. 100, no. 472, pp. 1394–1411, 2005.</w:t>
      </w:r>
    </w:p>
    <w:p>
      <w:pPr>
        <w:spacing w:after="40"/>
      </w:pPr>
      <w:r>
        <w:rPr>
          <w:rFonts w:ascii="Times New Roman" w:hAnsi="Times New Roman"/>
          <w:sz w:val="17"/>
        </w:rPr>
        <w:t>[24] B. Zheng, E. C. Moldovan, and J. P. Bouchaud, 'Price impact and order flow asymmetry in European equities,' Phys. Rev. E, vol. 89, no. 4, p. 042812, 2014.</w:t>
      </w:r>
    </w:p>
    <w:p>
      <w:pPr>
        <w:spacing w:after="40"/>
      </w:pPr>
      <w:r>
        <w:rPr>
          <w:rFonts w:ascii="Times New Roman" w:hAnsi="Times New Roman"/>
          <w:sz w:val="17"/>
        </w:rPr>
        <w:t>[25] S. Amini et al., 'Machine learning applications in financial market microstructure: A survey,' J. Financ. Data Sci., vol. 2, no. 4, pp. 18–39, 2020.</w:t>
      </w:r>
    </w:p>
    <w:p>
      <w:pPr>
        <w:spacing w:after="40"/>
      </w:pPr>
      <w:r>
        <w:rPr>
          <w:rFonts w:ascii="Times New Roman" w:hAnsi="Times New Roman"/>
          <w:sz w:val="17"/>
        </w:rPr>
        <w:t>[26] A. Vaswani et al., 'Attention is all you need,' in Adv. Neural Inf. Process. Syst. (NeurIPS), 2017, pp. 5998–6008.</w:t>
      </w:r>
    </w:p>
    <w:p>
      <w:pPr>
        <w:spacing w:after="40"/>
      </w:pPr>
      <w:r>
        <w:rPr>
          <w:rFonts w:ascii="Times New Roman" w:hAnsi="Times New Roman"/>
          <w:sz w:val="17"/>
        </w:rPr>
        <w:t>[27] M. O’Hara, 'High frequency market microstructure,' J. Financ. Econ., vol. 116, no. 2, pp. 257–270, 2015.</w:t>
      </w:r>
    </w:p>
    <w:p>
      <w:pPr>
        <w:spacing w:after="40"/>
      </w:pPr>
      <w:r>
        <w:rPr>
          <w:rFonts w:ascii="Times New Roman" w:hAnsi="Times New Roman"/>
          <w:sz w:val="17"/>
        </w:rPr>
        <w:t>[28] R. Cont, S. Stoikov, and R. Talreja, 'A stochastic model for order book dynamics,' Oper. Res., vol. 58, no. 3, pp. 549–563, 2010.</w:t>
      </w:r>
    </w:p>
    <w:p>
      <w:pPr>
        <w:spacing w:after="40"/>
      </w:pPr>
      <w:r>
        <w:rPr>
          <w:rFonts w:ascii="Times New Roman" w:hAnsi="Times New Roman"/>
          <w:sz w:val="17"/>
        </w:rPr>
        <w:t>[29] J. Peter Steidlmayer, Steidlmayer on Markets: A New Approach to Investment Selection. Hoboken, NJ: Wiley, 2002.</w:t>
      </w:r>
    </w:p>
    <w:p>
      <w:pPr>
        <w:spacing w:after="40"/>
      </w:pPr>
      <w:r>
        <w:rPr>
          <w:rFonts w:ascii="Times New Roman" w:hAnsi="Times New Roman"/>
          <w:sz w:val="17"/>
        </w:rPr>
        <w:t>[30] C. W. J. Granger, 'Investigating causal relations by econometric models,' Econometrica, vol. 37, no. 3, pp. 424–438, 1969.</w:t>
      </w:r>
    </w:p>
    <w:p>
      <w:pPr>
        <w:spacing w:after="40"/>
      </w:pPr>
      <w:r>
        <w:rPr>
          <w:rFonts w:ascii="Times New Roman" w:hAnsi="Times New Roman"/>
          <w:sz w:val="17"/>
        </w:rPr>
        <w:t>[31] T. Hastie, R. Tibshirani, and J. Friedman, The Elements of Statistical Learning, 2nd ed. New York: Springer, 2009.</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