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30"/>
      </w:pPr>
      <w:r>
        <w:rPr>
          <w:rFonts w:ascii="Times New Roman" w:cs="Times New Roman" w:eastAsia="Times New Roman" w:hAnsi="Times New Roman"/>
          <w:sz w:val="22"/>
          <w:szCs w:val="22"/>
        </w:rPr>
        <w:t xml:space="preserve"/>
      </w:r>
    </w:p>
    <w:p>
      <w:pPr>
        <w:spacing w:after="60" w:line="250"/>
        <w:jc w:val="center"/>
      </w:pPr>
      <w:r>
        <w:rPr>
          <w:rFonts w:ascii="Times New Roman" w:cs="Times New Roman" w:eastAsia="Times New Roman" w:hAnsi="Times New Roman"/>
          <w:b/>
          <w:bCs/>
          <w:sz w:val="40"/>
          <w:szCs w:val="40"/>
        </w:rPr>
        <w:t xml:space="preserve">STEMVAULT</w:t>
      </w:r>
    </w:p>
    <w:p>
      <w:pPr>
        <w:spacing w:after="300" w:line="250"/>
        <w:jc w:val="center"/>
      </w:pPr>
      <w:r>
        <w:rPr>
          <w:rFonts w:ascii="Times New Roman" w:cs="Times New Roman" w:eastAsia="Times New Roman" w:hAnsi="Times New Roman"/>
          <w:b/>
          <w:bCs/>
          <w:sz w:val="28"/>
          <w:szCs w:val="28"/>
        </w:rPr>
        <w:t xml:space="preserve">A STEM CELL BANK MANAGEMENT SYSTEM</w:t>
      </w:r>
    </w:p>
    <w:p>
      <w:pPr>
        <w:spacing w:after="90" w:line="250"/>
        <w:jc w:val="center"/>
      </w:pPr>
      <w:r>
        <w:rPr>
          <w:rFonts w:ascii="Times New Roman" w:cs="Times New Roman" w:eastAsia="Times New Roman" w:hAnsi="Times New Roman"/>
          <w:b w:val="false"/>
          <w:bCs w:val="false"/>
          <w:sz w:val="22"/>
          <w:szCs w:val="22"/>
        </w:rPr>
        <w:t xml:space="preserve">A project report submitted in partial fulfilment of the requirements for the course</w:t>
      </w:r>
    </w:p>
    <w:p>
      <w:pPr>
        <w:spacing w:after="50" w:line="250"/>
        <w:jc w:val="center"/>
      </w:pPr>
      <w:r>
        <w:rPr>
          <w:rFonts w:ascii="Times New Roman" w:cs="Times New Roman" w:eastAsia="Times New Roman" w:hAnsi="Times New Roman"/>
          <w:b/>
          <w:bCs/>
          <w:sz w:val="24"/>
          <w:szCs w:val="24"/>
        </w:rPr>
        <w:t xml:space="preserve">DATABASE MANAGEMENT SYSTEMS</w:t>
      </w:r>
    </w:p>
    <w:p>
      <w:pPr>
        <w:spacing w:after="300" w:line="250"/>
        <w:jc w:val="center"/>
      </w:pPr>
      <w:r>
        <w:rPr>
          <w:rFonts w:ascii="Times New Roman" w:cs="Times New Roman" w:eastAsia="Times New Roman" w:hAnsi="Times New Roman"/>
          <w:b w:val="false"/>
          <w:bCs w:val="false"/>
          <w:sz w:val="20"/>
          <w:szCs w:val="20"/>
        </w:rPr>
        <w:t xml:space="preserve">(Course code: ____________)</w:t>
      </w:r>
    </w:p>
    <w:p>
      <w:pPr>
        <w:spacing w:after="90" w:line="250"/>
        <w:jc w:val="center"/>
      </w:pPr>
      <w:r>
        <w:rPr>
          <w:rFonts w:ascii="Times New Roman" w:cs="Times New Roman" w:eastAsia="Times New Roman" w:hAnsi="Times New Roman"/>
          <w:b w:val="false"/>
          <w:bCs w:val="false"/>
          <w:sz w:val="22"/>
          <w:szCs w:val="22"/>
        </w:rPr>
        <w:t xml:space="preserve">Submitted by</w:t>
      </w:r>
    </w:p>
    <w:p>
      <w:pPr>
        <w:spacing w:after="40" w:line="250"/>
        <w:jc w:val="center"/>
      </w:pPr>
      <w:r>
        <w:rPr>
          <w:rFonts w:ascii="Times New Roman" w:cs="Times New Roman" w:eastAsia="Times New Roman" w:hAnsi="Times New Roman"/>
          <w:b/>
          <w:bCs/>
          <w:sz w:val="26"/>
          <w:szCs w:val="26"/>
        </w:rPr>
        <w:t xml:space="preserve">MANISH VASAM SAMBASIVARAO</w:t>
      </w:r>
    </w:p>
    <w:p>
      <w:pPr>
        <w:spacing w:after="300" w:line="250"/>
        <w:jc w:val="center"/>
      </w:pPr>
      <w:r>
        <w:rPr>
          <w:rFonts w:ascii="Times New Roman" w:cs="Times New Roman" w:eastAsia="Times New Roman" w:hAnsi="Times New Roman"/>
          <w:b w:val="false"/>
          <w:bCs w:val="false"/>
          <w:sz w:val="22"/>
          <w:szCs w:val="22"/>
        </w:rPr>
        <w:t xml:space="preserve">Register Number: 25BCE2961</w:t>
      </w:r>
    </w:p>
    <w:p>
      <w:pPr>
        <w:spacing w:after="90" w:line="250"/>
        <w:jc w:val="center"/>
      </w:pPr>
      <w:r>
        <w:rPr>
          <w:rFonts w:ascii="Times New Roman" w:cs="Times New Roman" w:eastAsia="Times New Roman" w:hAnsi="Times New Roman"/>
          <w:b w:val="false"/>
          <w:bCs w:val="false"/>
          <w:sz w:val="22"/>
          <w:szCs w:val="22"/>
        </w:rPr>
        <w:t xml:space="preserve">Under the guidance of</w:t>
      </w:r>
    </w:p>
    <w:p>
      <w:pPr>
        <w:spacing w:after="300" w:line="250"/>
        <w:jc w:val="center"/>
      </w:pPr>
      <w:r>
        <w:rPr>
          <w:rFonts w:ascii="Times New Roman" w:cs="Times New Roman" w:eastAsia="Times New Roman" w:hAnsi="Times New Roman"/>
          <w:b/>
          <w:bCs/>
          <w:sz w:val="24"/>
          <w:szCs w:val="24"/>
        </w:rPr>
        <w:t xml:space="preserve">Prof. ____________________</w:t>
      </w:r>
    </w:p>
    <w:p>
      <w:pPr>
        <w:spacing w:after="50" w:line="250"/>
        <w:jc w:val="center"/>
      </w:pPr>
      <w:r>
        <w:rPr>
          <w:rFonts w:ascii="Times New Roman" w:cs="Times New Roman" w:eastAsia="Times New Roman" w:hAnsi="Times New Roman"/>
          <w:b/>
          <w:bCs/>
          <w:sz w:val="22"/>
          <w:szCs w:val="22"/>
        </w:rPr>
        <w:t xml:space="preserve">SCHOOL OF COMPUTER SCIENCE AND ENGINEERING</w:t>
      </w:r>
    </w:p>
    <w:p>
      <w:pPr>
        <w:spacing w:after="50" w:line="250"/>
        <w:jc w:val="center"/>
      </w:pPr>
      <w:r>
        <w:rPr>
          <w:rFonts w:ascii="Times New Roman" w:cs="Times New Roman" w:eastAsia="Times New Roman" w:hAnsi="Times New Roman"/>
          <w:b/>
          <w:bCs/>
          <w:sz w:val="26"/>
          <w:szCs w:val="26"/>
        </w:rPr>
        <w:t xml:space="preserve">VELLORE INSTITUTE OF TECHNOLOGY</w:t>
      </w:r>
    </w:p>
    <w:p>
      <w:pPr>
        <w:spacing w:after="240" w:line="250"/>
        <w:jc w:val="center"/>
      </w:pPr>
      <w:r>
        <w:rPr>
          <w:rFonts w:ascii="Times New Roman" w:cs="Times New Roman" w:eastAsia="Times New Roman" w:hAnsi="Times New Roman"/>
          <w:b w:val="false"/>
          <w:bCs w:val="false"/>
          <w:sz w:val="22"/>
          <w:szCs w:val="22"/>
        </w:rPr>
        <w:t xml:space="preserve">VELLORE – 632 014, TAMIL NADU, INDIA</w:t>
      </w:r>
    </w:p>
    <w:p>
      <w:pPr>
        <w:spacing w:after="0" w:line="250"/>
        <w:jc w:val="center"/>
      </w:pPr>
      <w:r>
        <w:rPr>
          <w:rFonts w:ascii="Times New Roman" w:cs="Times New Roman" w:eastAsia="Times New Roman" w:hAnsi="Times New Roman"/>
          <w:b/>
          <w:bCs/>
          <w:sz w:val="22"/>
          <w:szCs w:val="22"/>
        </w:rPr>
        <w:t xml:space="preserve">OCTOBER 2026</w:t>
      </w:r>
    </w:p>
    <w:p>
      <w:r>
        <w:br w:type="page"/>
      </w:r>
    </w:p>
    <w:p>
      <w:pPr>
        <w:spacing w:after="200"/>
        <w:jc w:val="center"/>
      </w:pPr>
      <w:r>
        <w:rPr>
          <w:rFonts w:ascii="Times New Roman" w:cs="Times New Roman" w:eastAsia="Times New Roman" w:hAnsi="Times New Roman"/>
          <w:b/>
          <w:bCs/>
          <w:sz w:val="26"/>
          <w:szCs w:val="26"/>
        </w:rPr>
        <w:t xml:space="preserve">ABSTRACT</w:t>
      </w:r>
    </w:p>
    <w:p>
      <w:pPr>
        <w:spacing w:after="80" w:line="238"/>
        <w:jc w:val="both"/>
      </w:pPr>
      <w:r>
        <w:rPr>
          <w:rFonts w:ascii="Times New Roman" w:cs="Times New Roman" w:eastAsia="Times New Roman" w:hAnsi="Times New Roman"/>
          <w:sz w:val="22"/>
          <w:szCs w:val="22"/>
        </w:rPr>
        <w:t xml:space="preserve">A haematopoietic stem-cell transplant requires a donor whose tissue type matches the patient at the HLA loci, so a stem-cell bank is a search problem over a shared national inventory rather than an inventory problem within one hospital. At the same time a cryopreserved unit must travel in vapour-phase nitrogen under a documented chain of custody, which makes distance a real operational constraint. StemVault resolves these competing pressures through a defined policy and records the resulting decision permanently.</w:t>
      </w:r>
    </w:p>
    <w:p>
      <w:pPr>
        <w:spacing w:after="80" w:line="238"/>
        <w:jc w:val="both"/>
      </w:pPr>
      <w:r>
        <w:rPr>
          <w:rFonts w:ascii="Times New Roman" w:cs="Times New Roman" w:eastAsia="Times New Roman" w:hAnsi="Times New Roman"/>
          <w:sz w:val="22"/>
          <w:szCs w:val="22"/>
        </w:rPr>
        <w:t xml:space="preserve">The system models the complete workflow — donor consent, collection, laboratory testing, cryogenic storage, request, matching, allocation, transplant and outcome — in thirteen normalized relations. All thirteen satisfy the third normal form and most satisfy Boyce-Codd normal form; four denormalizations are deliberate and justified. The clinical rules live in the database: thirty-six triggers implement status machines, consent validation and an append-only audit trail, and eighteen stored procedures carry the multi-statement operations with row-level locking so that a unit cannot be allocated twice.</w:t>
      </w:r>
    </w:p>
    <w:p>
      <w:pPr>
        <w:spacing w:after="80" w:line="238"/>
        <w:jc w:val="both"/>
      </w:pPr>
      <w:r>
        <w:rPr>
          <w:rFonts w:ascii="Times New Roman" w:cs="Times New Roman" w:eastAsia="Times New Roman" w:hAnsi="Times New Roman"/>
          <w:sz w:val="22"/>
          <w:szCs w:val="22"/>
        </w:rPr>
        <w:t xml:space="preserve">The matching module scores compatibility over six HLA alleles at the A, B and DRB1 loci and then searches in widening rings — same district, same state, anywhere in India — returning only the nearest ring that holds a compatible unit, with the tier stored alongside the shortlist. Authorization is expressed through six database roles, a column-level privilege and row-level views, mirrored in the application.</w:t>
      </w:r>
    </w:p>
    <w:p>
      <w:pPr>
        <w:spacing w:after="80" w:line="238"/>
        <w:jc w:val="both"/>
      </w:pPr>
      <w:r>
        <w:rPr>
          <w:rFonts w:ascii="Times New Roman" w:cs="Times New Roman" w:eastAsia="Times New Roman" w:hAnsi="Times New Roman"/>
          <w:sz w:val="22"/>
          <w:szCs w:val="22"/>
        </w:rPr>
        <w:t xml:space="preserve">The system was populated with a registry-scale data set of 2,550 people — 1,600 donors and 950 patients — across 24 hospitals in 13 states, holding 1,413 cryopreserved units and 420 transplant requests. Verification against MySQL 8.0.46 confirmed that every object was created, that the seeded scenarios exercised every status path and every search tier, that twelve deliberate violations were rejected as designed, and that the full workflow ran end to end through the REST interface.</w:t>
      </w:r>
    </w:p>
    <w:p>
      <w:pPr>
        <w:spacing w:after="80" w:line="238"/>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relational design, normalization, stored procedures, triggers, transaction management, database security, HLA matching.</w:t>
      </w:r>
    </w:p>
    <w:p>
      <w:r>
        <w:br w:type="page"/>
      </w:r>
    </w:p>
    <w:p>
      <w:pPr>
        <w:pStyle w:val="Heading1"/>
        <w:spacing w:after="110" w:before="250"/>
      </w:pPr>
      <w:r>
        <w:rPr>
          <w:rFonts w:ascii="Times New Roman" w:cs="Times New Roman" w:eastAsia="Times New Roman" w:hAnsi="Times New Roman"/>
          <w:b/>
          <w:bCs/>
          <w:sz w:val="26"/>
          <w:szCs w:val="26"/>
        </w:rPr>
        <w:t xml:space="preserve">1.  INTRODUCTION</w:t>
      </w:r>
    </w:p>
    <w:p>
      <w:pPr>
        <w:pStyle w:val="Heading2"/>
        <w:spacing w:after="70" w:before="160"/>
      </w:pPr>
      <w:r>
        <w:rPr>
          <w:rFonts w:ascii="Times New Roman" w:cs="Times New Roman" w:eastAsia="Times New Roman" w:hAnsi="Times New Roman"/>
          <w:b/>
          <w:bCs/>
          <w:sz w:val="23"/>
          <w:szCs w:val="23"/>
        </w:rPr>
        <w:t xml:space="preserve">1.1  Background and problem</w:t>
      </w:r>
    </w:p>
    <w:p>
      <w:pPr>
        <w:spacing w:after="80" w:line="238"/>
        <w:jc w:val="both"/>
      </w:pPr>
      <w:r>
        <w:rPr>
          <w:rFonts w:ascii="Times New Roman" w:cs="Times New Roman" w:eastAsia="Times New Roman" w:hAnsi="Times New Roman"/>
          <w:sz w:val="22"/>
          <w:szCs w:val="22"/>
        </w:rPr>
        <w:t xml:space="preserve">Haematopoietic stem-cell transplantation replaces diseased marrow with healthy stem cells drawn from umbilical cord blood, bone marrow or peripheral blood. Compatibility is decided mainly by the human leukocyte antigen (HLA) system rather than by ABO group, and HLA types are highly polymorphic, so a patient may have no suitable unit among thousands and an exact match among the next thousand.</w:t>
      </w:r>
    </w:p>
    <w:p>
      <w:pPr>
        <w:spacing w:after="80" w:line="238"/>
        <w:jc w:val="both"/>
      </w:pPr>
      <w:r>
        <w:rPr>
          <w:rFonts w:ascii="Times New Roman" w:cs="Times New Roman" w:eastAsia="Times New Roman" w:hAnsi="Times New Roman"/>
          <w:sz w:val="22"/>
          <w:szCs w:val="22"/>
        </w:rPr>
        <w:t xml:space="preserve">Two requirements therefore pull against each other. Match quality is a clinical constraint: below a defined HLA threshold a unit must not be considered at all. Distance is an operational constraint: a cryopreserved unit travels in vapour-phase nitrogen under a chain of custody, and for an urgent case delay itself is harmful. Without a defined policy the choice between a nearby good match and a distant better one is made informally and is never recorded.</w:t>
      </w:r>
    </w:p>
    <w:p>
      <w:pPr>
        <w:pStyle w:val="Heading2"/>
        <w:spacing w:after="70" w:before="160"/>
      </w:pPr>
      <w:r>
        <w:rPr>
          <w:rFonts w:ascii="Times New Roman" w:cs="Times New Roman" w:eastAsia="Times New Roman" w:hAnsi="Times New Roman"/>
          <w:b/>
          <w:bCs/>
          <w:sz w:val="23"/>
          <w:szCs w:val="23"/>
        </w:rPr>
        <w:t xml:space="preserve">1.2  Objectives</w:t>
      </w:r>
    </w:p>
    <w:p>
      <w:pPr>
        <w:pStyle w:val="ListParagraph"/>
        <w:numPr>
          <w:ilvl w:val="0"/>
          <w:numId w:val="2"/>
        </w:numPr>
        <w:spacing w:after="50" w:line="240"/>
      </w:pPr>
      <w:r>
        <w:rPr>
          <w:rFonts w:ascii="Times New Roman" w:cs="Times New Roman" w:eastAsia="Times New Roman" w:hAnsi="Times New Roman"/>
          <w:sz w:val="22"/>
          <w:szCs w:val="22"/>
        </w:rPr>
        <w:t xml:space="preserve">Model the stem-cell banking workflow as a normalized schema of thirteen relations, with no entity added merely to increase complexity.</w:t>
      </w:r>
    </w:p>
    <w:p>
      <w:pPr>
        <w:pStyle w:val="ListParagraph"/>
        <w:numPr>
          <w:ilvl w:val="0"/>
          <w:numId w:val="2"/>
        </w:numPr>
        <w:spacing w:after="50" w:line="240"/>
      </w:pPr>
      <w:r>
        <w:rPr>
          <w:rFonts w:ascii="Times New Roman" w:cs="Times New Roman" w:eastAsia="Times New Roman" w:hAnsi="Times New Roman"/>
          <w:sz w:val="22"/>
          <w:szCs w:val="22"/>
        </w:rPr>
        <w:t xml:space="preserve">Enforce every clinical rule inside the database, using constraints where SQL can express them and triggers or procedures where it cannot.</w:t>
      </w:r>
    </w:p>
    <w:p>
      <w:pPr>
        <w:pStyle w:val="ListParagraph"/>
        <w:numPr>
          <w:ilvl w:val="0"/>
          <w:numId w:val="2"/>
        </w:numPr>
        <w:spacing w:after="50" w:line="240"/>
      </w:pPr>
      <w:r>
        <w:rPr>
          <w:rFonts w:ascii="Times New Roman" w:cs="Times New Roman" w:eastAsia="Times New Roman" w:hAnsi="Times New Roman"/>
          <w:sz w:val="22"/>
          <w:szCs w:val="22"/>
        </w:rPr>
        <w:t xml:space="preserve">Implement tiered geographic matching — district, state, country — combined with HLA scoring, in one stored procedure.</w:t>
      </w:r>
    </w:p>
    <w:p>
      <w:pPr>
        <w:pStyle w:val="ListParagraph"/>
        <w:numPr>
          <w:ilvl w:val="0"/>
          <w:numId w:val="2"/>
        </w:numPr>
        <w:spacing w:after="50" w:line="240"/>
      </w:pPr>
      <w:r>
        <w:rPr>
          <w:rFonts w:ascii="Times New Roman" w:cs="Times New Roman" w:eastAsia="Times New Roman" w:hAnsi="Times New Roman"/>
          <w:sz w:val="22"/>
          <w:szCs w:val="22"/>
        </w:rPr>
        <w:t xml:space="preserve">Maintain an append-only audit trail attributable to a named user.</w:t>
      </w:r>
    </w:p>
    <w:p>
      <w:pPr>
        <w:pStyle w:val="ListParagraph"/>
        <w:numPr>
          <w:ilvl w:val="0"/>
          <w:numId w:val="2"/>
        </w:numPr>
        <w:spacing w:after="50" w:line="240"/>
      </w:pPr>
      <w:r>
        <w:rPr>
          <w:rFonts w:ascii="Times New Roman" w:cs="Times New Roman" w:eastAsia="Times New Roman" w:hAnsi="Times New Roman"/>
          <w:sz w:val="22"/>
          <w:szCs w:val="22"/>
        </w:rPr>
        <w:t xml:space="preserve">Express authorization through database roles, column-level privileges and row-level views, mirrored in the application.</w:t>
      </w:r>
    </w:p>
    <w:p>
      <w:pPr>
        <w:pStyle w:val="ListParagraph"/>
        <w:numPr>
          <w:ilvl w:val="0"/>
          <w:numId w:val="2"/>
        </w:numPr>
        <w:spacing w:after="50" w:line="240"/>
      </w:pPr>
      <w:r>
        <w:rPr>
          <w:rFonts w:ascii="Times New Roman" w:cs="Times New Roman" w:eastAsia="Times New Roman" w:hAnsi="Times New Roman"/>
          <w:sz w:val="22"/>
          <w:szCs w:val="22"/>
        </w:rPr>
        <w:t xml:space="preserve">Populate the system at registry scale, so that the design is exercised by realistic data volumes rather than by a handful of demonstration rows.</w:t>
      </w:r>
    </w:p>
    <w:p>
      <w:pPr>
        <w:pStyle w:val="Heading2"/>
        <w:spacing w:after="70" w:before="160"/>
      </w:pPr>
      <w:r>
        <w:rPr>
          <w:rFonts w:ascii="Times New Roman" w:cs="Times New Roman" w:eastAsia="Times New Roman" w:hAnsi="Times New Roman"/>
          <w:b/>
          <w:bCs/>
          <w:sz w:val="23"/>
          <w:szCs w:val="23"/>
        </w:rPr>
        <w:t xml:space="preserve">1.3  Scope</w:t>
      </w:r>
    </w:p>
    <w:p>
      <w:pPr>
        <w:spacing w:after="80" w:line="238"/>
        <w:jc w:val="both"/>
      </w:pPr>
      <w:r>
        <w:rPr>
          <w:rFonts w:ascii="Times New Roman" w:cs="Times New Roman" w:eastAsia="Times New Roman" w:hAnsi="Times New Roman"/>
          <w:sz w:val="22"/>
          <w:szCs w:val="22"/>
        </w:rPr>
        <w:t xml:space="preserve">The work covers donor and patient registration, consent, collection and testing, storage with capacity control, request review, shortlisting, allocation, transplant and outcome, expiry maintenance and auditing. Conventional blood-bank inventory, billing, courier tracking and notifications are excluded; each would add entities without deepening the database concepts demonstrated.</w:t>
      </w:r>
    </w:p>
    <w:p>
      <w:pPr>
        <w:pStyle w:val="Heading1"/>
        <w:spacing w:after="110" w:before="250"/>
      </w:pPr>
      <w:r>
        <w:rPr>
          <w:rFonts w:ascii="Times New Roman" w:cs="Times New Roman" w:eastAsia="Times New Roman" w:hAnsi="Times New Roman"/>
          <w:b/>
          <w:bCs/>
          <w:sz w:val="26"/>
          <w:szCs w:val="26"/>
        </w:rPr>
        <w:t xml:space="preserve">2.  REQUIREMENTS ANALYSIS</w:t>
      </w:r>
    </w:p>
    <w:p>
      <w:pPr>
        <w:spacing w:after="80" w:line="238"/>
        <w:jc w:val="both"/>
      </w:pPr>
      <w:r>
        <w:rPr>
          <w:rFonts w:ascii="Times New Roman" w:cs="Times New Roman" w:eastAsia="Times New Roman" w:hAnsi="Times New Roman"/>
          <w:sz w:val="22"/>
          <w:szCs w:val="22"/>
        </w:rPr>
        <w:t xml:space="preserve">Institutional banks commonly keep inventory in spreadsheets or a single-hospital application. Three deficiencies follow: a unit stored at one hospital is invisible to a doctor at another; rules such as consent withdrawal and double allocation are enforced only in the user interface, so any other client can violate them; and the shortlist that led to a choice is never retained, which makes clinical audit impossible. The requirements below answer these directly.</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333"/>
        <w:gridCol w:w="7387"/>
      </w:tblGrid>
      <w:tr>
        <w:trPr>
          <w:tblHeader/>
        </w:trPr>
        <w:tc>
          <w:tcPr>
            <w:tcW w:type="dxa" w:w="233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Module</w:t>
            </w:r>
          </w:p>
        </w:tc>
        <w:tc>
          <w:tcPr>
            <w:tcW w:type="dxa" w:w="738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Functional requirement</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 and consent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Register HLA-typed donors; record and revoke collection, storage and clinical-use consent</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 and testing</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Register collected units; record five laboratory tests; release a tested unit into a storage slot; discard rejected or expired units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Storage</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Maintain cryogenic tanks with capacity; refuse storage beyond capacity or into a non-operational tank; report occupancy</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 and matching</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Submit a request with unit type, minimum HLA match and urgency; approve or reject it; search by district, state and country; shortlist candidates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Allocation and transplant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Allocate one unit to one approved request under concurrency control; schedule the transplant; record completion and outcome</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Audit and security</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Record every critical change with its author; restrict each role to the data it needs</w:t>
            </w:r>
          </w:p>
        </w:tc>
      </w:tr>
    </w:tbl>
    <w:p>
      <w:pPr>
        <w:spacing w:after="150" w:before="40"/>
        <w:jc w:val="center"/>
      </w:pPr>
      <w:r>
        <w:rPr>
          <w:rFonts w:ascii="Times New Roman" w:cs="Times New Roman" w:eastAsia="Times New Roman" w:hAnsi="Times New Roman"/>
          <w:i/>
          <w:iCs/>
          <w:sz w:val="18"/>
          <w:szCs w:val="18"/>
        </w:rPr>
        <w:t xml:space="preserve">Table 2.1  Functional requirements by module</w:t>
      </w:r>
    </w:p>
    <w:p>
      <w:pPr>
        <w:spacing w:after="80" w:line="238"/>
        <w:jc w:val="both"/>
      </w:pPr>
      <w:r>
        <w:rPr>
          <w:rFonts w:ascii="Times New Roman" w:cs="Times New Roman" w:eastAsia="Times New Roman" w:hAnsi="Times New Roman"/>
          <w:b/>
          <w:bCs/>
          <w:sz w:val="22"/>
          <w:szCs w:val="22"/>
        </w:rPr>
        <w:t xml:space="preserve">Non-functional requirements.</w:t>
      </w:r>
      <w:r>
        <w:rPr>
          <w:rFonts w:ascii="Times New Roman" w:cs="Times New Roman" w:eastAsia="Times New Roman" w:hAnsi="Times New Roman"/>
          <w:sz w:val="22"/>
          <w:szCs w:val="22"/>
        </w:rPr>
        <w:t xml:space="preserve"> Integrity: no clinical rule may be violated by any client, including direct SQL. Traceability: every change must be recoverable with its author and time. Concurrency: two coordinators must not be able to allocate the same unit. Privacy: a doctor must search the inventory without learning donor identity. Scale: the design must remain usable with thousands of donors and hundreds of open requests. Portability: vendor-specific constructs are avoided where a standard equivalent exists.</w:t>
      </w:r>
    </w:p>
    <w:p>
      <w:pPr>
        <w:spacing w:after="80" w:line="238"/>
        <w:jc w:val="both"/>
      </w:pPr>
      <w:r>
        <w:rPr>
          <w:rFonts w:ascii="Times New Roman" w:cs="Times New Roman" w:eastAsia="Times New Roman" w:hAnsi="Times New Roman"/>
          <w:b/>
          <w:bCs/>
          <w:sz w:val="22"/>
          <w:szCs w:val="22"/>
        </w:rPr>
        <w:t xml:space="preserve">Platform.</w:t>
      </w:r>
      <w:r>
        <w:rPr>
          <w:rFonts w:ascii="Times New Roman" w:cs="Times New Roman" w:eastAsia="Times New Roman" w:hAnsi="Times New Roman"/>
          <w:sz w:val="22"/>
          <w:szCs w:val="22"/>
        </w:rPr>
        <w:t xml:space="preserve"> MySQL 8.0.16 or later with InnoDB (CHECK constraints are enforced only from this version); Node.js 18 with Express and the mysql2 driver; React with Vite for the interface; any modern browser as client.</w:t>
      </w:r>
    </w:p>
    <w:p>
      <w:pPr>
        <w:pStyle w:val="Heading1"/>
        <w:spacing w:after="110" w:before="250"/>
      </w:pPr>
      <w:r>
        <w:rPr>
          <w:rFonts w:ascii="Times New Roman" w:cs="Times New Roman" w:eastAsia="Times New Roman" w:hAnsi="Times New Roman"/>
          <w:b/>
          <w:bCs/>
          <w:sz w:val="26"/>
          <w:szCs w:val="26"/>
        </w:rPr>
        <w:t xml:space="preserve">3.  CONCEPTUAL DATABASE DESIGN</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333"/>
        <w:gridCol w:w="7387"/>
      </w:tblGrid>
      <w:tr>
        <w:trPr>
          <w:tblHeader/>
        </w:trPr>
        <w:tc>
          <w:tcPr>
            <w:tcW w:type="dxa" w:w="233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Entity</w:t>
            </w:r>
          </w:p>
        </w:tc>
        <w:tc>
          <w:tcPr>
            <w:tcW w:type="dxa" w:w="738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Purpose</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Login identity and role; the only entity holding a password hash</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 / Patient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Persons with HLA typing; the patient additionally carries a diagnosis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Hospital</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Registered institution; holds the address and so anchors the geography</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Clinician employed at exactly one hospital, who raises requests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StorageLocation</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cryogenic tank at a hospital, with a capacity</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StemCellSample</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collected unit, its processing stage and its availability</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SampleTest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laboratory test performed on one unit</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Consent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donor’s permission for collection, storage or clinical use</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TransplantRequest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doctor’s request for a unit on behalf of one patient</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RequestSample</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candidacy of one unit for one request, with score and tier</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transplant performed with one allocated unit</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AuditLog</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Append-only history of changes to critical entities</w:t>
            </w:r>
          </w:p>
        </w:tc>
      </w:tr>
    </w:tbl>
    <w:p>
      <w:pPr>
        <w:spacing w:after="150" w:before="40"/>
        <w:jc w:val="center"/>
      </w:pPr>
      <w:r>
        <w:rPr>
          <w:rFonts w:ascii="Times New Roman" w:cs="Times New Roman" w:eastAsia="Times New Roman" w:hAnsi="Times New Roman"/>
          <w:i/>
          <w:iCs/>
          <w:sz w:val="18"/>
          <w:szCs w:val="18"/>
        </w:rPr>
        <w:t xml:space="preserve">Table 3.1  Entities and their purpose (Donor and Patient are separate relations)</w:t>
      </w:r>
    </w:p>
    <w:p>
      <w:pPr>
        <w:pStyle w:val="Heading2"/>
        <w:spacing w:after="70" w:before="160"/>
      </w:pPr>
      <w:r>
        <w:rPr>
          <w:rFonts w:ascii="Times New Roman" w:cs="Times New Roman" w:eastAsia="Times New Roman" w:hAnsi="Times New Roman"/>
          <w:b/>
          <w:bCs/>
          <w:sz w:val="23"/>
          <w:szCs w:val="23"/>
        </w:rPr>
        <w:t xml:space="preserve">3.1  Attributes requiring comment</w:t>
      </w:r>
    </w:p>
    <w:p>
      <w:pPr>
        <w:spacing w:after="80" w:line="238"/>
        <w:jc w:val="both"/>
      </w:pPr>
      <w:r>
        <w:rPr>
          <w:rFonts w:ascii="Times New Roman" w:cs="Times New Roman" w:eastAsia="Times New Roman" w:hAnsi="Times New Roman"/>
          <w:b/>
          <w:bCs/>
          <w:sz w:val="22"/>
          <w:szCs w:val="22"/>
        </w:rPr>
        <w:t xml:space="preserve">HLA typing.</w:t>
      </w:r>
      <w:r>
        <w:rPr>
          <w:rFonts w:ascii="Times New Roman" w:cs="Times New Roman" w:eastAsia="Times New Roman" w:hAnsi="Times New Roman"/>
          <w:sz w:val="22"/>
          <w:szCs w:val="22"/>
        </w:rPr>
        <w:t xml:space="preserve"> Each person carries two alleles at each of three loci, so typing is six attributes with fixed positions. The cardinality is fixed by biology and each position has its own meaning, so this is not a repeating group and does not violate the first normal form.</w:t>
      </w:r>
    </w:p>
    <w:p>
      <w:pPr>
        <w:spacing w:after="80" w:line="238"/>
        <w:jc w:val="both"/>
      </w:pPr>
      <w:r>
        <w:rPr>
          <w:rFonts w:ascii="Times New Roman" w:cs="Times New Roman" w:eastAsia="Times New Roman" w:hAnsi="Times New Roman"/>
          <w:b/>
          <w:bCs/>
          <w:sz w:val="22"/>
          <w:szCs w:val="22"/>
        </w:rPr>
        <w:t xml:space="preserve">Two status attributes on a unit.</w:t>
      </w:r>
      <w:r>
        <w:rPr>
          <w:rFonts w:ascii="Times New Roman" w:cs="Times New Roman" w:eastAsia="Times New Roman" w:hAnsi="Times New Roman"/>
          <w:sz w:val="22"/>
          <w:szCs w:val="22"/>
        </w:rPr>
        <w:t xml:space="preserve"> Processing status records the laboratory lifecycle and availability status the registry lifecycle. A unit can be released by the laboratory and still unavailable because its donor withdrew consent, so one combined attribute would have to enumerate the cross-product.</w:t>
      </w:r>
    </w:p>
    <w:p>
      <w:pPr>
        <w:spacing w:after="80" w:line="238"/>
        <w:jc w:val="both"/>
      </w:pPr>
      <w:r>
        <w:rPr>
          <w:rFonts w:ascii="Times New Roman" w:cs="Times New Roman" w:eastAsia="Times New Roman" w:hAnsi="Times New Roman"/>
          <w:b/>
          <w:bCs/>
          <w:sz w:val="22"/>
          <w:szCs w:val="22"/>
        </w:rPr>
        <w:t xml:space="preserve">Derived attributes.</w:t>
      </w:r>
      <w:r>
        <w:rPr>
          <w:rFonts w:ascii="Times New Roman" w:cs="Times New Roman" w:eastAsia="Times New Roman" w:hAnsi="Times New Roman"/>
          <w:sz w:val="22"/>
          <w:szCs w:val="22"/>
        </w:rPr>
        <w:t xml:space="preserve"> Age, storage occupancy and a unit’s blood group are derived and never stored; the match score and search tier of a candidate are stored despite being computable, for the reason in Section 5.5.</w:t>
      </w:r>
    </w:p>
    <w:p>
      <w:pPr>
        <w:pStyle w:val="Heading2"/>
        <w:spacing w:after="70" w:before="160"/>
      </w:pPr>
      <w:r>
        <w:rPr>
          <w:rFonts w:ascii="Times New Roman" w:cs="Times New Roman" w:eastAsia="Times New Roman" w:hAnsi="Times New Roman"/>
          <w:b/>
          <w:bCs/>
          <w:sz w:val="23"/>
          <w:szCs w:val="23"/>
        </w:rPr>
        <w:t xml:space="preserve">3.2  Relationships and cardinalities</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4277"/>
        <w:gridCol w:w="1458"/>
        <w:gridCol w:w="3985"/>
      </w:tblGrid>
      <w:tr>
        <w:trPr>
          <w:tblHeader/>
        </w:trPr>
        <w:tc>
          <w:tcPr>
            <w:tcW w:type="dxa" w:w="427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Relationship</w:t>
            </w:r>
          </w:p>
        </w:tc>
        <w:tc>
          <w:tcPr>
            <w:tcW w:type="dxa" w:w="1458"/>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Cardinality</w:t>
            </w:r>
          </w:p>
        </w:tc>
        <w:tc>
          <w:tcPr>
            <w:tcW w:type="dxa" w:w="3985"/>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Participation</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 – Donor / Patient / Doctor</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1:1</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Optional for donor and patient; mandatory for doctor</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Hospital – Doctor, Hospital – StorageLocation</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1:M</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Each belongs to exactly one hospital</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 – Consent, Donor – StemCellSample</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1:M</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Each belongs to exactly one donor</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StorageLocation – StemCellSample</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1:M</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Optional: a unit may be unstored</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StemCellSample – SampleTest</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1:M</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test belongs to exactly one unit</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Patient – Request, Doctor – Request</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1:M</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open request per patient at a time</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TransplantRequest – StemCellSample</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M:N</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Resolved by RequestSample</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RequestSample – Transplant</w:t>
            </w:r>
          </w:p>
        </w:tc>
        <w:tc>
          <w:tcPr>
            <w:tcW w:type="dxa" w:w="1458"/>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1:1</w:t>
            </w:r>
          </w:p>
        </w:tc>
        <w:tc>
          <w:tcPr>
            <w:tcW w:type="dxa" w:w="398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transplant uses one shortlisted candidate</w:t>
            </w:r>
          </w:p>
        </w:tc>
      </w:tr>
    </w:tbl>
    <w:p>
      <w:pPr>
        <w:spacing w:after="150" w:before="40"/>
        <w:jc w:val="center"/>
      </w:pPr>
      <w:r>
        <w:rPr>
          <w:rFonts w:ascii="Times New Roman" w:cs="Times New Roman" w:eastAsia="Times New Roman" w:hAnsi="Times New Roman"/>
          <w:i/>
          <w:iCs/>
          <w:sz w:val="18"/>
          <w:szCs w:val="18"/>
        </w:rPr>
        <w:t xml:space="preserve">Table 3.2  Relationships and cardinalities</w:t>
      </w:r>
    </w:p>
    <w:p>
      <w:pPr>
        <w:pStyle w:val="Heading2"/>
        <w:spacing w:after="70" w:before="160"/>
      </w:pPr>
      <w:r>
        <w:rPr>
          <w:rFonts w:ascii="Times New Roman" w:cs="Times New Roman" w:eastAsia="Times New Roman" w:hAnsi="Times New Roman"/>
          <w:b/>
          <w:bCs/>
          <w:sz w:val="23"/>
          <w:szCs w:val="23"/>
        </w:rPr>
        <w:t xml:space="preserve">3.3  Entity–relationship diagram</w:t>
      </w:r>
    </w:p>
    <w:p>
      <w:pPr>
        <w:spacing w:after="30" w:before="120"/>
        <w:jc w:val="center"/>
      </w:pPr>
      <w:r>
        <w:drawing>
          <wp:inline distT="0" distB="0" distL="0" distR="0">
            <wp:extent cx="44767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029200"/>
                    </a:xfrm>
                    <a:prstGeom prst="rect">
                      <a:avLst/>
                    </a:prstGeom>
                  </pic:spPr>
                </pic:pic>
              </a:graphicData>
            </a:graphic>
          </wp:inline>
        </w:drawing>
      </w:r>
    </w:p>
    <w:p>
      <w:pPr>
        <w:spacing w:after="150" w:before="40"/>
        <w:jc w:val="center"/>
      </w:pPr>
      <w:r>
        <w:rPr>
          <w:rFonts w:ascii="Times New Roman" w:cs="Times New Roman" w:eastAsia="Times New Roman" w:hAnsi="Times New Roman"/>
          <w:i/>
          <w:iCs/>
          <w:sz w:val="18"/>
          <w:szCs w:val="18"/>
        </w:rPr>
        <w:t xml:space="preserve">Figure 3.1  ER diagram of the StemVault database. In REQUEST_SAMPLE both key attributes are foreign keys forming the composite primary key.</w:t>
      </w:r>
    </w:p>
    <w:p>
      <w:pPr>
        <w:pStyle w:val="Heading2"/>
        <w:spacing w:after="70" w:before="160"/>
      </w:pPr>
      <w:r>
        <w:rPr>
          <w:rFonts w:ascii="Times New Roman" w:cs="Times New Roman" w:eastAsia="Times New Roman" w:hAnsi="Times New Roman"/>
          <w:b/>
          <w:bCs/>
          <w:sz w:val="23"/>
          <w:szCs w:val="23"/>
        </w:rPr>
        <w:t xml:space="preserve">3.4  Special modelling constructs</w:t>
      </w:r>
    </w:p>
    <w:p>
      <w:pPr>
        <w:spacing w:after="80" w:line="238"/>
        <w:jc w:val="both"/>
      </w:pPr>
      <w:r>
        <w:rPr>
          <w:rFonts w:ascii="Times New Roman" w:cs="Times New Roman" w:eastAsia="Times New Roman" w:hAnsi="Times New Roman"/>
          <w:b/>
          <w:bCs/>
          <w:sz w:val="22"/>
          <w:szCs w:val="22"/>
        </w:rPr>
        <w:t xml:space="preserve">Weak entities.</w:t>
      </w:r>
      <w:r>
        <w:rPr>
          <w:rFonts w:ascii="Times New Roman" w:cs="Times New Roman" w:eastAsia="Times New Roman" w:hAnsi="Times New Roman"/>
          <w:sz w:val="22"/>
          <w:szCs w:val="22"/>
        </w:rPr>
        <w:t xml:space="preserve"> SampleTest and Consent cannot exist without their sample and donor; in Chen notation they are weak entities with partial keys (test type, test date) and (consent type, consent date), preserved as UNIQUE constraints after mapping.</w:t>
      </w:r>
    </w:p>
    <w:p>
      <w:pPr>
        <w:spacing w:after="80" w:line="238"/>
        <w:jc w:val="both"/>
      </w:pPr>
      <w:r>
        <w:rPr>
          <w:rFonts w:ascii="Times New Roman" w:cs="Times New Roman" w:eastAsia="Times New Roman" w:hAnsi="Times New Roman"/>
          <w:b/>
          <w:bCs/>
          <w:sz w:val="22"/>
          <w:szCs w:val="22"/>
        </w:rPr>
        <w:t xml:space="preserve">Associative entity.</w:t>
      </w:r>
      <w:r>
        <w:rPr>
          <w:rFonts w:ascii="Times New Roman" w:cs="Times New Roman" w:eastAsia="Times New Roman" w:hAnsi="Times New Roman"/>
          <w:sz w:val="22"/>
          <w:szCs w:val="22"/>
        </w:rPr>
        <w:t xml:space="preserve"> RequestSample resolves the M:N relationship and carries its own attributes — score, tier, selection status, allocation date — so it is an entity rather than a link table.</w:t>
      </w:r>
    </w:p>
    <w:p>
      <w:pPr>
        <w:spacing w:after="80" w:line="238"/>
        <w:jc w:val="both"/>
      </w:pPr>
      <w:r>
        <w:rPr>
          <w:rFonts w:ascii="Times New Roman" w:cs="Times New Roman" w:eastAsia="Times New Roman" w:hAnsi="Times New Roman"/>
          <w:b/>
          <w:bCs/>
          <w:sz w:val="22"/>
          <w:szCs w:val="22"/>
        </w:rPr>
        <w:t xml:space="preserve">Aggregation.</w:t>
      </w:r>
      <w:r>
        <w:rPr>
          <w:rFonts w:ascii="Times New Roman" w:cs="Times New Roman" w:eastAsia="Times New Roman" w:hAnsi="Times New Roman"/>
          <w:sz w:val="22"/>
          <w:szCs w:val="22"/>
        </w:rPr>
        <w:t xml:space="preserve"> A transplant relates not to a request and a unit separately but to the candidacy between them. This is implemented as a composite foreign key from Transplant to RequestSample, which makes it impossible to record a transplant of a unit that was never shortlisted for that request.</w:t>
      </w:r>
    </w:p>
    <w:p>
      <w:pPr>
        <w:pStyle w:val="Heading1"/>
        <w:spacing w:after="110" w:before="250"/>
      </w:pPr>
      <w:r>
        <w:rPr>
          <w:rFonts w:ascii="Times New Roman" w:cs="Times New Roman" w:eastAsia="Times New Roman" w:hAnsi="Times New Roman"/>
          <w:b/>
          <w:bCs/>
          <w:sz w:val="26"/>
          <w:szCs w:val="26"/>
        </w:rPr>
        <w:t xml:space="preserve">4.  LOGICAL DESIGN AND RELATIONAL SCHEMA</w:t>
      </w:r>
    </w:p>
    <w:p>
      <w:pPr>
        <w:spacing w:after="80" w:line="238"/>
        <w:jc w:val="both"/>
      </w:pPr>
      <w:r>
        <w:rPr>
          <w:rFonts w:ascii="Times New Roman" w:cs="Times New Roman" w:eastAsia="Times New Roman" w:hAnsi="Times New Roman"/>
          <w:sz w:val="22"/>
          <w:szCs w:val="22"/>
        </w:rPr>
        <w:t xml:space="preserve">Each strong entity became a relation with a surrogate key. Every 1:1 relationship became a nullable foreign key with a UNIQUE constraint, every 1:M relationship a foreign key on the many side, and the single M:N relationship its own relation with a composite key.</w:t>
      </w:r>
    </w:p>
    <w:p>
      <w:pPr>
        <w:shd w:fill="F2F2F2" w:val="clear"/>
        <w:spacing w:after="100" w:before="60" w:line="200"/>
        <w:ind w:left="260" w:right="260"/>
      </w:pPr>
      <w:r>
        <w:rPr>
          <w:rFonts w:ascii="Consolas" w:cs="Consolas" w:eastAsia="Consolas" w:hAnsi="Consolas"/>
          <w:sz w:val="17"/>
          <w:szCs w:val="17"/>
        </w:rPr>
        <w:t xml:space="preserve">user(PK user_id, username UQ, password_hash, role, status, created_at)</w:t>
      </w:r>
      <w:r>
        <w:rPr>
          <w:rFonts w:ascii="Consolas" w:cs="Consolas" w:eastAsia="Consolas" w:hAnsi="Consolas"/>
          <w:sz w:val="17"/>
          <w:szCs w:val="17"/>
        </w:rPr>
        <w:br/>
        <w:t xml:space="preserve">donor(PK donor_id, FK user_id UQ, full_name, date_of_birth, gender, blood_group,</w:t>
      </w:r>
      <w:r>
        <w:rPr>
          <w:rFonts w:ascii="Consolas" w:cs="Consolas" w:eastAsia="Consolas" w:hAnsi="Consolas"/>
          <w:sz w:val="17"/>
          <w:szCs w:val="17"/>
        </w:rPr>
        <w:br/>
        <w:t xml:space="preserve">      hla_a_1, hla_a_2, hla_b_1, hla_b_2, hla_drb1_1, hla_drb1_2, phone, email,</w:t>
      </w:r>
      <w:r>
        <w:rPr>
          <w:rFonts w:ascii="Consolas" w:cs="Consolas" w:eastAsia="Consolas" w:hAnsi="Consolas"/>
          <w:sz w:val="17"/>
          <w:szCs w:val="17"/>
        </w:rPr>
        <w:br/>
        <w:t xml:space="preserve">      address, registration_date, status)</w:t>
      </w:r>
      <w:r>
        <w:rPr>
          <w:rFonts w:ascii="Consolas" w:cs="Consolas" w:eastAsia="Consolas" w:hAnsi="Consolas"/>
          <w:sz w:val="17"/>
          <w:szCs w:val="17"/>
        </w:rPr>
        <w:br/>
        <w:t xml:space="preserve">patient(PK patient_id, FK user_id UQ, full_name, date_of_birth, gender, blood_group,</w:t>
      </w:r>
      <w:r>
        <w:rPr>
          <w:rFonts w:ascii="Consolas" w:cs="Consolas" w:eastAsia="Consolas" w:hAnsi="Consolas"/>
          <w:sz w:val="17"/>
          <w:szCs w:val="17"/>
        </w:rPr>
        <w:br/>
        <w:t xml:space="preserve">        hla_a_1 … hla_drb1_2, diagnosis, phone, email, address,</w:t>
      </w:r>
      <w:r>
        <w:rPr>
          <w:rFonts w:ascii="Consolas" w:cs="Consolas" w:eastAsia="Consolas" w:hAnsi="Consolas"/>
          <w:sz w:val="17"/>
          <w:szCs w:val="17"/>
        </w:rPr>
        <w:br/>
        <w:t xml:space="preserve">        registration_date, status)</w:t>
      </w:r>
      <w:r>
        <w:rPr>
          <w:rFonts w:ascii="Consolas" w:cs="Consolas" w:eastAsia="Consolas" w:hAnsi="Consolas"/>
          <w:sz w:val="17"/>
          <w:szCs w:val="17"/>
        </w:rPr>
        <w:br/>
        <w:t xml:space="preserve">hospital(PK hospital_id, hospital_name, registration_no UQ, address_line, city,</w:t>
      </w:r>
      <w:r>
        <w:rPr>
          <w:rFonts w:ascii="Consolas" w:cs="Consolas" w:eastAsia="Consolas" w:hAnsi="Consolas"/>
          <w:sz w:val="17"/>
          <w:szCs w:val="17"/>
        </w:rPr>
        <w:br/>
        <w:t xml:space="preserve">         district, state, pincode, phone, email UQ, registered_on, status)</w:t>
      </w:r>
      <w:r>
        <w:rPr>
          <w:rFonts w:ascii="Consolas" w:cs="Consolas" w:eastAsia="Consolas" w:hAnsi="Consolas"/>
          <w:sz w:val="17"/>
          <w:szCs w:val="17"/>
        </w:rPr>
        <w:br/>
        <w:t xml:space="preserve">doctor(PK doctor_id, FK user_id UQ, FK hospital_id, full_name, specialization,</w:t>
      </w:r>
      <w:r>
        <w:rPr>
          <w:rFonts w:ascii="Consolas" w:cs="Consolas" w:eastAsia="Consolas" w:hAnsi="Consolas"/>
          <w:sz w:val="17"/>
          <w:szCs w:val="17"/>
        </w:rPr>
        <w:br/>
        <w:t xml:space="preserve">       medical_reg_no UQ, phone, email, status)</w:t>
      </w:r>
      <w:r>
        <w:rPr>
          <w:rFonts w:ascii="Consolas" w:cs="Consolas" w:eastAsia="Consolas" w:hAnsi="Consolas"/>
          <w:sz w:val="17"/>
          <w:szCs w:val="17"/>
        </w:rPr>
        <w:br/>
        <w:t xml:space="preserve">storage_location(PK location_id, FK hospital_id, location_code UQ, storage_area,</w:t>
      </w:r>
      <w:r>
        <w:rPr>
          <w:rFonts w:ascii="Consolas" w:cs="Consolas" w:eastAsia="Consolas" w:hAnsi="Consolas"/>
          <w:sz w:val="17"/>
          <w:szCs w:val="17"/>
        </w:rPr>
        <w:br/>
        <w:t xml:space="preserve">                 storage_type, capacity, current_status)</w:t>
      </w:r>
      <w:r>
        <w:rPr>
          <w:rFonts w:ascii="Consolas" w:cs="Consolas" w:eastAsia="Consolas" w:hAnsi="Consolas"/>
          <w:sz w:val="17"/>
          <w:szCs w:val="17"/>
        </w:rPr>
        <w:br/>
        <w:t xml:space="preserve">stem_cell_sample(PK sample_id, FK donor_id, FK location_id, storage_position,</w:t>
      </w:r>
      <w:r>
        <w:rPr>
          <w:rFonts w:ascii="Consolas" w:cs="Consolas" w:eastAsia="Consolas" w:hAnsi="Consolas"/>
          <w:sz w:val="17"/>
          <w:szCs w:val="17"/>
        </w:rPr>
        <w:br/>
        <w:t xml:space="preserve">                 sample_type, collection_date, volume_ml, cd34_count,</w:t>
      </w:r>
      <w:r>
        <w:rPr>
          <w:rFonts w:ascii="Consolas" w:cs="Consolas" w:eastAsia="Consolas" w:hAnsi="Consolas"/>
          <w:sz w:val="17"/>
          <w:szCs w:val="17"/>
        </w:rPr>
        <w:br/>
        <w:t xml:space="preserve">                 processing_status, availability_status, expiry_date, created_at)</w:t>
      </w:r>
      <w:r>
        <w:rPr>
          <w:rFonts w:ascii="Consolas" w:cs="Consolas" w:eastAsia="Consolas" w:hAnsi="Consolas"/>
          <w:sz w:val="17"/>
          <w:szCs w:val="17"/>
        </w:rPr>
        <w:br/>
        <w:t xml:space="preserve">sample_test(PK test_id, FK sample_id, test_type, test_date, result, test_status,</w:t>
      </w:r>
      <w:r>
        <w:rPr>
          <w:rFonts w:ascii="Consolas" w:cs="Consolas" w:eastAsia="Consolas" w:hAnsi="Consolas"/>
          <w:sz w:val="17"/>
          <w:szCs w:val="17"/>
        </w:rPr>
        <w:br/>
        <w:t xml:space="preserve">            remarks, FK performed_by)</w:t>
      </w:r>
      <w:r>
        <w:rPr>
          <w:rFonts w:ascii="Consolas" w:cs="Consolas" w:eastAsia="Consolas" w:hAnsi="Consolas"/>
          <w:sz w:val="17"/>
          <w:szCs w:val="17"/>
        </w:rPr>
        <w:br/>
        <w:t xml:space="preserve">consent(PK consent_id, FK donor_id, consent_type, consent_date, valid_until,</w:t>
      </w:r>
      <w:r>
        <w:rPr>
          <w:rFonts w:ascii="Consolas" w:cs="Consolas" w:eastAsia="Consolas" w:hAnsi="Consolas"/>
          <w:sz w:val="17"/>
          <w:szCs w:val="17"/>
        </w:rPr>
        <w:br/>
        <w:t xml:space="preserve">        revoked_on, revocation_reason, status)</w:t>
      </w:r>
      <w:r>
        <w:rPr>
          <w:rFonts w:ascii="Consolas" w:cs="Consolas" w:eastAsia="Consolas" w:hAnsi="Consolas"/>
          <w:sz w:val="17"/>
          <w:szCs w:val="17"/>
        </w:rPr>
        <w:br/>
        <w:t xml:space="preserve">transplant_request(PK request_id, FK patient_id, FK doctor_id, request_date,</w:t>
      </w:r>
      <w:r>
        <w:rPr>
          <w:rFonts w:ascii="Consolas" w:cs="Consolas" w:eastAsia="Consolas" w:hAnsi="Consolas"/>
          <w:sz w:val="17"/>
          <w:szCs w:val="17"/>
        </w:rPr>
        <w:br/>
        <w:t xml:space="preserve">                   required_sample_type, min_hla_match, urgency, request_status,</w:t>
      </w:r>
      <w:r>
        <w:rPr>
          <w:rFonts w:ascii="Consolas" w:cs="Consolas" w:eastAsia="Consolas" w:hAnsi="Consolas"/>
          <w:sz w:val="17"/>
          <w:szCs w:val="17"/>
        </w:rPr>
        <w:br/>
        <w:t xml:space="preserve">                   FK reviewed_by, reviewed_at, review_remarks)</w:t>
      </w:r>
      <w:r>
        <w:rPr>
          <w:rFonts w:ascii="Consolas" w:cs="Consolas" w:eastAsia="Consolas" w:hAnsi="Consolas"/>
          <w:sz w:val="17"/>
          <w:szCs w:val="17"/>
        </w:rPr>
        <w:br/>
        <w:t xml:space="preserve">request_sample(PK (FK request_id, FK sample_id), hla_match_score, search_tier,</w:t>
      </w:r>
      <w:r>
        <w:rPr>
          <w:rFonts w:ascii="Consolas" w:cs="Consolas" w:eastAsia="Consolas" w:hAnsi="Consolas"/>
          <w:sz w:val="17"/>
          <w:szCs w:val="17"/>
        </w:rPr>
        <w:br/>
        <w:t xml:space="preserve">               selection_status, allocation_date)</w:t>
      </w:r>
      <w:r>
        <w:rPr>
          <w:rFonts w:ascii="Consolas" w:cs="Consolas" w:eastAsia="Consolas" w:hAnsi="Consolas"/>
          <w:sz w:val="17"/>
          <w:szCs w:val="17"/>
        </w:rPr>
        <w:br/>
        <w:t xml:space="preserve">transplant(PK transplant_id, FK (request_id, sample_id), transplant_date,</w:t>
      </w:r>
      <w:r>
        <w:rPr>
          <w:rFonts w:ascii="Consolas" w:cs="Consolas" w:eastAsia="Consolas" w:hAnsi="Consolas"/>
          <w:sz w:val="17"/>
          <w:szCs w:val="17"/>
        </w:rPr>
        <w:br/>
        <w:t xml:space="preserve">           transplant_status, outcome, remarks)</w:t>
      </w:r>
      <w:r>
        <w:rPr>
          <w:rFonts w:ascii="Consolas" w:cs="Consolas" w:eastAsia="Consolas" w:hAnsi="Consolas"/>
          <w:sz w:val="17"/>
          <w:szCs w:val="17"/>
        </w:rPr>
        <w:br/>
        <w:t xml:space="preserve">audit_log(PK audit_id, FK user_id, action, table_name, record_id, action_time,</w:t>
      </w:r>
      <w:r>
        <w:rPr>
          <w:rFonts w:ascii="Consolas" w:cs="Consolas" w:eastAsia="Consolas" w:hAnsi="Consolas"/>
          <w:sz w:val="17"/>
          <w:szCs w:val="17"/>
        </w:rPr>
        <w:br/>
        <w:t xml:space="preserve">          old_value, new_value)</w:t>
      </w:r>
    </w:p>
    <w:p>
      <w:pPr>
        <w:pStyle w:val="Heading2"/>
        <w:spacing w:after="70" w:before="160"/>
      </w:pPr>
      <w:r>
        <w:rPr>
          <w:rFonts w:ascii="Times New Roman" w:cs="Times New Roman" w:eastAsia="Times New Roman" w:hAnsi="Times New Roman"/>
          <w:b/>
          <w:bCs/>
          <w:sz w:val="23"/>
          <w:szCs w:val="23"/>
        </w:rPr>
        <w:t xml:space="preserve">4.1  Keys</w:t>
      </w:r>
    </w:p>
    <w:p>
      <w:pPr>
        <w:spacing w:after="80" w:line="238"/>
        <w:jc w:val="both"/>
      </w:pPr>
      <w:r>
        <w:rPr>
          <w:rFonts w:ascii="Times New Roman" w:cs="Times New Roman" w:eastAsia="Times New Roman" w:hAnsi="Times New Roman"/>
          <w:sz w:val="22"/>
          <w:szCs w:val="22"/>
        </w:rPr>
        <w:t xml:space="preserve">Surrogate keys were preferred because every natural identifier in this domain can change or be entered wrongly; natural keys are retained as UNIQUE constraints. The one exception is </w:t>
      </w:r>
      <w:r>
        <w:rPr>
          <w:rFonts w:ascii="Consolas" w:cs="Consolas" w:eastAsia="Consolas" w:hAnsi="Consolas"/>
          <w:sz w:val="18"/>
          <w:szCs w:val="18"/>
        </w:rPr>
        <w:t xml:space="preserve">request_sample</w:t>
      </w:r>
      <w:r>
        <w:rPr>
          <w:rFonts w:ascii="Times New Roman" w:cs="Times New Roman" w:eastAsia="Times New Roman" w:hAnsi="Times New Roman"/>
          <w:sz w:val="22"/>
          <w:szCs w:val="22"/>
        </w:rPr>
        <w:t xml:space="preserve">, whose primary key is the composite </w:t>
      </w:r>
      <w:r>
        <w:rPr>
          <w:rFonts w:ascii="Consolas" w:cs="Consolas" w:eastAsia="Consolas" w:hAnsi="Consolas"/>
          <w:sz w:val="18"/>
          <w:szCs w:val="18"/>
        </w:rPr>
        <w:t xml:space="preserve">(request_id, sample_id)</w:t>
      </w:r>
      <w:r>
        <w:rPr>
          <w:rFonts w:ascii="Times New Roman" w:cs="Times New Roman" w:eastAsia="Times New Roman" w:hAnsi="Times New Roman"/>
          <w:sz w:val="22"/>
          <w:szCs w:val="22"/>
        </w:rPr>
        <w:t xml:space="preserve">: the pair is the candidacy, it prevents a unit being shortlisted twice for one request, and it gives </w:t>
      </w:r>
      <w:r>
        <w:rPr>
          <w:rFonts w:ascii="Consolas" w:cs="Consolas" w:eastAsia="Consolas" w:hAnsi="Consolas"/>
          <w:sz w:val="18"/>
          <w:szCs w:val="18"/>
        </w:rPr>
        <w:t xml:space="preserve">transplant</w:t>
      </w:r>
      <w:r>
        <w:rPr>
          <w:rFonts w:ascii="Times New Roman" w:cs="Times New Roman" w:eastAsia="Times New Roman" w:hAnsi="Times New Roman"/>
          <w:sz w:val="22"/>
          <w:szCs w:val="22"/>
        </w:rPr>
        <w:t xml:space="preserve"> a precise target.</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527"/>
        <w:gridCol w:w="7193"/>
      </w:tblGrid>
      <w:tr>
        <w:trPr>
          <w:tblHeader/>
        </w:trPr>
        <w:tc>
          <w:tcPr>
            <w:tcW w:type="dxa" w:w="252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Relation</w:t>
            </w:r>
          </w:p>
        </w:tc>
        <w:tc>
          <w:tcPr>
            <w:tcW w:type="dxa" w:w="719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Candidate / unique keys besides the primary key</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username</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 patient</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(full_name, date_of_birth, phone); user_id; email (nullable)</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hospital</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registration_no; email</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user_id; medical_reg_no</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storage_location</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location_code</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stem_cell_sample</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(location_id, storage_position) — one unit per slot</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sample_test</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(sample_id, test_type, test_date)</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consent</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(donor_id, consent_type, consent_date)</w:t>
            </w:r>
          </w:p>
        </w:tc>
      </w:tr>
      <w:tr>
        <w:tc>
          <w:tcPr>
            <w:tcW w:type="dxa" w:w="252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w:t>
            </w:r>
          </w:p>
        </w:tc>
        <w:tc>
          <w:tcPr>
            <w:tcW w:type="dxa" w:w="719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request_id; sample_id (each alone)</w:t>
            </w:r>
          </w:p>
        </w:tc>
      </w:tr>
    </w:tbl>
    <w:p>
      <w:pPr>
        <w:spacing w:after="150" w:before="40"/>
        <w:jc w:val="center"/>
      </w:pPr>
      <w:r>
        <w:rPr>
          <w:rFonts w:ascii="Times New Roman" w:cs="Times New Roman" w:eastAsia="Times New Roman" w:hAnsi="Times New Roman"/>
          <w:i/>
          <w:iCs/>
          <w:sz w:val="18"/>
          <w:szCs w:val="18"/>
        </w:rPr>
        <w:t xml:space="preserve">Table 4.1  Candidate and unique keys. A nullable unique attribute such as email is not strictly a candidate key.</w:t>
      </w:r>
    </w:p>
    <w:p>
      <w:pPr>
        <w:pStyle w:val="Heading2"/>
        <w:spacing w:after="70" w:before="160"/>
      </w:pPr>
      <w:r>
        <w:rPr>
          <w:rFonts w:ascii="Times New Roman" w:cs="Times New Roman" w:eastAsia="Times New Roman" w:hAnsi="Times New Roman"/>
          <w:b/>
          <w:bCs/>
          <w:sz w:val="23"/>
          <w:szCs w:val="23"/>
        </w:rPr>
        <w:t xml:space="preserve">4.2  Referential actions</w:t>
      </w:r>
    </w:p>
    <w:p>
      <w:pPr>
        <w:spacing w:after="80" w:line="238"/>
        <w:jc w:val="both"/>
      </w:pPr>
      <w:r>
        <w:rPr>
          <w:rFonts w:ascii="Times New Roman" w:cs="Times New Roman" w:eastAsia="Times New Roman" w:hAnsi="Times New Roman"/>
          <w:sz w:val="22"/>
          <w:szCs w:val="22"/>
        </w:rPr>
        <w:t xml:space="preserve">The policy is asymmetric by design. Clinical links use RESTRICT so traceability from a transplanted unit back to its donor can never be severed; only the candidate rows of a request cascade, because they have no meaning without it. Deleting a login must not delete a clinical record, so those links use SET NULL.</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6221"/>
        <w:gridCol w:w="1750"/>
        <w:gridCol w:w="1749"/>
      </w:tblGrid>
      <w:tr>
        <w:trPr>
          <w:tblHeader/>
        </w:trPr>
        <w:tc>
          <w:tcPr>
            <w:tcW w:type="dxa" w:w="6221"/>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Foreign key</w:t>
            </w:r>
          </w:p>
        </w:tc>
        <w:tc>
          <w:tcPr>
            <w:tcW w:type="dxa" w:w="1750"/>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On delete</w:t>
            </w:r>
          </w:p>
        </w:tc>
        <w:tc>
          <w:tcPr>
            <w:tcW w:type="dxa" w:w="1749"/>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On update</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donor.user_id, patient.user_id → user</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SET NULL</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doctor.user_id → user; doctor.hospital_id, storage_location.hospital_id → hospital</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RESTRICT</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stem_cell_sample.donor_id → donor; sample_test.sample_id → sample; consent.donor_id → donor</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RESTRICT</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stem_cell_sample.location_id → storage_location; transplant_request.reviewed_by → user</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RESTRICT</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RESTRICT</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request_sample.request_id → transplant_request</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r>
      <w:tr>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transplant.(request_id, sample_id) → request_sample</w:t>
            </w:r>
          </w:p>
        </w:tc>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RESTRICT</w:t>
            </w:r>
          </w:p>
        </w:tc>
        <w:tc>
          <w:tcPr>
            <w:tcW w:type="dxa" w:w="17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CASCADE</w:t>
            </w:r>
          </w:p>
        </w:tc>
      </w:tr>
    </w:tbl>
    <w:p>
      <w:pPr>
        <w:spacing w:after="150" w:before="40"/>
        <w:jc w:val="center"/>
      </w:pPr>
      <w:r>
        <w:rPr>
          <w:rFonts w:ascii="Times New Roman" w:cs="Times New Roman" w:eastAsia="Times New Roman" w:hAnsi="Times New Roman"/>
          <w:i/>
          <w:iCs/>
          <w:sz w:val="18"/>
          <w:szCs w:val="18"/>
        </w:rPr>
        <w:t xml:space="preserve">Table 4.2  Foreign keys and referential actions</w:t>
      </w:r>
    </w:p>
    <w:p>
      <w:pPr>
        <w:spacing w:after="80" w:line="238"/>
        <w:jc w:val="both"/>
      </w:pPr>
      <w:r>
        <w:rPr>
          <w:rFonts w:ascii="Times New Roman" w:cs="Times New Roman" w:eastAsia="Times New Roman" w:hAnsi="Times New Roman"/>
          <w:sz w:val="22"/>
          <w:szCs w:val="22"/>
        </w:rPr>
        <w:t xml:space="preserve">The two RESTRICT-on-update entries are not a preference but a MySQL rule: an attribute used inside a CHECK constraint may not carry a cascading referential action. In practice clinical rows are retired through their status attribute and never deleted.</w:t>
      </w:r>
    </w:p>
    <w:p>
      <w:pPr>
        <w:pStyle w:val="Heading2"/>
        <w:spacing w:after="70" w:before="160"/>
      </w:pPr>
      <w:r>
        <w:rPr>
          <w:rFonts w:ascii="Times New Roman" w:cs="Times New Roman" w:eastAsia="Times New Roman" w:hAnsi="Times New Roman"/>
          <w:b/>
          <w:bCs/>
          <w:sz w:val="23"/>
          <w:szCs w:val="23"/>
        </w:rPr>
        <w:t xml:space="preserve">4.3  Domain and integrity constraints</w:t>
      </w:r>
    </w:p>
    <w:p>
      <w:pPr>
        <w:spacing w:after="80" w:line="238"/>
        <w:jc w:val="both"/>
      </w:pPr>
      <w:r>
        <w:rPr>
          <w:rFonts w:ascii="Times New Roman" w:cs="Times New Roman" w:eastAsia="Times New Roman" w:hAnsi="Times New Roman"/>
          <w:sz w:val="22"/>
          <w:szCs w:val="22"/>
        </w:rPr>
        <w:t xml:space="preserve">Status attributes are VARCHAR with a CHECK listing permitted values rather than ENUM, which keeps them portable, visible in the schema and alterable without a table rebuild. Representative constraints: blood group restricted to the eight ABO-Rh values; pincode matching </w:t>
      </w:r>
      <w:r>
        <w:rPr>
          <w:rFonts w:ascii="Consolas" w:cs="Consolas" w:eastAsia="Consolas" w:hAnsi="Consolas"/>
          <w:sz w:val="18"/>
          <w:szCs w:val="18"/>
        </w:rPr>
        <w:t xml:space="preserve">^[1-9][0-9]{5}$</w:t>
      </w:r>
      <w:r>
        <w:rPr>
          <w:rFonts w:ascii="Times New Roman" w:cs="Times New Roman" w:eastAsia="Times New Roman" w:hAnsi="Times New Roman"/>
          <w:sz w:val="22"/>
          <w:szCs w:val="22"/>
        </w:rPr>
        <w:t xml:space="preserve">; all six HLA attributes null or all six non-null; expiry later than collection; </w:t>
      </w:r>
      <w:r>
        <w:rPr>
          <w:rFonts w:ascii="Consolas" w:cs="Consolas" w:eastAsia="Consolas" w:hAnsi="Consolas"/>
          <w:sz w:val="18"/>
          <w:szCs w:val="18"/>
        </w:rPr>
        <w:t xml:space="preserve">(location_id IS NULL) = (storage_position IS NULL)</w:t>
      </w:r>
      <w:r>
        <w:rPr>
          <w:rFonts w:ascii="Times New Roman" w:cs="Times New Roman" w:eastAsia="Times New Roman" w:hAnsi="Times New Roman"/>
          <w:sz w:val="22"/>
          <w:szCs w:val="22"/>
        </w:rPr>
        <w:t xml:space="preserve">; a unit AVAILABLE only when RELEASED and located; </w:t>
      </w:r>
      <w:r>
        <w:rPr>
          <w:rFonts w:ascii="Consolas" w:cs="Consolas" w:eastAsia="Consolas" w:hAnsi="Consolas"/>
          <w:sz w:val="18"/>
          <w:szCs w:val="18"/>
        </w:rPr>
        <w:t xml:space="preserve">(reviewed_by IS NULL) = (reviewed_at IS NULL)</w:t>
      </w:r>
      <w:r>
        <w:rPr>
          <w:rFonts w:ascii="Times New Roman" w:cs="Times New Roman" w:eastAsia="Times New Roman" w:hAnsi="Times New Roman"/>
          <w:sz w:val="22"/>
          <w:szCs w:val="22"/>
        </w:rPr>
        <w:t xml:space="preserve">; an outcome other than PENDING only on a completed transplant.</w:t>
      </w:r>
    </w:p>
    <w:p>
      <w:pPr>
        <w:spacing w:after="80" w:line="238"/>
        <w:jc w:val="both"/>
      </w:pPr>
      <w:r>
        <w:rPr>
          <w:rFonts w:ascii="Times New Roman" w:cs="Times New Roman" w:eastAsia="Times New Roman" w:hAnsi="Times New Roman"/>
          <w:sz w:val="22"/>
          <w:szCs w:val="22"/>
        </w:rPr>
        <w:t xml:space="preserve">A CHECK constraint may not call CURDATE() or NOW(), because a non-deterministic predicate would make the same row valid today and invalid tomorrow. Every rule depending on the current date — expiry, consent validity, donor age — is therefore enforced in a trigger or procedure.</w:t>
      </w:r>
    </w:p>
    <w:p>
      <w:pPr>
        <w:pStyle w:val="Heading2"/>
        <w:spacing w:after="70" w:before="160"/>
      </w:pPr>
      <w:r>
        <w:rPr>
          <w:rFonts w:ascii="Times New Roman" w:cs="Times New Roman" w:eastAsia="Times New Roman" w:hAnsi="Times New Roman"/>
          <w:b/>
          <w:bCs/>
          <w:sz w:val="23"/>
          <w:szCs w:val="23"/>
        </w:rPr>
        <w:t xml:space="preserve">4.4  Indexes</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916"/>
        <w:gridCol w:w="3305"/>
        <w:gridCol w:w="3499"/>
      </w:tblGrid>
      <w:tr>
        <w:trPr>
          <w:tblHeader/>
        </w:trPr>
        <w:tc>
          <w:tcPr>
            <w:tcW w:type="dxa" w:w="2916"/>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Index</w:t>
            </w:r>
          </w:p>
        </w:tc>
        <w:tc>
          <w:tcPr>
            <w:tcW w:type="dxa" w:w="3305"/>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Attributes</w:t>
            </w:r>
          </w:p>
        </w:tc>
        <w:tc>
          <w:tcPr>
            <w:tcW w:type="dxa" w:w="3499"/>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Query served</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idx_sample_avail</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availability_status, sample_type, expiry_date</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Availability view and the first filter of every search</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idx_hospital_geo</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state, district</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Tier classification in the matching procedure</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idx_request_queue</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request_status, urgency, request_date</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Review queue ordered by urgency</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idx_consent_active</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donor_id, consent_type, status</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Consent validation inside triggers</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idx_audit_entity</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table_name, record_id, action_time</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History of one record</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Name indexes on donor, patient, hospital</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full_name / hospital_name</w:t>
            </w:r>
          </w:p>
        </w:tc>
        <w:tc>
          <w:tcPr>
            <w:tcW w:type="dxa" w:w="349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Prefix searches of the form LIKE ‘Pri%’</w:t>
            </w:r>
          </w:p>
        </w:tc>
      </w:tr>
    </w:tbl>
    <w:p>
      <w:pPr>
        <w:spacing w:after="150" w:before="40"/>
        <w:jc w:val="center"/>
      </w:pPr>
      <w:r>
        <w:rPr>
          <w:rFonts w:ascii="Times New Roman" w:cs="Times New Roman" w:eastAsia="Times New Roman" w:hAnsi="Times New Roman"/>
          <w:i/>
          <w:iCs/>
          <w:sz w:val="18"/>
          <w:szCs w:val="18"/>
        </w:rPr>
        <w:t xml:space="preserve">Table 4.3  Indexes created beyond the automatic key indexes</w:t>
      </w:r>
    </w:p>
    <w:p>
      <w:pPr>
        <w:spacing w:after="80" w:line="238"/>
        <w:jc w:val="both"/>
      </w:pPr>
      <w:r>
        <w:rPr>
          <w:rFonts w:ascii="Times New Roman" w:cs="Times New Roman" w:eastAsia="Times New Roman" w:hAnsi="Times New Roman"/>
          <w:sz w:val="22"/>
          <w:szCs w:val="22"/>
        </w:rPr>
        <w:t xml:space="preserve">Attribute order follows the leftmost-prefix rule: (state, district) serves a query on both attributes and one on state alone, but not one on district alone — acceptable because every tier query filters on state and district names repeat across states. Low-cardinality attributes such as gender are left unindexed, as the optimizer prefers a scan; the HLA attributes are unindexed because scoring is a computed comparison over an already-filtered set.</w:t>
      </w:r>
    </w:p>
    <w:p>
      <w:pPr>
        <w:pStyle w:val="Heading1"/>
        <w:spacing w:after="110" w:before="250"/>
      </w:pPr>
      <w:r>
        <w:rPr>
          <w:rFonts w:ascii="Times New Roman" w:cs="Times New Roman" w:eastAsia="Times New Roman" w:hAnsi="Times New Roman"/>
          <w:b/>
          <w:bCs/>
          <w:sz w:val="26"/>
          <w:szCs w:val="26"/>
        </w:rPr>
        <w:t xml:space="preserve">5.  NORMALIZATION</w:t>
      </w:r>
    </w:p>
    <w:p>
      <w:pPr>
        <w:pStyle w:val="Heading2"/>
        <w:spacing w:after="70" w:before="160"/>
      </w:pPr>
      <w:r>
        <w:rPr>
          <w:rFonts w:ascii="Times New Roman" w:cs="Times New Roman" w:eastAsia="Times New Roman" w:hAnsi="Times New Roman"/>
          <w:b/>
          <w:bCs/>
          <w:sz w:val="23"/>
          <w:szCs w:val="23"/>
        </w:rPr>
        <w:t xml:space="preserve">5.1  First normal form</w:t>
      </w:r>
    </w:p>
    <w:p>
      <w:pPr>
        <w:spacing w:after="80" w:line="238"/>
        <w:jc w:val="both"/>
      </w:pPr>
      <w:r>
        <w:rPr>
          <w:rFonts w:ascii="Times New Roman" w:cs="Times New Roman" w:eastAsia="Times New Roman" w:hAnsi="Times New Roman"/>
          <w:sz w:val="22"/>
          <w:szCs w:val="22"/>
        </w:rPr>
        <w:t xml:space="preserve">Every attribute is atomic and every relation has a primary key. The only construct needing justification is HLA typing: the two alleles per locus are fixed by biology and each position has a distinct meaning, so six attributes are six facts, not a repeating group. A child relation would add a join to every comparison in the scoring function without removing any anomaly.</w:t>
      </w:r>
    </w:p>
    <w:p>
      <w:pPr>
        <w:pStyle w:val="Heading2"/>
        <w:spacing w:after="70" w:before="160"/>
      </w:pPr>
      <w:r>
        <w:rPr>
          <w:rFonts w:ascii="Times New Roman" w:cs="Times New Roman" w:eastAsia="Times New Roman" w:hAnsi="Times New Roman"/>
          <w:b/>
          <w:bCs/>
          <w:sz w:val="23"/>
          <w:szCs w:val="23"/>
        </w:rPr>
        <w:t xml:space="preserve">5.2  Second normal form</w:t>
      </w:r>
    </w:p>
    <w:p>
      <w:pPr>
        <w:spacing w:after="80" w:line="238"/>
        <w:jc w:val="both"/>
      </w:pPr>
      <w:r>
        <w:rPr>
          <w:rFonts w:ascii="Times New Roman" w:cs="Times New Roman" w:eastAsia="Times New Roman" w:hAnsi="Times New Roman"/>
          <w:sz w:val="22"/>
          <w:szCs w:val="22"/>
        </w:rPr>
        <w:t xml:space="preserve">Twelve relations have single-attribute keys and are in 2NF trivially. In </w:t>
      </w:r>
      <w:r>
        <w:rPr>
          <w:rFonts w:ascii="Consolas" w:cs="Consolas" w:eastAsia="Consolas" w:hAnsi="Consolas"/>
          <w:sz w:val="18"/>
          <w:szCs w:val="18"/>
        </w:rPr>
        <w:t xml:space="preserve">request_sample(request_id, sample_id)</w:t>
      </w:r>
      <w:r>
        <w:rPr>
          <w:rFonts w:ascii="Times New Roman" w:cs="Times New Roman" w:eastAsia="Times New Roman" w:hAnsi="Times New Roman"/>
          <w:sz w:val="22"/>
          <w:szCs w:val="22"/>
        </w:rPr>
        <w:t xml:space="preserve"> every non-key attribute depends on the whole key: the score compares this patient with this donor, the tier measures this unit’s distance from this request’s hospital, and the selection status records this unit’s fate in this request. Placing </w:t>
      </w:r>
      <w:r>
        <w:rPr>
          <w:rFonts w:ascii="Consolas" w:cs="Consolas" w:eastAsia="Consolas" w:hAnsi="Consolas"/>
          <w:sz w:val="18"/>
          <w:szCs w:val="18"/>
        </w:rPr>
        <w:t xml:space="preserve">sample_type</w:t>
      </w:r>
      <w:r>
        <w:rPr>
          <w:rFonts w:ascii="Times New Roman" w:cs="Times New Roman" w:eastAsia="Times New Roman" w:hAnsi="Times New Roman"/>
          <w:sz w:val="22"/>
          <w:szCs w:val="22"/>
        </w:rPr>
        <w:t xml:space="preserve"> here, convenient for display, would create a partial dependency on </w:t>
      </w:r>
      <w:r>
        <w:rPr>
          <w:rFonts w:ascii="Consolas" w:cs="Consolas" w:eastAsia="Consolas" w:hAnsi="Consolas"/>
          <w:sz w:val="18"/>
          <w:szCs w:val="18"/>
        </w:rPr>
        <w:t xml:space="preserve">sample_id</w:t>
      </w:r>
      <w:r>
        <w:rPr>
          <w:rFonts w:ascii="Times New Roman" w:cs="Times New Roman" w:eastAsia="Times New Roman" w:hAnsi="Times New Roman"/>
          <w:sz w:val="22"/>
          <w:szCs w:val="22"/>
        </w:rPr>
        <w:t xml:space="preserve"> alone.</w:t>
      </w:r>
    </w:p>
    <w:p>
      <w:pPr>
        <w:pStyle w:val="Heading2"/>
        <w:spacing w:after="70" w:before="160"/>
      </w:pPr>
      <w:r>
        <w:rPr>
          <w:rFonts w:ascii="Times New Roman" w:cs="Times New Roman" w:eastAsia="Times New Roman" w:hAnsi="Times New Roman"/>
          <w:b/>
          <w:bCs/>
          <w:sz w:val="23"/>
          <w:szCs w:val="23"/>
        </w:rPr>
        <w:t xml:space="preserve">5.3  Third normal form</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4471"/>
        <w:gridCol w:w="5249"/>
      </w:tblGrid>
      <w:tr>
        <w:trPr>
          <w:tblHeader/>
        </w:trPr>
        <w:tc>
          <w:tcPr>
            <w:tcW w:type="dxa" w:w="4471"/>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Transitive dependency avoided</w:t>
            </w:r>
          </w:p>
        </w:tc>
        <w:tc>
          <w:tcPr>
            <w:tcW w:type="dxa" w:w="5249"/>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Resolution</w:t>
            </w:r>
          </w:p>
        </w:tc>
      </w:tr>
      <w:tr>
        <w:tc>
          <w:tcPr>
            <w:tcW w:type="dxa" w:w="447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sample_id → donor_id → blood_group</w:t>
            </w:r>
          </w:p>
        </w:tc>
        <w:tc>
          <w:tcPr>
            <w:tcW w:type="dxa" w:w="52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Blood group stored only on donor; views join for it</w:t>
            </w:r>
          </w:p>
        </w:tc>
      </w:tr>
      <w:tr>
        <w:tc>
          <w:tcPr>
            <w:tcW w:type="dxa" w:w="447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doctor_id → hospital_id → hospital_name</w:t>
            </w:r>
          </w:p>
        </w:tc>
        <w:tc>
          <w:tcPr>
            <w:tcW w:type="dxa" w:w="52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 stores only hospital_id</w:t>
            </w:r>
          </w:p>
        </w:tc>
      </w:tr>
      <w:tr>
        <w:tc>
          <w:tcPr>
            <w:tcW w:type="dxa" w:w="447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request_id → doctor_id → hospital_id</w:t>
            </w:r>
          </w:p>
        </w:tc>
        <w:tc>
          <w:tcPr>
            <w:tcW w:type="dxa" w:w="52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request stores no hospital attribute</w:t>
            </w:r>
          </w:p>
        </w:tc>
      </w:tr>
      <w:tr>
        <w:tc>
          <w:tcPr>
            <w:tcW w:type="dxa" w:w="447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location_id → hospital_id → district, state</w:t>
            </w:r>
          </w:p>
        </w:tc>
        <w:tc>
          <w:tcPr>
            <w:tcW w:type="dxa" w:w="52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tank stores no address</w:t>
            </w:r>
          </w:p>
        </w:tc>
      </w:tr>
      <w:tr>
        <w:tc>
          <w:tcPr>
            <w:tcW w:type="dxa" w:w="447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location_id → count of stored units</w:t>
            </w:r>
          </w:p>
        </w:tc>
        <w:tc>
          <w:tcPr>
            <w:tcW w:type="dxa" w:w="5249"/>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Occupancy derived in a view, never stored</w:t>
            </w:r>
          </w:p>
        </w:tc>
      </w:tr>
    </w:tbl>
    <w:p>
      <w:pPr>
        <w:spacing w:after="150" w:before="40"/>
        <w:jc w:val="center"/>
      </w:pPr>
      <w:r>
        <w:rPr>
          <w:rFonts w:ascii="Times New Roman" w:cs="Times New Roman" w:eastAsia="Times New Roman" w:hAnsi="Times New Roman"/>
          <w:i/>
          <w:iCs/>
          <w:sz w:val="18"/>
          <w:szCs w:val="18"/>
        </w:rPr>
        <w:t xml:space="preserve">Table 5.1  Transitive dependencies identified and removed</w:t>
      </w:r>
    </w:p>
    <w:p>
      <w:pPr>
        <w:pStyle w:val="Heading2"/>
        <w:spacing w:after="70" w:before="160"/>
      </w:pPr>
      <w:r>
        <w:rPr>
          <w:rFonts w:ascii="Times New Roman" w:cs="Times New Roman" w:eastAsia="Times New Roman" w:hAnsi="Times New Roman"/>
          <w:b/>
          <w:bCs/>
          <w:sz w:val="23"/>
          <w:szCs w:val="23"/>
        </w:rPr>
        <w:t xml:space="preserve">5.4  Boyce-Codd normal form</w:t>
      </w:r>
    </w:p>
    <w:p>
      <w:pPr>
        <w:spacing w:after="80" w:line="238"/>
        <w:jc w:val="both"/>
      </w:pPr>
      <w:r>
        <w:rPr>
          <w:rFonts w:ascii="Times New Roman" w:cs="Times New Roman" w:eastAsia="Times New Roman" w:hAnsi="Times New Roman"/>
          <w:sz w:val="22"/>
          <w:szCs w:val="22"/>
        </w:rPr>
        <w:t xml:space="preserve">A relation is in BCNF when every determinant is a candidate key. The additional determinants here are </w:t>
      </w:r>
      <w:r>
        <w:rPr>
          <w:rFonts w:ascii="Consolas" w:cs="Consolas" w:eastAsia="Consolas" w:hAnsi="Consolas"/>
          <w:sz w:val="18"/>
          <w:szCs w:val="18"/>
        </w:rPr>
        <w:t xml:space="preserve">hospital.registration_no</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doctor.medical_reg_no</w:t>
      </w:r>
      <w:r>
        <w:rPr>
          <w:rFonts w:ascii="Times New Roman" w:cs="Times New Roman" w:eastAsia="Times New Roman" w:hAnsi="Times New Roman"/>
          <w:sz w:val="22"/>
          <w:szCs w:val="22"/>
        </w:rPr>
        <w:t xml:space="preserve">, and in </w:t>
      </w:r>
      <w:r>
        <w:rPr>
          <w:rFonts w:ascii="Consolas" w:cs="Consolas" w:eastAsia="Consolas" w:hAnsi="Consolas"/>
          <w:sz w:val="18"/>
          <w:szCs w:val="18"/>
        </w:rPr>
        <w:t xml:space="preserve">transplant</w:t>
      </w:r>
      <w:r>
        <w:rPr>
          <w:rFonts w:ascii="Times New Roman" w:cs="Times New Roman" w:eastAsia="Times New Roman" w:hAnsi="Times New Roman"/>
          <w:sz w:val="22"/>
          <w:szCs w:val="22"/>
        </w:rPr>
        <w:t xml:space="preserve"> both </w:t>
      </w:r>
      <w:r>
        <w:rPr>
          <w:rFonts w:ascii="Consolas" w:cs="Consolas" w:eastAsia="Consolas" w:hAnsi="Consolas"/>
          <w:sz w:val="18"/>
          <w:szCs w:val="18"/>
        </w:rPr>
        <w:t xml:space="preserve">request_id</w:t>
      </w:r>
      <w:r>
        <w:rPr>
          <w:rFonts w:ascii="Times New Roman" w:cs="Times New Roman" w:eastAsia="Times New Roman" w:hAnsi="Times New Roman"/>
          <w:sz w:val="22"/>
          <w:szCs w:val="22"/>
        </w:rPr>
        <w:t xml:space="preserve"> and </w:t>
      </w:r>
      <w:r>
        <w:rPr>
          <w:rFonts w:ascii="Consolas" w:cs="Consolas" w:eastAsia="Consolas" w:hAnsi="Consolas"/>
          <w:sz w:val="18"/>
          <w:szCs w:val="18"/>
        </w:rPr>
        <w:t xml:space="preserve">sample_id</w:t>
      </w:r>
      <w:r>
        <w:rPr>
          <w:rFonts w:ascii="Times New Roman" w:cs="Times New Roman" w:eastAsia="Times New Roman" w:hAnsi="Times New Roman"/>
          <w:sz w:val="22"/>
          <w:szCs w:val="22"/>
        </w:rPr>
        <w:t xml:space="preserve">, each unique. All are candidate keys, so these relations satisfy BCNF and the rest do so trivially.</w:t>
      </w:r>
    </w:p>
    <w:p>
      <w:pPr>
        <w:pStyle w:val="Heading2"/>
        <w:spacing w:after="70" w:before="160"/>
      </w:pPr>
      <w:r>
        <w:rPr>
          <w:rFonts w:ascii="Times New Roman" w:cs="Times New Roman" w:eastAsia="Times New Roman" w:hAnsi="Times New Roman"/>
          <w:b/>
          <w:bCs/>
          <w:sz w:val="23"/>
          <w:szCs w:val="23"/>
        </w:rPr>
        <w:t xml:space="preserve">5.5  Intentional denormalization</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916"/>
        <w:gridCol w:w="6804"/>
      </w:tblGrid>
      <w:tr>
        <w:trPr>
          <w:tblHeader/>
        </w:trPr>
        <w:tc>
          <w:tcPr>
            <w:tcW w:type="dxa" w:w="2916"/>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Item</w:t>
            </w:r>
          </w:p>
        </w:tc>
        <w:tc>
          <w:tcPr>
            <w:tcW w:type="dxa" w:w="6804"/>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Justification and cost accepted</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request_sample.hla_match_score, search_tier</w:t>
            </w:r>
          </w:p>
        </w:tc>
        <w:tc>
          <w:tcPr>
            <w:tcW w:type="dxa" w:w="6804"/>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snapshot of a clinical decision: re-typing a donor must not silently rewrite a past shortlist. The stored values may diverge from a recomputation, which is the intent</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consent.status</w:t>
            </w:r>
          </w:p>
        </w:tc>
        <w:tc>
          <w:tcPr>
            <w:tcW w:type="dxa" w:w="6804"/>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Derivable from revoked_on and valid_until but filtered on constantly, including in triggers. A CHECK ties REVOKED to revoked_on; an event sets EXPIRED</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audit_log JSON images</w:t>
            </w:r>
          </w:p>
        </w:tc>
        <w:tc>
          <w:tcPr>
            <w:tcW w:type="dxa" w:w="6804"/>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History is never queried relationally; the images cannot be joined, which is acceptable for an append-only log</w:t>
            </w:r>
          </w:p>
        </w:tc>
      </w:tr>
      <w:tr>
        <w:tc>
          <w:tcPr>
            <w:tcW w:type="dxa" w:w="291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hospital address attributes</w:t>
            </w:r>
          </w:p>
        </w:tc>
        <w:tc>
          <w:tcPr>
            <w:tcW w:type="dxa" w:w="6804"/>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In India pincode → district is not strict: some codes span districts and district names repeat across states. A location relation would be more correct but was omitted to keep the schema focused</w:t>
            </w:r>
          </w:p>
        </w:tc>
      </w:tr>
    </w:tbl>
    <w:p>
      <w:pPr>
        <w:spacing w:after="150" w:before="40"/>
        <w:jc w:val="center"/>
      </w:pPr>
      <w:r>
        <w:rPr>
          <w:rFonts w:ascii="Times New Roman" w:cs="Times New Roman" w:eastAsia="Times New Roman" w:hAnsi="Times New Roman"/>
          <w:i/>
          <w:iCs/>
          <w:sz w:val="18"/>
          <w:szCs w:val="18"/>
        </w:rPr>
        <w:t xml:space="preserve">Table 5.2  Intentional denormalizations</w:t>
      </w:r>
    </w:p>
    <w:p>
      <w:pPr>
        <w:spacing w:after="80" w:line="238"/>
        <w:jc w:val="both"/>
      </w:pPr>
      <w:r>
        <w:rPr>
          <w:rFonts w:ascii="Times New Roman" w:cs="Times New Roman" w:eastAsia="Times New Roman" w:hAnsi="Times New Roman"/>
          <w:sz w:val="22"/>
          <w:szCs w:val="22"/>
        </w:rPr>
        <w:t xml:space="preserve">A fifth case is reported as a weakness rather than a decision: a request’s hospital is reached through </w:t>
      </w:r>
      <w:r>
        <w:rPr>
          <w:rFonts w:ascii="Consolas" w:cs="Consolas" w:eastAsia="Consolas" w:hAnsi="Consolas"/>
          <w:sz w:val="18"/>
          <w:szCs w:val="18"/>
        </w:rPr>
        <w:t xml:space="preserve">doctor.hospital_id</w:t>
      </w:r>
      <w:r>
        <w:rPr>
          <w:rFonts w:ascii="Times New Roman" w:cs="Times New Roman" w:eastAsia="Times New Roman" w:hAnsi="Times New Roman"/>
          <w:sz w:val="22"/>
          <w:szCs w:val="22"/>
        </w:rPr>
        <w:t xml:space="preserve">, so a doctor transferring hospitals would make past requests appear to originate from the new one. Storing </w:t>
      </w:r>
      <w:r>
        <w:rPr>
          <w:rFonts w:ascii="Consolas" w:cs="Consolas" w:eastAsia="Consolas" w:hAnsi="Consolas"/>
          <w:sz w:val="18"/>
          <w:szCs w:val="18"/>
        </w:rPr>
        <w:t xml:space="preserve">hospital_id</w:t>
      </w:r>
      <w:r>
        <w:rPr>
          <w:rFonts w:ascii="Times New Roman" w:cs="Times New Roman" w:eastAsia="Times New Roman" w:hAnsi="Times New Roman"/>
          <w:sz w:val="22"/>
          <w:szCs w:val="22"/>
        </w:rPr>
        <w:t xml:space="preserve"> on the request would correct this.</w:t>
      </w:r>
    </w:p>
    <w:p>
      <w:pPr>
        <w:pStyle w:val="Heading1"/>
        <w:spacing w:after="110" w:before="250"/>
      </w:pPr>
      <w:r>
        <w:rPr>
          <w:rFonts w:ascii="Times New Roman" w:cs="Times New Roman" w:eastAsia="Times New Roman" w:hAnsi="Times New Roman"/>
          <w:b/>
          <w:bCs/>
          <w:sz w:val="26"/>
          <w:szCs w:val="26"/>
        </w:rPr>
        <w:t xml:space="preserve">6.  DATABASE PROGRAMMING</w:t>
      </w:r>
    </w:p>
    <w:p>
      <w:pPr>
        <w:spacing w:after="80" w:line="238"/>
        <w:jc w:val="both"/>
      </w:pPr>
      <w:r>
        <w:rPr>
          <w:rFonts w:ascii="Times New Roman" w:cs="Times New Roman" w:eastAsia="Times New Roman" w:hAnsi="Times New Roman"/>
          <w:sz w:val="22"/>
          <w:szCs w:val="22"/>
        </w:rPr>
        <w:t xml:space="preserve">The guiding principle is to use the weakest mechanism capable of expressing a rule: a CHECK for a single-row rule, a trigger for a rule spanning rows or depending on the current date, and a stored procedure where atomicity or locking is needed. The database contains 11 views, 11 functions, 36 triggers, 18 procedures and 1 scheduled event.</w:t>
      </w:r>
    </w:p>
    <w:p>
      <w:pPr>
        <w:pStyle w:val="Heading2"/>
        <w:spacing w:after="70" w:before="160"/>
      </w:pPr>
      <w:r>
        <w:rPr>
          <w:rFonts w:ascii="Times New Roman" w:cs="Times New Roman" w:eastAsia="Times New Roman" w:hAnsi="Times New Roman"/>
          <w:b/>
          <w:bCs/>
          <w:sz w:val="23"/>
          <w:szCs w:val="23"/>
        </w:rPr>
        <w:t xml:space="preserve">6.1  Views and functions</w:t>
      </w:r>
    </w:p>
    <w:p>
      <w:pPr>
        <w:spacing w:after="80" w:line="238"/>
        <w:jc w:val="both"/>
      </w:pPr>
      <w:r>
        <w:rPr>
          <w:rFonts w:ascii="Times New Roman" w:cs="Times New Roman" w:eastAsia="Times New Roman" w:hAnsi="Times New Roman"/>
          <w:sz w:val="22"/>
          <w:szCs w:val="22"/>
        </w:rPr>
        <w:t xml:space="preserve">The eight general views cover available units (excluding donor identity), patient requests, hospital-level request counts, per-unit testing status, storage occupancy, donor consent status, transplant summaries and request candidates; three further views implement row-level access (Section 7.3). The principal functions are </w:t>
      </w:r>
      <w:r>
        <w:rPr>
          <w:rFonts w:ascii="Consolas" w:cs="Consolas" w:eastAsia="Consolas" w:hAnsi="Consolas"/>
          <w:sz w:val="18"/>
          <w:szCs w:val="18"/>
        </w:rPr>
        <w:t xml:space="preserve">fn_hla_match_score</w:t>
      </w:r>
      <w:r>
        <w:rPr>
          <w:rFonts w:ascii="Times New Roman" w:cs="Times New Roman" w:eastAsia="Times New Roman" w:hAnsi="Times New Roman"/>
          <w:sz w:val="22"/>
          <w:szCs w:val="22"/>
        </w:rPr>
        <w:t xml:space="preserve"> and </w:t>
      </w:r>
      <w:r>
        <w:rPr>
          <w:rFonts w:ascii="Consolas" w:cs="Consolas" w:eastAsia="Consolas" w:hAnsi="Consolas"/>
          <w:sz w:val="18"/>
          <w:szCs w:val="18"/>
        </w:rPr>
        <w:t xml:space="preserve">fn_locus_match</w:t>
      </w:r>
      <w:r>
        <w:rPr>
          <w:rFonts w:ascii="Times New Roman" w:cs="Times New Roman" w:eastAsia="Times New Roman" w:hAnsi="Times New Roman"/>
          <w:sz w:val="22"/>
          <w:szCs w:val="22"/>
        </w:rPr>
        <w:t xml:space="preserve"> for compatibility, </w:t>
      </w:r>
      <w:r>
        <w:rPr>
          <w:rFonts w:ascii="Consolas" w:cs="Consolas" w:eastAsia="Consolas" w:hAnsi="Consolas"/>
          <w:sz w:val="18"/>
          <w:szCs w:val="18"/>
        </w:rPr>
        <w:t xml:space="preserve">fn_search_tier</w:t>
      </w:r>
      <w:r>
        <w:rPr>
          <w:rFonts w:ascii="Times New Roman" w:cs="Times New Roman" w:eastAsia="Times New Roman" w:hAnsi="Times New Roman"/>
          <w:sz w:val="22"/>
          <w:szCs w:val="22"/>
        </w:rPr>
        <w:t xml:space="preserve"> and </w:t>
      </w:r>
      <w:r>
        <w:rPr>
          <w:rFonts w:ascii="Consolas" w:cs="Consolas" w:eastAsia="Consolas" w:hAnsi="Consolas"/>
          <w:sz w:val="18"/>
          <w:szCs w:val="18"/>
        </w:rPr>
        <w:t xml:space="preserve">fn_tier_rank</w:t>
      </w:r>
      <w:r>
        <w:rPr>
          <w:rFonts w:ascii="Times New Roman" w:cs="Times New Roman" w:eastAsia="Times New Roman" w:hAnsi="Times New Roman"/>
          <w:sz w:val="22"/>
          <w:szCs w:val="22"/>
        </w:rPr>
        <w:t xml:space="preserve"> for geography, </w:t>
      </w:r>
      <w:r>
        <w:rPr>
          <w:rFonts w:ascii="Consolas" w:cs="Consolas" w:eastAsia="Consolas" w:hAnsi="Consolas"/>
          <w:sz w:val="18"/>
          <w:szCs w:val="18"/>
        </w:rPr>
        <w:t xml:space="preserve">fn_has_active_consent</w:t>
      </w:r>
      <w:r>
        <w:rPr>
          <w:rFonts w:ascii="Times New Roman" w:cs="Times New Roman" w:eastAsia="Times New Roman" w:hAnsi="Times New Roman"/>
          <w:sz w:val="22"/>
          <w:szCs w:val="22"/>
        </w:rPr>
        <w:t xml:space="preserve"> and </w:t>
      </w:r>
      <w:r>
        <w:rPr>
          <w:rFonts w:ascii="Consolas" w:cs="Consolas" w:eastAsia="Consolas" w:hAnsi="Consolas"/>
          <w:sz w:val="18"/>
          <w:szCs w:val="18"/>
        </w:rPr>
        <w:t xml:space="preserve">fn_sample_tests_passed</w:t>
      </w:r>
      <w:r>
        <w:rPr>
          <w:rFonts w:ascii="Times New Roman" w:cs="Times New Roman" w:eastAsia="Times New Roman" w:hAnsi="Times New Roman"/>
          <w:sz w:val="22"/>
          <w:szCs w:val="22"/>
        </w:rPr>
        <w:t xml:space="preserve"> for release validation, and </w:t>
      </w:r>
      <w:r>
        <w:rPr>
          <w:rFonts w:ascii="Consolas" w:cs="Consolas" w:eastAsia="Consolas" w:hAnsi="Consolas"/>
          <w:sz w:val="18"/>
          <w:szCs w:val="18"/>
        </w:rPr>
        <w:t xml:space="preserve">fn_location_free_slots</w:t>
      </w:r>
      <w:r>
        <w:rPr>
          <w:rFonts w:ascii="Times New Roman" w:cs="Times New Roman" w:eastAsia="Times New Roman" w:hAnsi="Times New Roman"/>
          <w:sz w:val="22"/>
          <w:szCs w:val="22"/>
        </w:rPr>
        <w:t xml:space="preserve"> for capacity.</w:t>
      </w:r>
    </w:p>
    <w:p>
      <w:pPr>
        <w:pStyle w:val="Heading2"/>
        <w:spacing w:after="70" w:before="160"/>
      </w:pPr>
      <w:r>
        <w:rPr>
          <w:rFonts w:ascii="Times New Roman" w:cs="Times New Roman" w:eastAsia="Times New Roman" w:hAnsi="Times New Roman"/>
          <w:b/>
          <w:bCs/>
          <w:sz w:val="23"/>
          <w:szCs w:val="23"/>
        </w:rPr>
        <w:t xml:space="preserve">6.2  Triggers and status machines</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333"/>
        <w:gridCol w:w="7387"/>
      </w:tblGrid>
      <w:tr>
        <w:trPr>
          <w:tblHeader/>
        </w:trPr>
        <w:tc>
          <w:tcPr>
            <w:tcW w:type="dxa" w:w="233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Entity</w:t>
            </w:r>
          </w:p>
        </w:tc>
        <w:tc>
          <w:tcPr>
            <w:tcW w:type="dxa" w:w="738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Permitted transitions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 processing</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COLLECTED → PROCESSING → QUARANTINE → RELEASED; any state → REJECTED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Sample availability</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NOT_AVAILABLE ↔ AVAILABLE → ALLOCATED → TRANSPLANTED; EXPIRED → DISCARDED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PENDING → APPROVED / REJECTED / CANCELLED; APPROVED → ALLOCATED / CANCELLED; ALLOCATED → COMPLETED, or back to APPROVED on release</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w:t>
            </w:r>
          </w:p>
        </w:tc>
        <w:tc>
          <w:tcPr>
            <w:tcW w:type="dxa" w:w="738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SCHEDULED → COMPLETED / CANCELLED; CANCELLED → SCHEDULED</w:t>
            </w:r>
          </w:p>
        </w:tc>
      </w:tr>
    </w:tbl>
    <w:p>
      <w:pPr>
        <w:spacing w:after="150" w:before="40"/>
        <w:jc w:val="center"/>
      </w:pPr>
      <w:r>
        <w:rPr>
          <w:rFonts w:ascii="Times New Roman" w:cs="Times New Roman" w:eastAsia="Times New Roman" w:hAnsi="Times New Roman"/>
          <w:i/>
          <w:iCs/>
          <w:sz w:val="18"/>
          <w:szCs w:val="18"/>
        </w:rPr>
        <w:t xml:space="preserve">Table 6.1  Permitted status transitions, enforced in BEFORE UPDATE triggers</w:t>
      </w:r>
    </w:p>
    <w:p>
      <w:pPr>
        <w:spacing w:after="80" w:line="238"/>
        <w:jc w:val="both"/>
      </w:pPr>
      <w:r>
        <w:rPr>
          <w:rFonts w:ascii="Times New Roman" w:cs="Times New Roman" w:eastAsia="Times New Roman" w:hAnsi="Times New Roman"/>
          <w:sz w:val="22"/>
          <w:szCs w:val="22"/>
        </w:rPr>
        <w:t xml:space="preserve">Any other transition raises SQLSTATE ‘45000’ with a readable message. Triggers also cascade state automatically: allocating a candidate sets the unit and the request to ALLOCATED; releasing an allocation returns the unit to the pool, or marks it EXPIRED or NOT_AVAILABLE if its expiry passed or consent lapsed, and the request to APPROVED; completing a transplant sets the unit to TRANSPLANTED, clears its slot and closes the request; revoking storage or clinical-use consent withdraws every available unit of that donor; and a failed mandatory test rejects and discards the unit.</w:t>
      </w:r>
    </w:p>
    <w:p>
      <w:pPr>
        <w:pStyle w:val="Heading2"/>
        <w:spacing w:after="70" w:before="160"/>
      </w:pPr>
      <w:r>
        <w:rPr>
          <w:rFonts w:ascii="Times New Roman" w:cs="Times New Roman" w:eastAsia="Times New Roman" w:hAnsi="Times New Roman"/>
          <w:b/>
          <w:bCs/>
          <w:sz w:val="23"/>
          <w:szCs w:val="23"/>
        </w:rPr>
        <w:t xml:space="preserve">6.3  Transactions and concurrency</w:t>
      </w:r>
    </w:p>
    <w:p>
      <w:pPr>
        <w:spacing w:after="80" w:line="238"/>
        <w:jc w:val="both"/>
      </w:pPr>
      <w:r>
        <w:rPr>
          <w:rFonts w:ascii="Times New Roman" w:cs="Times New Roman" w:eastAsia="Times New Roman" w:hAnsi="Times New Roman"/>
          <w:sz w:val="22"/>
          <w:szCs w:val="22"/>
        </w:rPr>
        <w:t xml:space="preserve">Allocation is the operation requiring isolation: two coordinators viewing the same shortlist could otherwise allocate one unit twice, a lost-update anomaly with clinical consequences. </w:t>
      </w:r>
      <w:r>
        <w:rPr>
          <w:rFonts w:ascii="Consolas" w:cs="Consolas" w:eastAsia="Consolas" w:hAnsi="Consolas"/>
          <w:sz w:val="18"/>
          <w:szCs w:val="18"/>
        </w:rPr>
        <w:t xml:space="preserve">sp_allocate_sample</w:t>
      </w:r>
      <w:r>
        <w:rPr>
          <w:rFonts w:ascii="Times New Roman" w:cs="Times New Roman" w:eastAsia="Times New Roman" w:hAnsi="Times New Roman"/>
          <w:sz w:val="22"/>
          <w:szCs w:val="22"/>
        </w:rPr>
        <w:t xml:space="preserve"> opens a transaction, takes </w:t>
      </w:r>
      <w:r>
        <w:rPr>
          <w:rFonts w:ascii="Consolas" w:cs="Consolas" w:eastAsia="Consolas" w:hAnsi="Consolas"/>
          <w:sz w:val="18"/>
          <w:szCs w:val="18"/>
        </w:rPr>
        <w:t xml:space="preserve">SELECT … FOR UPDATE</w:t>
      </w:r>
      <w:r>
        <w:rPr>
          <w:rFonts w:ascii="Times New Roman" w:cs="Times New Roman" w:eastAsia="Times New Roman" w:hAnsi="Times New Roman"/>
          <w:sz w:val="22"/>
          <w:szCs w:val="22"/>
        </w:rPr>
        <w:t xml:space="preserve"> on the request row and then the unit row, re-validates availability, type and score inside the lock, updates the candidate row and commits; an </w:t>
      </w:r>
      <w:r>
        <w:rPr>
          <w:rFonts w:ascii="Consolas" w:cs="Consolas" w:eastAsia="Consolas" w:hAnsi="Consolas"/>
          <w:sz w:val="18"/>
          <w:szCs w:val="18"/>
        </w:rPr>
        <w:t xml:space="preserve">EXIT HANDLER FOR SQLEXCEPTION</w:t>
      </w:r>
      <w:r>
        <w:rPr>
          <w:rFonts w:ascii="Times New Roman" w:cs="Times New Roman" w:eastAsia="Times New Roman" w:hAnsi="Times New Roman"/>
          <w:sz w:val="22"/>
          <w:szCs w:val="22"/>
        </w:rPr>
        <w:t xml:space="preserve"> rolls back and re-signals. Locking in a fixed order — request before unit — prevents deadlock. Three further procedures are transactional for atomicity: donor registration, sample registration with its five tests, and request cancellation.</w:t>
      </w:r>
    </w:p>
    <w:p>
      <w:pPr>
        <w:pStyle w:val="Heading2"/>
        <w:spacing w:after="70" w:before="160"/>
      </w:pPr>
      <w:r>
        <w:rPr>
          <w:rFonts w:ascii="Times New Roman" w:cs="Times New Roman" w:eastAsia="Times New Roman" w:hAnsi="Times New Roman"/>
          <w:b/>
          <w:bCs/>
          <w:sz w:val="23"/>
          <w:szCs w:val="23"/>
        </w:rPr>
        <w:t xml:space="preserve">6.4  Audit trail</w:t>
      </w:r>
    </w:p>
    <w:p>
      <w:pPr>
        <w:spacing w:after="80" w:line="238"/>
        <w:jc w:val="both"/>
      </w:pPr>
      <w:r>
        <w:rPr>
          <w:rFonts w:ascii="Times New Roman" w:cs="Times New Roman" w:eastAsia="Times New Roman" w:hAnsi="Times New Roman"/>
          <w:sz w:val="22"/>
          <w:szCs w:val="22"/>
        </w:rPr>
        <w:t xml:space="preserve">Triggers on five relations write every insert, update and delete into </w:t>
      </w:r>
      <w:r>
        <w:rPr>
          <w:rFonts w:ascii="Consolas" w:cs="Consolas" w:eastAsia="Consolas" w:hAnsi="Consolas"/>
          <w:sz w:val="18"/>
          <w:szCs w:val="18"/>
        </w:rPr>
        <w:t xml:space="preserve">audit_log</w:t>
      </w:r>
      <w:r>
        <w:rPr>
          <w:rFonts w:ascii="Times New Roman" w:cs="Times New Roman" w:eastAsia="Times New Roman" w:hAnsi="Times New Roman"/>
          <w:sz w:val="22"/>
          <w:szCs w:val="22"/>
        </w:rPr>
        <w:t xml:space="preserve"> as JSON before and after images. A trigger cannot see the application user, so the API executes </w:t>
      </w:r>
      <w:r>
        <w:rPr>
          <w:rFonts w:ascii="Consolas" w:cs="Consolas" w:eastAsia="Consolas" w:hAnsi="Consolas"/>
          <w:sz w:val="18"/>
          <w:szCs w:val="18"/>
        </w:rPr>
        <w:t xml:space="preserve">SET @app_user_id = ?</w:t>
      </w:r>
      <w:r>
        <w:rPr>
          <w:rFonts w:ascii="Times New Roman" w:cs="Times New Roman" w:eastAsia="Times New Roman" w:hAnsi="Times New Roman"/>
          <w:sz w:val="22"/>
          <w:szCs w:val="22"/>
        </w:rPr>
        <w:t xml:space="preserve"> on its pooled connection before each write and a shared helper reads the session variable. BEFORE UPDATE and BEFORE DELETE triggers on </w:t>
      </w:r>
      <w:r>
        <w:rPr>
          <w:rFonts w:ascii="Consolas" w:cs="Consolas" w:eastAsia="Consolas" w:hAnsi="Consolas"/>
          <w:sz w:val="18"/>
          <w:szCs w:val="18"/>
        </w:rPr>
        <w:t xml:space="preserve">audit_log</w:t>
      </w:r>
      <w:r>
        <w:rPr>
          <w:rFonts w:ascii="Times New Roman" w:cs="Times New Roman" w:eastAsia="Times New Roman" w:hAnsi="Times New Roman"/>
          <w:sz w:val="22"/>
          <w:szCs w:val="22"/>
        </w:rPr>
        <w:t xml:space="preserve"> raise an error unconditionally, so even the root account cannot rewrite history through SQL. Loading the demonstration data alone produced 9,205 audit rows.</w:t>
      </w:r>
    </w:p>
    <w:p>
      <w:pPr>
        <w:spacing w:after="80" w:line="238"/>
        <w:jc w:val="both"/>
      </w:pPr>
      <w:r>
        <w:rPr>
          <w:rFonts w:ascii="Times New Roman" w:cs="Times New Roman" w:eastAsia="Times New Roman" w:hAnsi="Times New Roman"/>
          <w:b/>
          <w:bCs/>
          <w:sz w:val="22"/>
          <w:szCs w:val="22"/>
        </w:rPr>
        <w:t xml:space="preserve">Cursor and event.</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sp_expiring_samples_report</w:t>
      </w:r>
      <w:r>
        <w:rPr>
          <w:rFonts w:ascii="Times New Roman" w:cs="Times New Roman" w:eastAsia="Times New Roman" w:hAnsi="Times New Roman"/>
          <w:sz w:val="22"/>
          <w:szCs w:val="22"/>
        </w:rPr>
        <w:t xml:space="preserve"> declares a cursor over units expiring within a given number of days and classifies each row into an action priority; the event </w:t>
      </w:r>
      <w:r>
        <w:rPr>
          <w:rFonts w:ascii="Consolas" w:cs="Consolas" w:eastAsia="Consolas" w:hAnsi="Consolas"/>
          <w:sz w:val="18"/>
          <w:szCs w:val="18"/>
        </w:rPr>
        <w:t xml:space="preserve">ev_daily_maintenance</w:t>
      </w:r>
      <w:r>
        <w:rPr>
          <w:rFonts w:ascii="Times New Roman" w:cs="Times New Roman" w:eastAsia="Times New Roman" w:hAnsi="Times New Roman"/>
          <w:sz w:val="22"/>
          <w:szCs w:val="22"/>
        </w:rPr>
        <w:t xml:space="preserve"> runs nightly and marks expired units and lapsed consents.</w:t>
      </w:r>
    </w:p>
    <w:p>
      <w:pPr>
        <w:pStyle w:val="Heading1"/>
        <w:spacing w:after="110" w:before="250"/>
      </w:pPr>
      <w:r>
        <w:rPr>
          <w:rFonts w:ascii="Times New Roman" w:cs="Times New Roman" w:eastAsia="Times New Roman" w:hAnsi="Times New Roman"/>
          <w:b/>
          <w:bCs/>
          <w:sz w:val="26"/>
          <w:szCs w:val="26"/>
        </w:rPr>
        <w:t xml:space="preserve">7.  MATCHING MODULE AND DATABASE SECURITY</w:t>
      </w:r>
    </w:p>
    <w:p>
      <w:pPr>
        <w:pStyle w:val="Heading2"/>
        <w:spacing w:after="70" w:before="160"/>
      </w:pPr>
      <w:r>
        <w:rPr>
          <w:rFonts w:ascii="Times New Roman" w:cs="Times New Roman" w:eastAsia="Times New Roman" w:hAnsi="Times New Roman"/>
          <w:b/>
          <w:bCs/>
          <w:sz w:val="23"/>
          <w:szCs w:val="23"/>
        </w:rPr>
        <w:t xml:space="preserve">7.1  HLA scoring</w:t>
      </w:r>
    </w:p>
    <w:p>
      <w:pPr>
        <w:spacing w:after="80" w:line="238"/>
        <w:jc w:val="both"/>
      </w:pPr>
      <w:r>
        <w:rPr>
          <w:rFonts w:ascii="Times New Roman" w:cs="Times New Roman" w:eastAsia="Times New Roman" w:hAnsi="Times New Roman"/>
          <w:sz w:val="22"/>
          <w:szCs w:val="22"/>
        </w:rPr>
        <w:t xml:space="preserve">Each person carries two alleles at each of three loci. Because allele order within a locus is arbitrary, both pairings are evaluated and the better retained:</w:t>
      </w:r>
    </w:p>
    <w:p>
      <w:pPr>
        <w:shd w:fill="F2F2F2" w:val="clear"/>
        <w:spacing w:after="100" w:before="60" w:line="200"/>
        <w:ind w:left="260" w:right="260"/>
      </w:pPr>
      <w:r>
        <w:rPr>
          <w:rFonts w:ascii="Consolas" w:cs="Consolas" w:eastAsia="Consolas" w:hAnsi="Consolas"/>
          <w:sz w:val="17"/>
          <w:szCs w:val="17"/>
        </w:rPr>
        <w:t xml:space="preserve">locus score = MAX( (p1 = d1) + (p2 = d2),  (p1 = d2) + (p2 = d1) )</w:t>
      </w:r>
    </w:p>
    <w:p>
      <w:pPr>
        <w:spacing w:after="80" w:line="238"/>
        <w:jc w:val="both"/>
      </w:pPr>
      <w:r>
        <w:rPr>
          <w:rFonts w:ascii="Times New Roman" w:cs="Times New Roman" w:eastAsia="Times New Roman" w:hAnsi="Times New Roman"/>
          <w:sz w:val="22"/>
          <w:szCs w:val="22"/>
        </w:rPr>
        <w:t xml:space="preserve">The three locus scores sum to a match out of six; the function returns NULL when either person is untyped. A request carries its own minimum, four by default.</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1750"/>
        <w:gridCol w:w="3305"/>
        <w:gridCol w:w="3305"/>
        <w:gridCol w:w="1360"/>
      </w:tblGrid>
      <w:tr>
        <w:trPr>
          <w:tblHeader/>
        </w:trPr>
        <w:tc>
          <w:tcPr>
            <w:tcW w:type="dxa" w:w="1750"/>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Locus</w:t>
            </w:r>
          </w:p>
        </w:tc>
        <w:tc>
          <w:tcPr>
            <w:tcW w:type="dxa" w:w="3305"/>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Patient alleles</w:t>
            </w:r>
          </w:p>
        </w:tc>
        <w:tc>
          <w:tcPr>
            <w:tcW w:type="dxa" w:w="3305"/>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Donor alleles</w:t>
            </w:r>
          </w:p>
        </w:tc>
        <w:tc>
          <w:tcPr>
            <w:tcW w:type="dxa" w:w="1360"/>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Score</w:t>
            </w:r>
          </w:p>
        </w:tc>
      </w:tr>
      <w:tr>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HLA-A</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w:t>
            </w:r>
            <w:r>
              <w:rPr>
                <w:rFonts w:ascii="Times New Roman" w:cs="Times New Roman" w:eastAsia="Times New Roman" w:hAnsi="Times New Roman"/>
                <w:i/>
                <w:iCs/>
                <w:sz w:val="18"/>
                <w:szCs w:val="18"/>
              </w:rPr>
              <w:t xml:space="preserve">26:01, A</w:t>
            </w:r>
            <w:r>
              <w:rPr>
                <w:rFonts w:ascii="Times New Roman" w:cs="Times New Roman" w:eastAsia="Times New Roman" w:hAnsi="Times New Roman"/>
                <w:sz w:val="18"/>
                <w:szCs w:val="18"/>
              </w:rPr>
              <w:t xml:space="preserve">01:01</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w:t>
            </w:r>
            <w:r>
              <w:rPr>
                <w:rFonts w:ascii="Times New Roman" w:cs="Times New Roman" w:eastAsia="Times New Roman" w:hAnsi="Times New Roman"/>
                <w:i/>
                <w:iCs/>
                <w:sz w:val="18"/>
                <w:szCs w:val="18"/>
              </w:rPr>
              <w:t xml:space="preserve">26:01, A</w:t>
            </w:r>
            <w:r>
              <w:rPr>
                <w:rFonts w:ascii="Times New Roman" w:cs="Times New Roman" w:eastAsia="Times New Roman" w:hAnsi="Times New Roman"/>
                <w:sz w:val="18"/>
                <w:szCs w:val="18"/>
              </w:rPr>
              <w:t xml:space="preserve">33:03</w:t>
            </w:r>
          </w:p>
        </w:tc>
        <w:tc>
          <w:tcPr>
            <w:tcW w:type="dxa" w:w="13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w:t>
            </w:r>
          </w:p>
        </w:tc>
      </w:tr>
      <w:tr>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HLA-B</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B</w:t>
            </w:r>
            <w:r>
              <w:rPr>
                <w:rFonts w:ascii="Times New Roman" w:cs="Times New Roman" w:eastAsia="Times New Roman" w:hAnsi="Times New Roman"/>
                <w:i/>
                <w:iCs/>
                <w:sz w:val="18"/>
                <w:szCs w:val="18"/>
              </w:rPr>
              <w:t xml:space="preserve">57:01, B</w:t>
            </w:r>
            <w:r>
              <w:rPr>
                <w:rFonts w:ascii="Times New Roman" w:cs="Times New Roman" w:eastAsia="Times New Roman" w:hAnsi="Times New Roman"/>
                <w:sz w:val="18"/>
                <w:szCs w:val="18"/>
              </w:rPr>
              <w:t xml:space="preserve">07:02</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B</w:t>
            </w:r>
            <w:r>
              <w:rPr>
                <w:rFonts w:ascii="Times New Roman" w:cs="Times New Roman" w:eastAsia="Times New Roman" w:hAnsi="Times New Roman"/>
                <w:i/>
                <w:iCs/>
                <w:sz w:val="18"/>
                <w:szCs w:val="18"/>
              </w:rPr>
              <w:t xml:space="preserve">57:01, B</w:t>
            </w:r>
            <w:r>
              <w:rPr>
                <w:rFonts w:ascii="Times New Roman" w:cs="Times New Roman" w:eastAsia="Times New Roman" w:hAnsi="Times New Roman"/>
                <w:sz w:val="18"/>
                <w:szCs w:val="18"/>
              </w:rPr>
              <w:t xml:space="preserve">07:02</w:t>
            </w:r>
          </w:p>
        </w:tc>
        <w:tc>
          <w:tcPr>
            <w:tcW w:type="dxa" w:w="13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2</w:t>
            </w:r>
          </w:p>
        </w:tc>
      </w:tr>
      <w:tr>
        <w:tc>
          <w:tcPr>
            <w:tcW w:type="dxa" w:w="175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HLA-DRB1</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DRB1</w:t>
            </w:r>
            <w:r>
              <w:rPr>
                <w:rFonts w:ascii="Times New Roman" w:cs="Times New Roman" w:eastAsia="Times New Roman" w:hAnsi="Times New Roman"/>
                <w:i/>
                <w:iCs/>
                <w:sz w:val="18"/>
                <w:szCs w:val="18"/>
              </w:rPr>
              <w:t xml:space="preserve">04:01, DRB1</w:t>
            </w:r>
            <w:r>
              <w:rPr>
                <w:rFonts w:ascii="Times New Roman" w:cs="Times New Roman" w:eastAsia="Times New Roman" w:hAnsi="Times New Roman"/>
                <w:sz w:val="18"/>
                <w:szCs w:val="18"/>
              </w:rPr>
              <w:t xml:space="preserve">11:01</w:t>
            </w: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DRB1</w:t>
            </w:r>
            <w:r>
              <w:rPr>
                <w:rFonts w:ascii="Times New Roman" w:cs="Times New Roman" w:eastAsia="Times New Roman" w:hAnsi="Times New Roman"/>
                <w:i/>
                <w:iCs/>
                <w:sz w:val="18"/>
                <w:szCs w:val="18"/>
              </w:rPr>
              <w:t xml:space="preserve">04:01, DRB1</w:t>
            </w:r>
            <w:r>
              <w:rPr>
                <w:rFonts w:ascii="Times New Roman" w:cs="Times New Roman" w:eastAsia="Times New Roman" w:hAnsi="Times New Roman"/>
                <w:sz w:val="18"/>
                <w:szCs w:val="18"/>
              </w:rPr>
              <w:t xml:space="preserve">11:01</w:t>
            </w:r>
          </w:p>
        </w:tc>
        <w:tc>
          <w:tcPr>
            <w:tcW w:type="dxa" w:w="13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2</w:t>
            </w:r>
          </w:p>
        </w:tc>
      </w:tr>
      <w:tr>
        <w:tc>
          <w:tcPr>
            <w:tcW w:type="dxa" w:w="1750"/>
            <w:tcMar>
              <w:top w:type="dxa" w:w="40"/>
              <w:left w:type="dxa" w:w="80"/>
              <w:bottom w:type="dxa" w:w="40"/>
              <w:right w:type="dxa" w:w="80"/>
            </w:tcMar>
          </w:tcPr>
          <w:p>
            <w:pPr>
              <w:spacing w:after="0" w:line="230"/>
            </w:pPr>
          </w:p>
        </w:tc>
        <w:tc>
          <w:tcPr>
            <w:tcW w:type="dxa" w:w="3305"/>
            <w:tcMar>
              <w:top w:type="dxa" w:w="40"/>
              <w:left w:type="dxa" w:w="80"/>
              <w:bottom w:type="dxa" w:w="40"/>
              <w:right w:type="dxa" w:w="80"/>
            </w:tcMar>
          </w:tcPr>
          <w:p>
            <w:pPr>
              <w:spacing w:after="0" w:line="230"/>
            </w:pPr>
          </w:p>
        </w:tc>
        <w:tc>
          <w:tcPr>
            <w:tcW w:type="dxa" w:w="3305"/>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Total</w:t>
            </w:r>
          </w:p>
        </w:tc>
        <w:tc>
          <w:tcPr>
            <w:tcW w:type="dxa" w:w="13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5 / 6</w:t>
            </w:r>
          </w:p>
        </w:tc>
      </w:tr>
    </w:tbl>
    <w:p>
      <w:pPr>
        <w:spacing w:after="150" w:before="40"/>
        <w:jc w:val="center"/>
      </w:pPr>
      <w:r>
        <w:rPr>
          <w:rFonts w:ascii="Times New Roman" w:cs="Times New Roman" w:eastAsia="Times New Roman" w:hAnsi="Times New Roman"/>
          <w:i/>
          <w:iCs/>
          <w:sz w:val="18"/>
          <w:szCs w:val="18"/>
        </w:rPr>
        <w:t xml:space="preserve">Table 7.1  Worked match calculation: a candidate at a minimum of 4, not at 6</w:t>
      </w:r>
    </w:p>
    <w:p>
      <w:pPr>
        <w:pStyle w:val="Heading2"/>
        <w:spacing w:after="70" w:before="160"/>
      </w:pPr>
      <w:r>
        <w:rPr>
          <w:rFonts w:ascii="Times New Roman" w:cs="Times New Roman" w:eastAsia="Times New Roman" w:hAnsi="Times New Roman"/>
          <w:b/>
          <w:bCs/>
          <w:sz w:val="23"/>
          <w:szCs w:val="23"/>
        </w:rPr>
        <w:t xml:space="preserve">7.2  The tiered search</w:t>
      </w:r>
    </w:p>
    <w:p>
      <w:pPr>
        <w:spacing w:after="80" w:line="238"/>
        <w:jc w:val="both"/>
      </w:pPr>
      <w:r>
        <w:rPr>
          <w:rFonts w:ascii="Consolas" w:cs="Consolas" w:eastAsia="Consolas" w:hAnsi="Consolas"/>
          <w:sz w:val="18"/>
          <w:szCs w:val="18"/>
        </w:rPr>
        <w:t xml:space="preserve">sp_find_candidates(request_id, save)</w:t>
      </w:r>
      <w:r>
        <w:rPr>
          <w:rFonts w:ascii="Times New Roman" w:cs="Times New Roman" w:eastAsia="Times New Roman" w:hAnsi="Times New Roman"/>
          <w:sz w:val="22"/>
          <w:szCs w:val="22"/>
        </w:rPr>
        <w:t xml:space="preserve"> locates the requesting district and state through request → doctor → hospital; filters to units that are available, of the required type, unexpired, in an operational tank at an active hospital, covered by active clinical-use consent and scoring at or above the request minimum; classifies each by comparing its hospital’s district and state with the request’s; takes the nearest non-empty ring; and, when save = 1, stores those candidates with their score and tier frozen. Equality of district also requires equality of state, because district names repeat across Indian states.</w:t>
      </w:r>
    </w:p>
    <w:p>
      <w:pPr>
        <w:spacing w:after="30" w:before="120"/>
        <w:jc w:val="center"/>
      </w:pPr>
      <w:r>
        <w:drawing>
          <wp:inline distT="0" distB="0" distL="0" distR="0">
            <wp:extent cx="4953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581150"/>
                    </a:xfrm>
                    <a:prstGeom prst="rect">
                      <a:avLst/>
                    </a:prstGeom>
                  </pic:spPr>
                </pic:pic>
              </a:graphicData>
            </a:graphic>
          </wp:inline>
        </w:drawing>
      </w:r>
    </w:p>
    <w:p>
      <w:pPr>
        <w:spacing w:after="150" w:before="40"/>
        <w:jc w:val="center"/>
      </w:pPr>
      <w:r>
        <w:rPr>
          <w:rFonts w:ascii="Times New Roman" w:cs="Times New Roman" w:eastAsia="Times New Roman" w:hAnsi="Times New Roman"/>
          <w:i/>
          <w:iCs/>
          <w:sz w:val="18"/>
          <w:szCs w:val="18"/>
        </w:rPr>
        <w:t xml:space="preserve">Figure 7.1  Tiered search: district, state, national fallback</w:t>
      </w:r>
    </w:p>
    <w:p>
      <w:pPr>
        <w:spacing w:after="80" w:line="238"/>
        <w:jc w:val="both"/>
      </w:pPr>
      <w:r>
        <w:rPr>
          <w:rFonts w:ascii="Times New Roman" w:cs="Times New Roman" w:eastAsia="Times New Roman" w:hAnsi="Times New Roman"/>
          <w:sz w:val="22"/>
          <w:szCs w:val="22"/>
        </w:rPr>
        <w:t xml:space="preserve">The procedure returns two result sets: a summary of all three rings, so a user can see that a national match existed even when it was not offered, and the candidates of the selected ring ordered by score, then ABO identity, then CD34 count, then expiry. Distance thus outranks match quality between rings but never within one — a defensible policy rather than an indisputable one, and one that can be changed by editing a single procedure.</w:t>
      </w:r>
    </w:p>
    <w:p>
      <w:pPr>
        <w:spacing w:after="80" w:line="238"/>
        <w:jc w:val="both"/>
      </w:pPr>
      <w:r>
        <w:rPr>
          <w:rFonts w:ascii="Times New Roman" w:cs="Times New Roman" w:eastAsia="Times New Roman" w:hAnsi="Times New Roman"/>
          <w:b/>
          <w:bCs/>
          <w:sz w:val="22"/>
          <w:szCs w:val="22"/>
        </w:rPr>
        <w:t xml:space="preserve">Cost at scale.</w:t>
      </w:r>
      <w:r>
        <w:rPr>
          <w:rFonts w:ascii="Times New Roman" w:cs="Times New Roman" w:eastAsia="Times New Roman" w:hAnsi="Times New Roman"/>
          <w:sz w:val="22"/>
          <w:szCs w:val="22"/>
        </w:rPr>
        <w:t xml:space="preserve"> For n units of the required type, scoring is O(n) with six comparisons each, over a set already reduced by </w:t>
      </w:r>
      <w:r>
        <w:rPr>
          <w:rFonts w:ascii="Consolas" w:cs="Consolas" w:eastAsia="Consolas" w:hAnsi="Consolas"/>
          <w:sz w:val="18"/>
          <w:szCs w:val="18"/>
        </w:rPr>
        <w:t xml:space="preserve">idx_sample_avail</w:t>
      </w:r>
      <w:r>
        <w:rPr>
          <w:rFonts w:ascii="Times New Roman" w:cs="Times New Roman" w:eastAsia="Times New Roman" w:hAnsi="Times New Roman"/>
          <w:sz w:val="22"/>
          <w:szCs w:val="22"/>
        </w:rPr>
        <w:t xml:space="preserve">. Measured against the populated database — 1,413 units, of which 1,125 are available — a complete tiered search returns in approximately 0.1 s, so the linear scan is not a practical limit at this size.</w:t>
      </w:r>
    </w:p>
    <w:p>
      <w:pPr>
        <w:pStyle w:val="Heading2"/>
        <w:spacing w:after="70" w:before="160"/>
      </w:pPr>
      <w:r>
        <w:rPr>
          <w:rFonts w:ascii="Times New Roman" w:cs="Times New Roman" w:eastAsia="Times New Roman" w:hAnsi="Times New Roman"/>
          <w:b/>
          <w:bCs/>
          <w:sz w:val="23"/>
          <w:szCs w:val="23"/>
        </w:rPr>
        <w:t xml:space="preserve">7.3  Authorization</w:t>
      </w:r>
    </w:p>
    <w:p>
      <w:pPr>
        <w:spacing w:after="80" w:line="238"/>
        <w:jc w:val="both"/>
      </w:pPr>
      <w:r>
        <w:rPr>
          <w:rFonts w:ascii="Times New Roman" w:cs="Times New Roman" w:eastAsia="Times New Roman" w:hAnsi="Times New Roman"/>
          <w:sz w:val="22"/>
          <w:szCs w:val="22"/>
        </w:rPr>
        <w:t xml:space="preserve">Six database roles implement least privilege: </w:t>
      </w:r>
      <w:r>
        <w:rPr>
          <w:rFonts w:ascii="Consolas" w:cs="Consolas" w:eastAsia="Consolas" w:hAnsi="Consolas"/>
          <w:sz w:val="18"/>
          <w:szCs w:val="18"/>
        </w:rPr>
        <w:t xml:space="preserve">sv_admin</w:t>
      </w:r>
      <w:r>
        <w:rPr>
          <w:rFonts w:ascii="Times New Roman" w:cs="Times New Roman" w:eastAsia="Times New Roman" w:hAnsi="Times New Roman"/>
          <w:sz w:val="22"/>
          <w:szCs w:val="22"/>
        </w:rPr>
        <w:t xml:space="preserve"> (full access), </w:t>
      </w:r>
      <w:r>
        <w:rPr>
          <w:rFonts w:ascii="Consolas" w:cs="Consolas" w:eastAsia="Consolas" w:hAnsi="Consolas"/>
          <w:sz w:val="18"/>
          <w:szCs w:val="18"/>
        </w:rPr>
        <w:t xml:space="preserve">sv_bank_staff</w:t>
      </w:r>
      <w:r>
        <w:rPr>
          <w:rFonts w:ascii="Times New Roman" w:cs="Times New Roman" w:eastAsia="Times New Roman" w:hAnsi="Times New Roman"/>
          <w:sz w:val="22"/>
          <w:szCs w:val="22"/>
        </w:rPr>
        <w:t xml:space="preserve"> (donors, consents, units, tests and storage, plus EXECUTE on ten workflow procedures), </w:t>
      </w:r>
      <w:r>
        <w:rPr>
          <w:rFonts w:ascii="Consolas" w:cs="Consolas" w:eastAsia="Consolas" w:hAnsi="Consolas"/>
          <w:sz w:val="18"/>
          <w:szCs w:val="18"/>
        </w:rPr>
        <w:t xml:space="preserve">sv_doctor</w:t>
      </w:r>
      <w:r>
        <w:rPr>
          <w:rFonts w:ascii="Times New Roman" w:cs="Times New Roman" w:eastAsia="Times New Roman" w:hAnsi="Times New Roman"/>
          <w:sz w:val="22"/>
          <w:szCs w:val="22"/>
        </w:rPr>
        <w:t xml:space="preserve"> (patients and requests, with </w:t>
      </w:r>
      <w:r>
        <w:rPr>
          <w:rFonts w:ascii="Times New Roman" w:cs="Times New Roman" w:eastAsia="Times New Roman" w:hAnsi="Times New Roman"/>
          <w:b/>
          <w:bCs/>
          <w:sz w:val="22"/>
          <w:szCs w:val="22"/>
        </w:rPr>
        <w:t xml:space="preserve">no privilege at all</w:t>
      </w:r>
      <w:r>
        <w:rPr>
          <w:rFonts w:ascii="Times New Roman" w:cs="Times New Roman" w:eastAsia="Times New Roman" w:hAnsi="Times New Roman"/>
          <w:sz w:val="22"/>
          <w:szCs w:val="22"/>
        </w:rPr>
        <w:t xml:space="preserve"> on donor or stem_cell_sample), </w:t>
      </w:r>
      <w:r>
        <w:rPr>
          <w:rFonts w:ascii="Consolas" w:cs="Consolas" w:eastAsia="Consolas" w:hAnsi="Consolas"/>
          <w:sz w:val="18"/>
          <w:szCs w:val="18"/>
        </w:rPr>
        <w:t xml:space="preserve">sv_donor</w:t>
      </w:r>
      <w:r>
        <w:rPr>
          <w:rFonts w:ascii="Times New Roman" w:cs="Times New Roman" w:eastAsia="Times New Roman" w:hAnsi="Times New Roman"/>
          <w:sz w:val="22"/>
          <w:szCs w:val="22"/>
        </w:rPr>
        <w:t xml:space="preserve"> and </w:t>
      </w:r>
      <w:r>
        <w:rPr>
          <w:rFonts w:ascii="Consolas" w:cs="Consolas" w:eastAsia="Consolas" w:hAnsi="Consolas"/>
          <w:sz w:val="18"/>
          <w:szCs w:val="18"/>
        </w:rPr>
        <w:t xml:space="preserve">sv_patient</w:t>
      </w:r>
      <w:r>
        <w:rPr>
          <w:rFonts w:ascii="Times New Roman" w:cs="Times New Roman" w:eastAsia="Times New Roman" w:hAnsi="Times New Roman"/>
          <w:sz w:val="22"/>
          <w:szCs w:val="22"/>
        </w:rPr>
        <w:t xml:space="preserve"> (row-level views only), and </w:t>
      </w:r>
      <w:r>
        <w:rPr>
          <w:rFonts w:ascii="Consolas" w:cs="Consolas" w:eastAsia="Consolas" w:hAnsi="Consolas"/>
          <w:sz w:val="18"/>
          <w:szCs w:val="18"/>
        </w:rPr>
        <w:t xml:space="preserve">sv_app</w:t>
      </w:r>
      <w:r>
        <w:rPr>
          <w:rFonts w:ascii="Times New Roman" w:cs="Times New Roman" w:eastAsia="Times New Roman" w:hAnsi="Times New Roman"/>
          <w:sz w:val="22"/>
          <w:szCs w:val="22"/>
        </w:rPr>
        <w:t xml:space="preserve">, the application account, which holds no DDL and only SELECT and INSERT on </w:t>
      </w:r>
      <w:r>
        <w:rPr>
          <w:rFonts w:ascii="Consolas" w:cs="Consolas" w:eastAsia="Consolas" w:hAnsi="Consolas"/>
          <w:sz w:val="18"/>
          <w:szCs w:val="18"/>
        </w:rPr>
        <w:t xml:space="preserve">audit_log</w:t>
      </w:r>
      <w:r>
        <w:rPr>
          <w:rFonts w:ascii="Times New Roman" w:cs="Times New Roman" w:eastAsia="Times New Roman" w:hAnsi="Times New Roman"/>
          <w:sz w:val="22"/>
          <w:szCs w:val="22"/>
        </w:rPr>
        <w:t xml:space="preserve">.</w:t>
      </w:r>
    </w:p>
    <w:p>
      <w:pPr>
        <w:spacing w:after="80" w:line="238"/>
        <w:jc w:val="both"/>
      </w:pPr>
      <w:r>
        <w:rPr>
          <w:rFonts w:ascii="Times New Roman" w:cs="Times New Roman" w:eastAsia="Times New Roman" w:hAnsi="Times New Roman"/>
          <w:sz w:val="22"/>
          <w:szCs w:val="22"/>
        </w:rPr>
        <w:t xml:space="preserve">Staff may review a request without rewriting its clinical content, enforced at column level:</w:t>
      </w:r>
    </w:p>
    <w:p>
      <w:pPr>
        <w:shd w:fill="F2F2F2" w:val="clear"/>
        <w:spacing w:after="100" w:before="60" w:line="200"/>
        <w:ind w:left="260" w:right="260"/>
      </w:pPr>
      <w:r>
        <w:rPr>
          <w:rFonts w:ascii="Consolas" w:cs="Consolas" w:eastAsia="Consolas" w:hAnsi="Consolas"/>
          <w:sz w:val="17"/>
          <w:szCs w:val="17"/>
        </w:rPr>
        <w:t xml:space="preserve">GRANT SELECT, UPDATE (request_status, reviewed_by, reviewed_at, review_remarks)</w:t>
      </w:r>
      <w:r>
        <w:rPr>
          <w:rFonts w:ascii="Consolas" w:cs="Consolas" w:eastAsia="Consolas" w:hAnsi="Consolas"/>
          <w:sz w:val="17"/>
          <w:szCs w:val="17"/>
        </w:rPr>
        <w:br/>
        <w:t xml:space="preserve">      ON stemvault.transplant_request TO sv_bank_staff;</w:t>
      </w:r>
    </w:p>
    <w:p>
      <w:pPr>
        <w:spacing w:after="80" w:line="238"/>
        <w:jc w:val="both"/>
      </w:pPr>
      <w:r>
        <w:rPr>
          <w:rFonts w:ascii="Times New Roman" w:cs="Times New Roman" w:eastAsia="Times New Roman" w:hAnsi="Times New Roman"/>
          <w:sz w:val="22"/>
          <w:szCs w:val="22"/>
        </w:rPr>
        <w:t xml:space="preserve">MySQL has no row-level security, so donors and patients reach their own records through SQL SECURITY DEFINER views filtered by </w:t>
      </w:r>
      <w:r>
        <w:rPr>
          <w:rFonts w:ascii="Consolas" w:cs="Consolas" w:eastAsia="Consolas" w:hAnsi="Consolas"/>
          <w:sz w:val="18"/>
          <w:szCs w:val="18"/>
        </w:rPr>
        <w:t xml:space="preserve">WHERE u.username = SUBSTRING_INDEX(USER(), '@', 1)</w:t>
      </w:r>
      <w:r>
        <w:rPr>
          <w:rFonts w:ascii="Times New Roman" w:cs="Times New Roman" w:eastAsia="Times New Roman" w:hAnsi="Times New Roman"/>
          <w:sz w:val="22"/>
          <w:szCs w:val="22"/>
        </w:rPr>
        <w:t xml:space="preserve">. USER() returns the session’s client account even inside a definer view, whereas CURRENT_USER() would return the definer. The limitation is that this needs one database account per person; the application enforces the same restriction independently using the identity in its token.</w:t>
      </w:r>
    </w:p>
    <w:p>
      <w:pPr>
        <w:pStyle w:val="Heading1"/>
        <w:spacing w:after="110" w:before="250"/>
      </w:pPr>
      <w:r>
        <w:rPr>
          <w:rFonts w:ascii="Times New Roman" w:cs="Times New Roman" w:eastAsia="Times New Roman" w:hAnsi="Times New Roman"/>
          <w:b/>
          <w:bCs/>
          <w:sz w:val="26"/>
          <w:szCs w:val="26"/>
        </w:rPr>
        <w:t xml:space="preserve">8.  IMPLEMENTATION</w:t>
      </w:r>
    </w:p>
    <w:p>
      <w:pPr>
        <w:spacing w:after="80" w:line="238"/>
        <w:jc w:val="both"/>
      </w:pPr>
      <w:r>
        <w:rPr>
          <w:rFonts w:ascii="Times New Roman" w:cs="Times New Roman" w:eastAsia="Times New Roman" w:hAnsi="Times New Roman"/>
          <w:sz w:val="22"/>
          <w:szCs w:val="22"/>
        </w:rPr>
        <w:t xml:space="preserve">The application layer is intentionally thin, since the rules reside in the database. </w:t>
      </w:r>
      <w:r>
        <w:rPr>
          <w:rFonts w:ascii="Times New Roman" w:cs="Times New Roman" w:eastAsia="Times New Roman" w:hAnsi="Times New Roman"/>
          <w:b/>
          <w:bCs/>
          <w:sz w:val="22"/>
          <w:szCs w:val="22"/>
        </w:rPr>
        <w:t xml:space="preserve">Backend:</w:t>
      </w:r>
      <w:r>
        <w:rPr>
          <w:rFonts w:ascii="Times New Roman" w:cs="Times New Roman" w:eastAsia="Times New Roman" w:hAnsi="Times New Roman"/>
          <w:sz w:val="22"/>
          <w:szCs w:val="22"/>
        </w:rPr>
        <w:t xml:space="preserve"> an Express API over seventeen route groups; reads query the views and every state change calls a stored procedure, so no clinical rule is implemented in application code. A helper borrows a pooled connection, sets </w:t>
      </w:r>
      <w:r>
        <w:rPr>
          <w:rFonts w:ascii="Consolas" w:cs="Consolas" w:eastAsia="Consolas" w:hAnsi="Consolas"/>
          <w:sz w:val="18"/>
          <w:szCs w:val="18"/>
        </w:rPr>
        <w:t xml:space="preserve">@app_user_id</w:t>
      </w:r>
      <w:r>
        <w:rPr>
          <w:rFonts w:ascii="Times New Roman" w:cs="Times New Roman" w:eastAsia="Times New Roman" w:hAnsi="Times New Roman"/>
          <w:sz w:val="22"/>
          <w:szCs w:val="22"/>
        </w:rPr>
        <w:t xml:space="preserve">, performs the work and clears the variable, which is what makes the audit trail attributable. Database errors are translated into HTTP responses: SQLSTATE ‘45000’ becomes 400 carrying the trigger’s message, duplicate keys 409, and privilege errors 403. List endpoints return at most 200 matching rows, which keeps a query over 1,600 donors bounded; narrowing is done with the filters.</w:t>
      </w:r>
    </w:p>
    <w:p>
      <w:pPr>
        <w:spacing w:after="80" w:line="238"/>
        <w:jc w:val="both"/>
      </w:pPr>
      <w:r>
        <w:rPr>
          <w:rFonts w:ascii="Times New Roman" w:cs="Times New Roman" w:eastAsia="Times New Roman" w:hAnsi="Times New Roman"/>
          <w:b/>
          <w:bCs/>
          <w:sz w:val="22"/>
          <w:szCs w:val="22"/>
        </w:rPr>
        <w:t xml:space="preserve">Frontend:</w:t>
      </w:r>
      <w:r>
        <w:rPr>
          <w:rFonts w:ascii="Times New Roman" w:cs="Times New Roman" w:eastAsia="Times New Roman" w:hAnsi="Times New Roman"/>
          <w:sz w:val="22"/>
          <w:szCs w:val="22"/>
        </w:rPr>
        <w:t xml:space="preserve"> a React single-page application presenting five role-based views — administrator, bank staff, doctor, donor and patient — determined by the role in the authentication token. Two presentation choices carry information: the HLA score is drawn as six filled or empty marks so that 5/6 and 6/6 are distinguishable at a glance, and a search result is drawn as three rings showing what each tier held and which was used, so a coordinator can see that a better national match existed and was deliberately not offered.</w:t>
      </w:r>
    </w:p>
    <w:p>
      <w:pPr>
        <w:spacing w:after="80" w:line="238"/>
        <w:jc w:val="both"/>
      </w:pPr>
      <w:r>
        <w:rPr>
          <w:rFonts w:ascii="Times New Roman" w:cs="Times New Roman" w:eastAsia="Times New Roman" w:hAnsi="Times New Roman"/>
          <w:b/>
          <w:bCs/>
          <w:sz w:val="22"/>
          <w:szCs w:val="22"/>
        </w:rPr>
        <w:t xml:space="preserve">Authentication:</w:t>
      </w:r>
      <w:r>
        <w:rPr>
          <w:rFonts w:ascii="Times New Roman" w:cs="Times New Roman" w:eastAsia="Times New Roman" w:hAnsi="Times New Roman"/>
          <w:sz w:val="22"/>
          <w:szCs w:val="22"/>
        </w:rPr>
        <w:t xml:space="preserve"> passwords are stored as bcrypt hashes with a work factor of ten; a JSON Web Token carries the user identifier, role and linked doctor, donor or patient identifier, and ownership is re-checked per record, so a doctor opening another doctor’s request is refused even though the route admits doctors.</w:t>
      </w:r>
    </w:p>
    <w:p>
      <w:pPr>
        <w:pStyle w:val="Heading1"/>
        <w:spacing w:after="110" w:before="250"/>
      </w:pPr>
      <w:r>
        <w:rPr>
          <w:rFonts w:ascii="Times New Roman" w:cs="Times New Roman" w:eastAsia="Times New Roman" w:hAnsi="Times New Roman"/>
          <w:b/>
          <w:bCs/>
          <w:sz w:val="26"/>
          <w:szCs w:val="26"/>
        </w:rPr>
        <w:t xml:space="preserve">9.  TESTING AND RESULTS</w:t>
      </w:r>
    </w:p>
    <w:p>
      <w:pPr>
        <w:spacing w:after="80" w:line="238"/>
        <w:jc w:val="both"/>
      </w:pPr>
      <w:r>
        <w:rPr>
          <w:rFonts w:ascii="Times New Roman" w:cs="Times New Roman" w:eastAsia="Times New Roman" w:hAnsi="Times New Roman"/>
          <w:sz w:val="22"/>
          <w:szCs w:val="22"/>
        </w:rPr>
        <w:t xml:space="preserve">Testing was carried out against a live MySQL 8.0.46 instance in four stages: object verification, loading of demonstration data through the real procedures, deliberate violation of each class of rule, and an end-to-end run of the workflow through the REST interface. All scripts executed without error, producing 13 tables, 11 views, 36 triggers, 29 routines, 1 event and 10 additional indexes.</w:t>
      </w:r>
    </w:p>
    <w:p>
      <w:pPr>
        <w:pStyle w:val="Heading2"/>
        <w:spacing w:after="70" w:before="160"/>
      </w:pPr>
      <w:r>
        <w:rPr>
          <w:rFonts w:ascii="Times New Roman" w:cs="Times New Roman" w:eastAsia="Times New Roman" w:hAnsi="Times New Roman"/>
          <w:b/>
          <w:bCs/>
          <w:sz w:val="23"/>
          <w:szCs w:val="23"/>
        </w:rPr>
        <w:t xml:space="preserve">9.1  The demonstration data set</w:t>
      </w:r>
    </w:p>
    <w:p>
      <w:pPr>
        <w:spacing w:after="80" w:line="238"/>
        <w:jc w:val="both"/>
      </w:pPr>
      <w:r>
        <w:rPr>
          <w:rFonts w:ascii="Times New Roman" w:cs="Times New Roman" w:eastAsia="Times New Roman" w:hAnsi="Times New Roman"/>
          <w:sz w:val="22"/>
          <w:szCs w:val="22"/>
        </w:rPr>
        <w:t xml:space="preserve">The database was populated at registry scale by a deterministic generator, so that the design is exercised by realistic volumes rather than by a handful of rows. Because the data is inserted through the stored procedures and triggers rather than as raw rows, loading it is itself a test of the database logic; the complete load takes about eight seconds.</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2333"/>
        <w:gridCol w:w="1166"/>
        <w:gridCol w:w="6221"/>
      </w:tblGrid>
      <w:tr>
        <w:trPr>
          <w:tblHeader/>
        </w:trPr>
        <w:tc>
          <w:tcPr>
            <w:tcW w:type="dxa" w:w="233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Entity</w:t>
            </w:r>
          </w:p>
        </w:tc>
        <w:tc>
          <w:tcPr>
            <w:tcW w:type="dxa" w:w="1166"/>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Rows</w:t>
            </w:r>
          </w:p>
        </w:tc>
        <w:tc>
          <w:tcPr>
            <w:tcW w:type="dxa" w:w="6221"/>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Composition</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Hospitals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24</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Across 13 states and 23 districts; one suspended, one inactive</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Storage tanks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48</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Two under maintenance, one decommissioned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1,600</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1,512 HLA-typed; the rest awaiting typing, deferred or withdrawn</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Patients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950</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Across fourteen diagnoses; a few inactive or deceased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Stem cell units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1,413</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1,125 available, 69 allocated, 47 transplanted, 44 expired, 41 discarded, 87 withheld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Laboratory tests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7,065</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Five per unit, including pending and failed results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Consents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4,472</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Collection, storage and clinical use, with revocations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 requests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420</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143 pending, 64 approved, 69 allocated, 47 completed, 56 rejected, 41 cancelled</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Transplants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73</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Scheduled and completed, with all four outcome values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User accounts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87</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3 administrators, 9 bank staff, 26 doctors, 49 donor and patient logins</w:t>
            </w:r>
          </w:p>
        </w:tc>
      </w:tr>
      <w:tr>
        <w:tc>
          <w:tcPr>
            <w:tcW w:type="dxa" w:w="233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Audit rows</w:t>
            </w:r>
          </w:p>
        </w:tc>
        <w:tc>
          <w:tcPr>
            <w:tcW w:type="dxa" w:w="1166"/>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9,205</w:t>
            </w:r>
          </w:p>
        </w:tc>
        <w:tc>
          <w:tcPr>
            <w:tcW w:type="dxa" w:w="6221"/>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Written entirely by triggers during the load</w:t>
            </w:r>
          </w:p>
        </w:tc>
      </w:tr>
    </w:tbl>
    <w:p>
      <w:pPr>
        <w:spacing w:after="150" w:before="40"/>
        <w:jc w:val="center"/>
      </w:pPr>
      <w:r>
        <w:rPr>
          <w:rFonts w:ascii="Times New Roman" w:cs="Times New Roman" w:eastAsia="Times New Roman" w:hAnsi="Times New Roman"/>
          <w:i/>
          <w:iCs/>
          <w:sz w:val="18"/>
          <w:szCs w:val="18"/>
        </w:rPr>
        <w:t xml:space="preserve">Table 9.1  Volume and composition of the demonstration data</w:t>
      </w:r>
    </w:p>
    <w:p>
      <w:pPr>
        <w:spacing w:after="80" w:line="238"/>
        <w:jc w:val="both"/>
      </w:pPr>
      <w:r>
        <w:rPr>
          <w:rFonts w:ascii="Times New Roman" w:cs="Times New Roman" w:eastAsia="Times New Roman" w:hAnsi="Times New Roman"/>
          <w:sz w:val="22"/>
          <w:szCs w:val="22"/>
        </w:rPr>
        <w:t xml:space="preserve">Two defects in the generator were revealed by the triggers during loading. A failed infectious screen discards its unit, so later test rows for that unit were rejected until the generator recorded the failed test last; and a collection date could precede the donor’s consent date, which the collection trigger refuses. Both confirm that the triggers detect inconsistencies a direct insert would have introduced silently.</w:t>
      </w:r>
    </w:p>
    <w:p>
      <w:pPr>
        <w:pStyle w:val="Heading2"/>
        <w:spacing w:after="70" w:before="160"/>
      </w:pPr>
      <w:r>
        <w:rPr>
          <w:rFonts w:ascii="Times New Roman" w:cs="Times New Roman" w:eastAsia="Times New Roman" w:hAnsi="Times New Roman"/>
          <w:b/>
          <w:bCs/>
          <w:sz w:val="23"/>
          <w:szCs w:val="23"/>
        </w:rPr>
        <w:t xml:space="preserve">9.2  Constraint, trigger and authorization tests</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4860"/>
        <w:gridCol w:w="4860"/>
      </w:tblGrid>
      <w:tr>
        <w:trPr>
          <w:tblHeader/>
        </w:trPr>
        <w:tc>
          <w:tcPr>
            <w:tcW w:type="dxa" w:w="4860"/>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Test case</w:t>
            </w:r>
          </w:p>
        </w:tc>
        <w:tc>
          <w:tcPr>
            <w:tcW w:type="dxa" w:w="4860"/>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Observed result</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Duplicate username</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1062, unique key</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Blood group “C+”</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3819, CHECK</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Five-digit pincode</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3819, CHECK</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Test for a non-existent unit</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1452, foreign key</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Delete a hospital that has doctors</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1451, RESTRICT</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Patient with no diagnosis</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1364, NOT NULL</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Request status COMPLETED → PENDING</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45000, invalid transition</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Delete a row from audit_log</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45000, append-only</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Release a unit before its tests pass</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Rejected — 45000, mandatory tests</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Doctor account: SELECT on donor</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Denied — 1142</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Donor account: SELECT on own view / on donor</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row returned / denied — 1142</w:t>
            </w:r>
          </w:p>
        </w:tc>
      </w:tr>
      <w:tr>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Staff account: UPDATE urgency / UPDATE request_status</w:t>
            </w:r>
          </w:p>
        </w:tc>
        <w:tc>
          <w:tcPr>
            <w:tcW w:type="dxa" w:w="4860"/>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Denied — 1143 / permitted</w:t>
            </w:r>
          </w:p>
        </w:tc>
      </w:tr>
    </w:tbl>
    <w:p>
      <w:pPr>
        <w:spacing w:after="150" w:before="40"/>
        <w:jc w:val="center"/>
      </w:pPr>
      <w:r>
        <w:rPr>
          <w:rFonts w:ascii="Times New Roman" w:cs="Times New Roman" w:eastAsia="Times New Roman" w:hAnsi="Times New Roman"/>
          <w:i/>
          <w:iCs/>
          <w:sz w:val="18"/>
          <w:szCs w:val="18"/>
        </w:rPr>
        <w:t xml:space="preserve">Table 9.2  Constraint, trigger and authorization tests — all twelve behaved as designed</w:t>
      </w:r>
    </w:p>
    <w:p>
      <w:pPr>
        <w:pStyle w:val="Heading2"/>
        <w:spacing w:after="70" w:before="160"/>
      </w:pPr>
      <w:r>
        <w:rPr>
          <w:rFonts w:ascii="Times New Roman" w:cs="Times New Roman" w:eastAsia="Times New Roman" w:hAnsi="Times New Roman"/>
          <w:b/>
          <w:bCs/>
          <w:sz w:val="23"/>
          <w:szCs w:val="23"/>
        </w:rPr>
        <w:t xml:space="preserve">9.3  Matching and workflow results</w:t>
      </w:r>
    </w:p>
    <w:p>
      <w:pPr>
        <w:spacing w:after="80" w:line="238"/>
        <w:jc w:val="both"/>
      </w:pPr>
      <w:r>
        <w:rPr>
          <w:rFonts w:ascii="Times New Roman" w:cs="Times New Roman" w:eastAsia="Times New Roman" w:hAnsi="Times New Roman"/>
          <w:sz w:val="22"/>
          <w:szCs w:val="22"/>
        </w:rPr>
        <w:t xml:space="preserve">The eight scenario requests confirm each path through the matching procedure against the full data set. Request 1 is satisfied in its own district in Chennai while the outer rings stay unused; request 2, raised in Madurai, falls back to Tamil Nadu and returns a 5/6 unit while a 6/6 unit in Delhi appears in the summary and is not offered; request 3, raised in Kochi, falls back to the national ring; and request 4 finds no compatible unit anywhere in India. Because the 1,500 background donors are generated from the common allele pools and each scenario patient carries three private alleles, no background donor can satisfy a scenario request by accident, so the demonstration is stable however large the data set grows.</w:t>
      </w:r>
    </w:p>
    <w:p>
      <w:pPr>
        <w:spacing w:after="80" w:line="238"/>
        <w:jc w:val="both"/>
      </w:pPr>
      <w:r>
        <w:rPr>
          <w:rFonts w:ascii="Times New Roman" w:cs="Times New Roman" w:eastAsia="Times New Roman" w:hAnsi="Times New Roman"/>
          <w:sz w:val="22"/>
          <w:szCs w:val="22"/>
        </w:rPr>
        <w:t xml:space="preserve">A complete cycle was then executed through the API: approval of a pending request, the tiered search, shortlisting, allocation, scheduling by the treating doctor and completion with an outcome. A second allocation attempt on the same request was refused by the trigger, and a doctor who did not own the request received 403. All twenty-six interface routes rendered across the five roles without errors; the dashboard query returns in under 0.02 s.</w:t>
      </w:r>
    </w:p>
    <w:p>
      <w:pPr>
        <w:spacing w:after="80" w:line="238"/>
        <w:jc w:val="both"/>
      </w:pPr>
      <w:r>
        <w:rPr>
          <w:rFonts w:ascii="Times New Roman" w:cs="Times New Roman" w:eastAsia="Times New Roman" w:hAnsi="Times New Roman"/>
          <w:b/>
          <w:bCs/>
          <w:sz w:val="22"/>
          <w:szCs w:val="22"/>
        </w:rPr>
        <w:t xml:space="preserve">Not tested.</w:t>
      </w:r>
      <w:r>
        <w:rPr>
          <w:rFonts w:ascii="Times New Roman" w:cs="Times New Roman" w:eastAsia="Times New Roman" w:hAnsi="Times New Roman"/>
          <w:sz w:val="22"/>
          <w:szCs w:val="22"/>
        </w:rPr>
        <w:t xml:space="preserve"> No load testing was performed, and concurrency was verified by manual locking in two sessions rather than by a concurrent client harness. Index behaviour was confirmed by examining EXPLAIN plans in addition to the measured response times above.</w:t>
      </w:r>
    </w:p>
    <w:p>
      <w:pPr>
        <w:pStyle w:val="Heading1"/>
        <w:spacing w:after="110" w:before="250"/>
      </w:pPr>
      <w:r>
        <w:rPr>
          <w:rFonts w:ascii="Times New Roman" w:cs="Times New Roman" w:eastAsia="Times New Roman" w:hAnsi="Times New Roman"/>
          <w:b/>
          <w:bCs/>
          <w:sz w:val="26"/>
          <w:szCs w:val="26"/>
        </w:rPr>
        <w:t xml:space="preserve">10.  CONCLUSION AND FUTURE ENHANCEMENTS</w:t>
      </w:r>
    </w:p>
    <w:p>
      <w:pPr>
        <w:spacing w:after="80" w:line="238"/>
        <w:jc w:val="both"/>
      </w:pPr>
      <w:r>
        <w:rPr>
          <w:rFonts w:ascii="Times New Roman" w:cs="Times New Roman" w:eastAsia="Times New Roman" w:hAnsi="Times New Roman"/>
          <w:sz w:val="22"/>
          <w:szCs w:val="22"/>
        </w:rPr>
        <w:t xml:space="preserve">The project demonstrates that a clinical workflow can be governed by its database rather than by the software in front of it. Thirty-six triggers, eighteen procedures and a complete constraint set hold the rules, and twelve deliberate violations were rejected at the database level with no application code involved: a unit cannot be allocated twice, a transplant cannot use a unit that was never shortlisted, withdrawal of consent removes units from matching, and the audit trail cannot be edited by any account. Populating the system with 2,550 people and 1,413 units showed that the design holds at a realistic size: the tiered search still completes in about a tenth of a second, and the 9,205 audit rows were written entirely by triggers.</w:t>
      </w:r>
    </w:p>
    <w:p>
      <w:pPr>
        <w:spacing w:after="80" w:line="238"/>
        <w:jc w:val="both"/>
      </w:pPr>
      <w:r>
        <w:rPr>
          <w:rFonts w:ascii="Times New Roman" w:cs="Times New Roman" w:eastAsia="Times New Roman" w:hAnsi="Times New Roman"/>
          <w:sz w:val="22"/>
          <w:szCs w:val="22"/>
        </w:rPr>
        <w:t xml:space="preserve">The tiered matching module is the principal contribution. It is not a complex query but a policy — distance outranks match quality between rings, never within one — expressed in one procedure and recorded permanently in the shortlist, so that a clinical audit years later reflects the decision as it was made.</w:t>
      </w:r>
    </w:p>
    <w:tbl>
      <w:tblPr>
        <w:tblW w:type="dxa" w:w="9720"/>
        <w:tblBorders>
          <w:top w:val="single" w:color="000000" w:sz="4"/>
          <w:left w:val="single" w:color="808080" w:sz="2"/>
          <w:bottom w:val="single" w:color="000000" w:sz="4"/>
          <w:right w:val="single" w:color="808080" w:sz="2"/>
          <w:insideH w:val="single" w:color="808080" w:sz="2"/>
          <w:insideV w:val="single" w:color="808080" w:sz="2"/>
        </w:tblBorders>
      </w:tblPr>
      <w:tblGrid>
        <w:gridCol w:w="4277"/>
        <w:gridCol w:w="5443"/>
      </w:tblGrid>
      <w:tr>
        <w:trPr>
          <w:tblHeader/>
        </w:trPr>
        <w:tc>
          <w:tcPr>
            <w:tcW w:type="dxa" w:w="4277"/>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Limitation</w:t>
            </w:r>
          </w:p>
        </w:tc>
        <w:tc>
          <w:tcPr>
            <w:tcW w:type="dxa" w:w="5443"/>
            <w:shd w:fill="D9D9D9" w:val="clear"/>
            <w:tcMar>
              <w:top w:type="dxa" w:w="40"/>
              <w:left w:type="dxa" w:w="80"/>
              <w:bottom w:type="dxa" w:w="40"/>
              <w:right w:type="dxa" w:w="80"/>
            </w:tcMar>
          </w:tcPr>
          <w:p>
            <w:pPr>
              <w:spacing w:after="0" w:line="230"/>
            </w:pPr>
            <w:r>
              <w:rPr>
                <w:rFonts w:ascii="Times New Roman" w:cs="Times New Roman" w:eastAsia="Times New Roman" w:hAnsi="Times New Roman"/>
                <w:b/>
                <w:bCs/>
                <w:sz w:val="18"/>
                <w:szCs w:val="18"/>
              </w:rPr>
              <w:t xml:space="preserve">Consequence</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request’s hospital is derived through doctor.hospital_id</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doctor transferring would make past requests appear to come from the new hospital</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One open request per patient</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patient needing two unit types at once cannot be modelled</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Row-level security needs one account per person</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Does not scale beyond a demonstration</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tier policy ignores urgency</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 critical case is treated like a routine one when choosing a ring</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HLA at three loci, low resolution</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Clinical registries match at eight or ten alleles</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The scoring function is evaluated per candidate row</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Acceptable at 1,413 units; at millions it should be computed once into the temporary relation</w:t>
            </w:r>
          </w:p>
        </w:tc>
      </w:tr>
      <w:tr>
        <w:tc>
          <w:tcPr>
            <w:tcW w:type="dxa" w:w="4277"/>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No shipment or chain-of-custody tracking</w:t>
            </w:r>
          </w:p>
        </w:tc>
        <w:tc>
          <w:tcPr>
            <w:tcW w:type="dxa" w:w="5443"/>
            <w:tcMar>
              <w:top w:type="dxa" w:w="40"/>
              <w:left w:type="dxa" w:w="80"/>
              <w:bottom w:type="dxa" w:w="40"/>
              <w:right w:type="dxa" w:w="80"/>
            </w:tcMar>
          </w:tcPr>
          <w:p>
            <w:pPr>
              <w:spacing w:after="0" w:line="230"/>
            </w:pPr>
            <w:r>
              <w:rPr>
                <w:rFonts w:ascii="Times New Roman" w:cs="Times New Roman" w:eastAsia="Times New Roman" w:hAnsi="Times New Roman"/>
                <w:sz w:val="18"/>
                <w:szCs w:val="18"/>
              </w:rPr>
              <w:t xml:space="preserve">An allocated unit has no transit record</w:t>
            </w:r>
          </w:p>
        </w:tc>
      </w:tr>
    </w:tbl>
    <w:p>
      <w:pPr>
        <w:spacing w:after="150" w:before="40"/>
        <w:jc w:val="center"/>
      </w:pPr>
      <w:r>
        <w:rPr>
          <w:rFonts w:ascii="Times New Roman" w:cs="Times New Roman" w:eastAsia="Times New Roman" w:hAnsi="Times New Roman"/>
          <w:i/>
          <w:iCs/>
          <w:sz w:val="18"/>
          <w:szCs w:val="18"/>
        </w:rPr>
        <w:t xml:space="preserve">Table 10.1  Known limitations</w:t>
      </w:r>
    </w:p>
    <w:p>
      <w:pPr>
        <w:spacing w:after="80" w:line="238"/>
        <w:jc w:val="both"/>
      </w:pPr>
      <w:r>
        <w:rPr>
          <w:rFonts w:ascii="Times New Roman" w:cs="Times New Roman" w:eastAsia="Times New Roman" w:hAnsi="Times New Roman"/>
          <w:b/>
          <w:bCs/>
          <w:sz w:val="22"/>
          <w:szCs w:val="22"/>
        </w:rPr>
        <w:t xml:space="preserve">Future enhancements</w:t>
      </w:r>
      <w:r>
        <w:rPr>
          <w:rFonts w:ascii="Times New Roman" w:cs="Times New Roman" w:eastAsia="Times New Roman" w:hAnsi="Times New Roman"/>
          <w:sz w:val="22"/>
          <w:szCs w:val="22"/>
        </w:rPr>
        <w:t xml:space="preserve">, in order of value: store </w:t>
      </w:r>
      <w:r>
        <w:rPr>
          <w:rFonts w:ascii="Consolas" w:cs="Consolas" w:eastAsia="Consolas" w:hAnsi="Consolas"/>
          <w:sz w:val="18"/>
          <w:szCs w:val="18"/>
        </w:rPr>
        <w:t xml:space="preserve">hospital_id</w:t>
      </w:r>
      <w:r>
        <w:rPr>
          <w:rFonts w:ascii="Times New Roman" w:cs="Times New Roman" w:eastAsia="Times New Roman" w:hAnsi="Times New Roman"/>
          <w:sz w:val="22"/>
          <w:szCs w:val="22"/>
        </w:rPr>
        <w:t xml:space="preserve"> on the request at submission, correcting the single genuine design flaw; introduce a shipment entity with carrier, dispatch and receipt timestamps and a temperature log; weight the matching policy by urgency, with any override recorded; move HLA typing into a child relation keyed by locus to support eight- and ten-allele matching; partition </w:t>
      </w:r>
      <w:r>
        <w:rPr>
          <w:rFonts w:ascii="Consolas" w:cs="Consolas" w:eastAsia="Consolas" w:hAnsi="Consolas"/>
          <w:sz w:val="18"/>
          <w:szCs w:val="18"/>
        </w:rPr>
        <w:t xml:space="preserve">audit_log</w:t>
      </w:r>
      <w:r>
        <w:rPr>
          <w:rFonts w:ascii="Times New Roman" w:cs="Times New Roman" w:eastAsia="Times New Roman" w:hAnsi="Times New Roman"/>
          <w:sz w:val="22"/>
          <w:szCs w:val="22"/>
        </w:rPr>
        <w:t xml:space="preserve"> by month with a retention policy, since the log already grows faster than any other relation; and replace per-person database accounts with a service account plus application identity.</w:t>
      </w:r>
    </w:p>
    <w:p>
      <w:pPr>
        <w:pStyle w:val="Heading1"/>
        <w:spacing w:after="110" w:before="250"/>
      </w:pPr>
      <w:r>
        <w:rPr>
          <w:rFonts w:ascii="Times New Roman" w:cs="Times New Roman" w:eastAsia="Times New Roman" w:hAnsi="Times New Roman"/>
          <w:b/>
          <w:bCs/>
          <w:sz w:val="26"/>
          <w:szCs w:val="26"/>
        </w:rPr>
        <w:t xml:space="preserve">REFERENCES</w:t>
      </w:r>
    </w:p>
    <w:p>
      <w:pPr>
        <w:pStyle w:val="ListParagraph"/>
        <w:numPr>
          <w:ilvl w:val="0"/>
          <w:numId w:val="3"/>
        </w:numPr>
        <w:spacing w:after="50" w:line="240"/>
      </w:pPr>
      <w:r>
        <w:rPr>
          <w:rFonts w:ascii="Times New Roman" w:cs="Times New Roman" w:eastAsia="Times New Roman" w:hAnsi="Times New Roman"/>
          <w:sz w:val="22"/>
          <w:szCs w:val="22"/>
        </w:rPr>
        <w:t xml:space="preserve">R. Elmasri and S. B. Navathe, </w:t>
      </w:r>
      <w:r>
        <w:rPr>
          <w:rFonts w:ascii="Times New Roman" w:cs="Times New Roman" w:eastAsia="Times New Roman" w:hAnsi="Times New Roman"/>
          <w:i/>
          <w:iCs/>
          <w:sz w:val="22"/>
          <w:szCs w:val="22"/>
        </w:rPr>
        <w:t xml:space="preserve">Fundamentals of Database Systems</w:t>
      </w:r>
      <w:r>
        <w:rPr>
          <w:rFonts w:ascii="Times New Roman" w:cs="Times New Roman" w:eastAsia="Times New Roman" w:hAnsi="Times New Roman"/>
          <w:sz w:val="22"/>
          <w:szCs w:val="22"/>
        </w:rPr>
        <w:t xml:space="preserve">, 7th ed. Pearson, 2016.</w:t>
      </w:r>
    </w:p>
    <w:p>
      <w:pPr>
        <w:pStyle w:val="ListParagraph"/>
        <w:numPr>
          <w:ilvl w:val="0"/>
          <w:numId w:val="3"/>
        </w:numPr>
        <w:spacing w:after="50" w:line="240"/>
      </w:pPr>
      <w:r>
        <w:rPr>
          <w:rFonts w:ascii="Times New Roman" w:cs="Times New Roman" w:eastAsia="Times New Roman" w:hAnsi="Times New Roman"/>
          <w:sz w:val="22"/>
          <w:szCs w:val="22"/>
        </w:rPr>
        <w:t xml:space="preserve">A. Silberschatz, H. F. Korth and S. Sudarshan, </w:t>
      </w:r>
      <w:r>
        <w:rPr>
          <w:rFonts w:ascii="Times New Roman" w:cs="Times New Roman" w:eastAsia="Times New Roman" w:hAnsi="Times New Roman"/>
          <w:i/>
          <w:iCs/>
          <w:sz w:val="22"/>
          <w:szCs w:val="22"/>
        </w:rPr>
        <w:t xml:space="preserve">Database System Concepts</w:t>
      </w:r>
      <w:r>
        <w:rPr>
          <w:rFonts w:ascii="Times New Roman" w:cs="Times New Roman" w:eastAsia="Times New Roman" w:hAnsi="Times New Roman"/>
          <w:sz w:val="22"/>
          <w:szCs w:val="22"/>
        </w:rPr>
        <w:t xml:space="preserve">, 7th ed. McGraw-Hill, 2019.</w:t>
      </w:r>
    </w:p>
    <w:p>
      <w:pPr>
        <w:pStyle w:val="ListParagraph"/>
        <w:numPr>
          <w:ilvl w:val="0"/>
          <w:numId w:val="3"/>
        </w:numPr>
        <w:spacing w:after="50" w:line="240"/>
      </w:pPr>
      <w:r>
        <w:rPr>
          <w:rFonts w:ascii="Times New Roman" w:cs="Times New Roman" w:eastAsia="Times New Roman" w:hAnsi="Times New Roman"/>
          <w:sz w:val="22"/>
          <w:szCs w:val="22"/>
        </w:rPr>
        <w:t xml:space="preserve">C. J. Date, </w:t>
      </w:r>
      <w:r>
        <w:rPr>
          <w:rFonts w:ascii="Times New Roman" w:cs="Times New Roman" w:eastAsia="Times New Roman" w:hAnsi="Times New Roman"/>
          <w:i/>
          <w:iCs/>
          <w:sz w:val="22"/>
          <w:szCs w:val="22"/>
        </w:rPr>
        <w:t xml:space="preserve">An Introduction to Database Systems</w:t>
      </w:r>
      <w:r>
        <w:rPr>
          <w:rFonts w:ascii="Times New Roman" w:cs="Times New Roman" w:eastAsia="Times New Roman" w:hAnsi="Times New Roman"/>
          <w:sz w:val="22"/>
          <w:szCs w:val="22"/>
        </w:rPr>
        <w:t xml:space="preserve">, 8th ed. Addison-Wesley, 2003.</w:t>
      </w:r>
    </w:p>
    <w:p>
      <w:pPr>
        <w:pStyle w:val="ListParagraph"/>
        <w:numPr>
          <w:ilvl w:val="0"/>
          <w:numId w:val="3"/>
        </w:numPr>
        <w:spacing w:after="50" w:line="240"/>
      </w:pPr>
      <w:r>
        <w:rPr>
          <w:rFonts w:ascii="Times New Roman" w:cs="Times New Roman" w:eastAsia="Times New Roman" w:hAnsi="Times New Roman"/>
          <w:sz w:val="22"/>
          <w:szCs w:val="22"/>
        </w:rPr>
        <w:t xml:space="preserve">E. F. Codd, “A relational model of data for large shared data banks”,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vol. 13, no. 6, pp. 377–387, 1970.</w:t>
      </w:r>
    </w:p>
    <w:p>
      <w:pPr>
        <w:pStyle w:val="ListParagraph"/>
        <w:numPr>
          <w:ilvl w:val="0"/>
          <w:numId w:val="3"/>
        </w:numPr>
        <w:spacing w:after="50" w:line="240"/>
      </w:pPr>
      <w:r>
        <w:rPr>
          <w:rFonts w:ascii="Times New Roman" w:cs="Times New Roman" w:eastAsia="Times New Roman" w:hAnsi="Times New Roman"/>
          <w:sz w:val="22"/>
          <w:szCs w:val="22"/>
        </w:rPr>
        <w:t xml:space="preserve">Oracle Corporation, </w:t>
      </w:r>
      <w:r>
        <w:rPr>
          <w:rFonts w:ascii="Times New Roman" w:cs="Times New Roman" w:eastAsia="Times New Roman" w:hAnsi="Times New Roman"/>
          <w:i/>
          <w:iCs/>
          <w:sz w:val="22"/>
          <w:szCs w:val="22"/>
        </w:rPr>
        <w:t xml:space="preserve">MySQL 8.0 Reference Manual</w:t>
      </w:r>
      <w:r>
        <w:rPr>
          <w:rFonts w:ascii="Times New Roman" w:cs="Times New Roman" w:eastAsia="Times New Roman" w:hAnsi="Times New Roman"/>
          <w:sz w:val="22"/>
          <w:szCs w:val="22"/>
        </w:rPr>
        <w:t xml:space="preserve"> — CHECK constraints (13.1.20.6), Roles (6.2.10), Stored Programs (25). Available: dev.mysql.com/doc/refman/8.0/en/</w:t>
      </w:r>
    </w:p>
    <w:p>
      <w:pPr>
        <w:pStyle w:val="ListParagraph"/>
        <w:numPr>
          <w:ilvl w:val="0"/>
          <w:numId w:val="3"/>
        </w:numPr>
        <w:spacing w:after="50" w:line="240"/>
      </w:pPr>
      <w:r>
        <w:rPr>
          <w:rFonts w:ascii="Times New Roman" w:cs="Times New Roman" w:eastAsia="Times New Roman" w:hAnsi="Times New Roman"/>
          <w:sz w:val="22"/>
          <w:szCs w:val="22"/>
        </w:rPr>
        <w:t xml:space="preserve">World Marrow Donor Association, </w:t>
      </w:r>
      <w:r>
        <w:rPr>
          <w:rFonts w:ascii="Times New Roman" w:cs="Times New Roman" w:eastAsia="Times New Roman" w:hAnsi="Times New Roman"/>
          <w:i/>
          <w:iCs/>
          <w:sz w:val="22"/>
          <w:szCs w:val="22"/>
        </w:rPr>
        <w:t xml:space="preserve">International Standards for Unrelated Haematopoietic Stem Cell Donor Registries</w:t>
      </w:r>
      <w:r>
        <w:rPr>
          <w:rFonts w:ascii="Times New Roman" w:cs="Times New Roman" w:eastAsia="Times New Roman" w:hAnsi="Times New Roman"/>
          <w:sz w:val="22"/>
          <w:szCs w:val="22"/>
        </w:rPr>
        <w:t xml:space="preserve">, 2023.</w:t>
      </w:r>
    </w:p>
    <w:p>
      <w:pPr>
        <w:pStyle w:val="ListParagraph"/>
        <w:numPr>
          <w:ilvl w:val="0"/>
          <w:numId w:val="3"/>
        </w:numPr>
        <w:spacing w:after="50" w:line="240"/>
      </w:pPr>
      <w:r>
        <w:rPr>
          <w:rFonts w:ascii="Times New Roman" w:cs="Times New Roman" w:eastAsia="Times New Roman" w:hAnsi="Times New Roman"/>
          <w:sz w:val="22"/>
          <w:szCs w:val="22"/>
        </w:rPr>
        <w:t xml:space="preserve">National Marrow Donor Program, </w:t>
      </w:r>
      <w:r>
        <w:rPr>
          <w:rFonts w:ascii="Times New Roman" w:cs="Times New Roman" w:eastAsia="Times New Roman" w:hAnsi="Times New Roman"/>
          <w:i/>
          <w:iCs/>
          <w:sz w:val="22"/>
          <w:szCs w:val="22"/>
        </w:rPr>
        <w:t xml:space="preserve">HLA Matching Guidelines for Unrelated Donor Transplantation</w:t>
      </w:r>
      <w:r>
        <w:rPr>
          <w:rFonts w:ascii="Times New Roman" w:cs="Times New Roman" w:eastAsia="Times New Roman" w:hAnsi="Times New Roman"/>
          <w:sz w:val="22"/>
          <w:szCs w:val="22"/>
        </w:rPr>
        <w:t xml:space="preserve">, 2022.</w:t>
      </w:r>
    </w:p>
    <w:p>
      <w:pPr>
        <w:pStyle w:val="ListParagraph"/>
        <w:numPr>
          <w:ilvl w:val="0"/>
          <w:numId w:val="3"/>
        </w:numPr>
        <w:spacing w:after="50" w:line="240"/>
      </w:pPr>
      <w:r>
        <w:rPr>
          <w:rFonts w:ascii="Times New Roman" w:cs="Times New Roman" w:eastAsia="Times New Roman" w:hAnsi="Times New Roman"/>
          <w:sz w:val="22"/>
          <w:szCs w:val="22"/>
        </w:rPr>
        <w:t xml:space="preserve">N. Provos and D. Mazières, “A future-adaptable password scheme”, in </w:t>
      </w:r>
      <w:r>
        <w:rPr>
          <w:rFonts w:ascii="Times New Roman" w:cs="Times New Roman" w:eastAsia="Times New Roman" w:hAnsi="Times New Roman"/>
          <w:i/>
          <w:iCs/>
          <w:sz w:val="22"/>
          <w:szCs w:val="22"/>
        </w:rPr>
        <w:t xml:space="preserve">Proc. USENIX Annual Technical Conference</w:t>
      </w:r>
      <w:r>
        <w:rPr>
          <w:rFonts w:ascii="Times New Roman" w:cs="Times New Roman" w:eastAsia="Times New Roman" w:hAnsi="Times New Roman"/>
          <w:sz w:val="22"/>
          <w:szCs w:val="22"/>
        </w:rPr>
        <w:t xml:space="preserve">, 1999.</w:t>
      </w:r>
    </w:p>
    <w:sectPr>
      <w:footerReference w:type="default" r:id="rId7"/>
      <w:pgSz w:w="12240" w:h="15840" w:orient="portrait"/>
      <w:pgMar w:top="1260" w:right="1260" w:bottom="1260" w:left="1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9ced0a5af6ed9b78b5878cc141bbb2a0509419.png"/><Relationship Id="rId9" Type="http://schemas.openxmlformats.org/officeDocument/2006/relationships/image" Target="media/55f8b523e3ad1faa9d09ffa339b2755a54a751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StemVault - A Stem Cell Bank Management System</dc:title>
  <dc:creator>Manish Vasam Sambasivarao</dc:creator>
  <cp:lastModifiedBy>Un-named</cp:lastModifiedBy>
  <cp:revision>1</cp:revision>
  <dcterms:created xsi:type="dcterms:W3CDTF">2026-10-11T14:50:52.982Z</dcterms:created>
  <dcterms:modified xsi:type="dcterms:W3CDTF">2026-10-11T14:50:52.983Z</dcterms:modified>
</cp:coreProperties>
</file>

<file path=docProps/custom.xml><?xml version="1.0" encoding="utf-8"?>
<Properties xmlns="http://schemas.openxmlformats.org/officeDocument/2006/custom-properties" xmlns:vt="http://schemas.openxmlformats.org/officeDocument/2006/docPropsVTypes"/>
</file>