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0D1B2A"/>
          <w:sz w:val="20"/>
          <w:szCs w:val="20"/>
        </w:rPr>
        <w:t xml:space="preserve"/>
      </w:r>
    </w:p>
    <w:p>
      <w:r>
        <w:rPr>
          <w:rFonts w:ascii="Arial" w:cs="Arial" w:eastAsia="Arial" w:hAnsi="Arial"/>
          <w:color w:val="0D1B2A"/>
          <w:sz w:val="20"/>
          <w:szCs w:val="20"/>
        </w:rPr>
        <w:t xml:space="preserve"/>
      </w:r>
    </w:p>
    <w:p>
      <w:pPr>
        <w:spacing w:after="100" w:before="200"/>
        <w:jc w:val="center"/>
      </w:pPr>
      <w:r>
        <w:rPr>
          <w:rFonts w:ascii="Arial" w:cs="Arial" w:eastAsia="Arial" w:hAnsi="Arial"/>
          <w:b/>
          <w:bCs/>
          <w:color w:val="1A3A6B"/>
          <w:sz w:val="54"/>
          <w:szCs w:val="54"/>
        </w:rPr>
        <w:t xml:space="preserve">PROJECT DESIGN PHASE-II</w:t>
      </w:r>
    </w:p>
    <w:p>
      <w:pPr>
        <w:spacing w:after="80"/>
        <w:jc w:val="center"/>
      </w:pPr>
      <w:r>
        <w:rPr>
          <w:rFonts w:ascii="Arial" w:cs="Arial" w:eastAsia="Arial" w:hAnsi="Arial"/>
          <w:b/>
          <w:bCs/>
          <w:color w:val="C9A84C"/>
          <w:sz w:val="34"/>
          <w:szCs w:val="34"/>
        </w:rPr>
        <w:t xml:space="preserve">Solution Requirements</w:t>
      </w:r>
    </w:p>
    <w:p>
      <w:pPr>
        <w:spacing w:after="120"/>
        <w:jc w:val="center"/>
      </w:pPr>
      <w:r>
        <w:rPr>
          <w:rFonts w:ascii="Arial" w:cs="Arial" w:eastAsia="Arial" w:hAnsi="Arial"/>
          <w:i/>
          <w:iCs/>
          <w:color w:val="555555"/>
          <w:sz w:val="24"/>
          <w:szCs w:val="24"/>
        </w:rPr>
        <w:t xml:space="preserve">Functional  &amp;  Non-Functional</w:t>
      </w:r>
    </w:p>
    <w:p>
      <w:pPr>
        <w:pBdr>
          <w:bottom w:val="single" w:color="1A3A6B" w:sz="14" w:space="1"/>
        </w:pBdr>
        <w:spacing w:after="460"/>
        <w:jc w:val="center"/>
      </w:pPr>
    </w:p>
    <w:p>
      <w:pPr>
        <w:spacing w:after="100" w:before="360"/>
        <w:jc w:val="center"/>
      </w:pPr>
      <w:r>
        <w:rPr>
          <w:rFonts w:ascii="Arial" w:cs="Arial" w:eastAsia="Arial" w:hAnsi="Arial"/>
          <w:b/>
          <w:bCs/>
          <w:color w:val="0D1B2A"/>
          <w:sz w:val="44"/>
          <w:szCs w:val="44"/>
        </w:rPr>
        <w:t xml:space="preserve">WhatNext Vision Motors</w:t>
      </w:r>
    </w:p>
    <w:p>
      <w:pPr>
        <w:spacing w:after="560"/>
        <w:jc w:val="center"/>
      </w:pPr>
      <w:r>
        <w:rPr>
          <w:rFonts w:ascii="Arial" w:cs="Arial" w:eastAsia="Arial" w:hAnsi="Arial"/>
          <w:i/>
          <w:iCs/>
          <w:color w:val="555555"/>
          <w:sz w:val="22"/>
          <w:szCs w:val="22"/>
        </w:rPr>
        <w:t xml:space="preserve">Shaping the Future of Mobility with Innovation and Excellence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Date</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31 January 2025</w:t>
            </w:r>
          </w:p>
        </w:tc>
      </w:tr>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Team ID</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WNV-2025-SR</w:t>
            </w:r>
          </w:p>
        </w:tc>
      </w:tr>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Project Name</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WhatNext Vision Motors – EV &amp; Smart Mobility Platform</w:t>
            </w:r>
          </w:p>
        </w:tc>
      </w:tr>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Maximum Marks</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4 Marks</w:t>
            </w:r>
          </w:p>
        </w:tc>
      </w:tr>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Team Lead</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MANISHA R (Team Leader)</w:t>
            </w:r>
          </w:p>
        </w:tc>
      </w:tr>
      <w:tr>
        <w:tc>
          <w:tcPr>
            <w:tcW w:type="dxa" w:w="24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Team Members</w:t>
            </w:r>
          </w:p>
        </w:tc>
        <w:tc>
          <w:tcPr>
            <w:tcW w:type="dxa" w:w="4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RAJKUMAR L  |  TAMIZHKUMARAN M  |  VINITH S  |  PORSELVAN A</w:t>
            </w:r>
          </w:p>
        </w:tc>
      </w:tr>
    </w:tbl>
    <w:p>
      <w:r>
        <w:rPr>
          <w:rFonts w:ascii="Arial" w:cs="Arial" w:eastAsia="Arial" w:hAnsi="Arial"/>
          <w:color w:val="0D1B2A"/>
          <w:sz w:val="20"/>
          <w:szCs w:val="20"/>
        </w:rPr>
        <w:t xml:space="preserve"/>
      </w:r>
    </w:p>
    <w:p>
      <w:r>
        <w:rPr>
          <w:rFonts w:ascii="Arial" w:cs="Arial" w:eastAsia="Arial" w:hAnsi="Arial"/>
          <w:color w:val="0D1B2A"/>
          <w:sz w:val="20"/>
          <w:szCs w:val="20"/>
        </w:rPr>
        <w:t xml:space="preserve"/>
      </w:r>
    </w:p>
    <w:p>
      <w:r>
        <w:br w:type="page"/>
      </w:r>
    </w:p>
    <w:p>
      <w:pPr>
        <w:pBdr>
          <w:bottom w:val="single" w:color="C9A84C" w:sz="8" w:space="2"/>
        </w:pBdr>
        <w:spacing w:after="160" w:before="320"/>
      </w:pPr>
      <w:r>
        <w:rPr>
          <w:rFonts w:ascii="Arial" w:cs="Arial" w:eastAsia="Arial" w:hAnsi="Arial"/>
          <w:b/>
          <w:bCs/>
          <w:color w:val="1A3A6B"/>
          <w:sz w:val="28"/>
          <w:szCs w:val="28"/>
        </w:rPr>
        <w:t xml:space="preserve">1.  Functional Requirements</w:t>
      </w:r>
    </w:p>
    <w:p>
      <w:pPr>
        <w:spacing w:after="80" w:before="60"/>
        <w:jc w:val="both"/>
      </w:pPr>
      <w:r>
        <w:rPr>
          <w:rFonts w:ascii="Arial" w:cs="Arial" w:eastAsia="Arial" w:hAnsi="Arial"/>
          <w:color w:val="0D1B2A"/>
          <w:sz w:val="20"/>
          <w:szCs w:val="20"/>
        </w:rPr>
        <w:t xml:space="preserve">Functional requirements define the specific behaviours, features, and functions that the WhatNext Vision Motors platform must provide. They describe what the system must do from the perspective of each user type — Customer, Dealer, Service Centre, Customer Care Executive, and Administrator.</w:t>
      </w:r>
    </w:p>
    <w:p>
      <w:r>
        <w:rPr>
          <w:rFonts w:ascii="Arial" w:cs="Arial" w:eastAsia="Arial" w:hAnsi="Arial"/>
          <w:color w:val="0D1B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6000"/>
      </w:tblGrid>
      <w:tr>
        <w:tc>
          <w:tcPr>
            <w:tcW w:type="dxa" w:w="76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 No.</w:t>
            </w:r>
          </w:p>
        </w:tc>
        <w:tc>
          <w:tcPr>
            <w:tcW w:type="dxa" w:w="26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Functional Requirement (Epic)</w:t>
            </w:r>
          </w:p>
        </w:tc>
        <w:tc>
          <w:tcPr>
            <w:tcW w:type="dxa" w:w="60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Sub Requirements (Story / Sub-Task)</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User Registration</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Registration via web/mobile form (name, email, mobile, password)</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Registration / login via Google OAuth 2.0</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Registration / login via Facebook OAuth</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Registration via mobile number with OTP verification</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Password strength validation during registration</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FR-2</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User Account Confirmation</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Confirmation via activation link sent to registered email</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Confirmation via OTP sent to registered mobile number</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Resend OTP / activation link option</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Account expiry if not confirmed within 48 hours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FR-3</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User Login &amp; Authentication</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Login with registered email and password</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Login with Google / Facebook OAuth</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Forgot password – reset via email link</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Multi-factor authentication (MFA) for admin and dealer roles</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Session management and automatic logout after inactivity</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FR-4</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User Profile Management</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View and edit personal profile (name, address, contact details)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Upload / update profile photo</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Manage saved vehicles and wishlist</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View purchase and service history from profile</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Manage notification preferences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FR-5</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Vehicle Catalogue &amp; Search</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Browse complete EV catalogue with thumbnail images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Advanced search with filters: brand, price range, battery range, segment, colour</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Sort results by price, range, popularity, and newest</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Featured and promoted vehicles section on homepage</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Pagination and infinite-scroll support</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FR-6</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Vehicle Detail Page</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Display full specifications: motor power, battery capacity, range, top speed, dimensions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360-degree exterior view and interior image gallery</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Available colour variants with live preview</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On-road price calculator (ex-showroom + registration + insurance)</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Download brochure as PDF</w:t>
            </w:r>
          </w:p>
          <w:p>
            <w:pPr>
              <w:spacing w:after="0" w:before="60"/>
            </w:pPr>
            <w:r>
              <w:rPr>
                <w:rFonts w:ascii="Arial" w:cs="Arial" w:eastAsia="Arial" w:hAnsi="Arial"/>
                <w:b/>
                <w:bCs/>
                <w:color w:val="1A3A6B"/>
                <w:sz w:val="18"/>
                <w:szCs w:val="18"/>
              </w:rPr>
              <w:t xml:space="preserve">6. </w:t>
            </w:r>
            <w:r>
              <w:rPr>
                <w:rFonts w:ascii="Arial" w:cs="Arial" w:eastAsia="Arial" w:hAnsi="Arial"/>
                <w:color w:val="0D1B2A"/>
                <w:sz w:val="18"/>
                <w:szCs w:val="18"/>
              </w:rPr>
              <w:t xml:space="preserve">Share vehicle page via link / WhatsApp</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FR-7</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Vehicle Comparison</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Compare up to 3 vehicles side-by-side</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Highlight differences between compared vehicles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Save and share comparison page via unique URL</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FR-8</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Test Drive Booking</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Select preferred dealer / showroom location on map</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Choose available date and time slot for test drive</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Receive booking confirmation via email and SMS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Add booking to Google / Outlook calendar</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View all upcoming test drive bookings in dashboard</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FR-9</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Test Drive Management (Dealer)</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View and manage all incoming test drive requests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Approve, reschedule, or cancel test drive appointments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Assign vehicle and staff member to each booking</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Mark test drive as completed and add feedback notes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FR-10</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Vehicle Configuration &amp; Quote</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Select variant, colour, accessories, and optional add-ons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Real-time quote generation with itemised tax breakdown (GST, cess)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Save and retrieve quote for later review</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Share quote as PDF via email or WhatsApp</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FR-11</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Booking &amp; Payment</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Pay booking amount online via UPI, debit/credit card, or net banking</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Payment gateway integration (Razorpay / PayU)</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Automated receipt generation and email delivery within 1 minute</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View all transactions in payment history</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Refund processing for cancelled bookings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FR-12</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EMI &amp; Finance Calculator</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Calculate EMI based on vehicle price, down payment, interest rate, and tenure</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View multiple bank / NBFC financing options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Apply for financing directly from the platform</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Display total cost of ownership (TCO) estimate</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FR-13</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Service Request Management</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Raise a new service request (general service, repair, breakdown)</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Select nearest authorised service centre</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Choose preferred date and time slot</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Upload vehicle issue photos / videos</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Track real-time service status (Received → In Progress → Completed)</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FR-14</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Service History &amp; Invoices</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View complete vehicle service history with dates and work details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Download service invoices as PDF</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View upcoming scheduled maintenance reminders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Rate and review service centre after each visit</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FR-15</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Dealer Inventory Management</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Add, edit, and remove vehicle listings from showroom stock</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Update vehicle availability, pricing, and promotional offers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Receive low-stock alerts when inventory falls below threshold</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View incoming transfer requests from other dealers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FR-16</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Lead &amp; Customer Management (Dealer)</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View all assigned customer leads with contact details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Update lead status (New → Contacted → Interested → Converted → Lost)</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Schedule follow-up calls / visits with reminders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Generate lead conversion and sales performance reports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FR-17</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Support Ticket Management</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View all open, in-progress, and closed support tickets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Respond to customer queries with text, attachments, and internal notes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Escalate tickets to service centre, dealer, or admin</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Auto-assign tickets based on category and agent availability</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SLA breach alerts for tickets exceeding response time</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FR-18</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User &amp; Role Management (Admin)</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Create, edit, deactivate, and delete platform user accounts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Assign and revoke roles: Customer, Dealer, Service Executive, Admin</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View full audit log of all admin and dealer actions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Bulk import users via CSV upload</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FR-19</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Product Catalogue Management (Admin)</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Add new vehicle models with full specifications and media</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Update pricing, offers, and promotional banners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Publish, unpublish, or archive vehicle listings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Manage accessory and add-on catalogue</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FR-20</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Analytics &amp; Reporting (Admin)</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Dashboard: total sales, bookings, service requests, active users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Sales trend charts by region, model, and time period</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Dealer performance report (leads, conversions, revenue)</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Export any report to CSV or PDF</w:t>
            </w:r>
          </w:p>
          <w:p>
            <w:pPr>
              <w:spacing w:after="0" w:before="60"/>
            </w:pPr>
            <w:r>
              <w:rPr>
                <w:rFonts w:ascii="Arial" w:cs="Arial" w:eastAsia="Arial" w:hAnsi="Arial"/>
                <w:b/>
                <w:bCs/>
                <w:color w:val="1A3A6B"/>
                <w:sz w:val="18"/>
                <w:szCs w:val="18"/>
              </w:rPr>
              <w:t xml:space="preserve">5. </w:t>
            </w:r>
            <w:r>
              <w:rPr>
                <w:rFonts w:ascii="Arial" w:cs="Arial" w:eastAsia="Arial" w:hAnsi="Arial"/>
                <w:color w:val="0D1B2A"/>
                <w:sz w:val="18"/>
                <w:szCs w:val="18"/>
              </w:rPr>
              <w:t xml:space="preserve">Automated weekly / monthly email reports to management</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FR-21</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Promotions &amp; Offers Management (Admin)</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Create and schedule time-bound promotional offers and discounts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Generate and manage unique discount coupon codes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Track offer redemption count and revenue impact</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Push notifications to customers for new offers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FR-22</w:t>
            </w:r>
          </w:p>
        </w:tc>
        <w:tc>
          <w:tcPr>
            <w:tcW w:type="dxa" w:w="26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Notifications &amp; Alerts</w:t>
            </w:r>
          </w:p>
        </w:tc>
        <w:tc>
          <w:tcPr>
            <w:tcW w:type="dxa" w:w="6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bCs/>
                <w:color w:val="1A3A6B"/>
                <w:sz w:val="18"/>
                <w:szCs w:val="18"/>
              </w:rPr>
              <w:t xml:space="preserve">1. </w:t>
            </w:r>
            <w:r>
              <w:rPr>
                <w:rFonts w:ascii="Arial" w:cs="Arial" w:eastAsia="Arial" w:hAnsi="Arial"/>
                <w:color w:val="0D1B2A"/>
                <w:sz w:val="18"/>
                <w:szCs w:val="18"/>
              </w:rPr>
              <w:t xml:space="preserve">Email notifications for booking confirmation, payment receipt, service updates</w:t>
            </w:r>
          </w:p>
          <w:p>
            <w:pPr>
              <w:spacing w:after="0" w:before="60"/>
            </w:pPr>
            <w:r>
              <w:rPr>
                <w:rFonts w:ascii="Arial" w:cs="Arial" w:eastAsia="Arial" w:hAnsi="Arial"/>
                <w:b/>
                <w:bCs/>
                <w:color w:val="1A3A6B"/>
                <w:sz w:val="18"/>
                <w:szCs w:val="18"/>
              </w:rPr>
              <w:t xml:space="preserve">2. </w:t>
            </w:r>
            <w:r>
              <w:rPr>
                <w:rFonts w:ascii="Arial" w:cs="Arial" w:eastAsia="Arial" w:hAnsi="Arial"/>
                <w:color w:val="0D1B2A"/>
                <w:sz w:val="18"/>
                <w:szCs w:val="18"/>
              </w:rPr>
              <w:t xml:space="preserve">SMS / WhatsApp notifications for OTP, booking reminders, service status</w:t>
            </w:r>
          </w:p>
          <w:p>
            <w:pPr>
              <w:spacing w:after="0" w:before="60"/>
            </w:pPr>
            <w:r>
              <w:rPr>
                <w:rFonts w:ascii="Arial" w:cs="Arial" w:eastAsia="Arial" w:hAnsi="Arial"/>
                <w:b/>
                <w:bCs/>
                <w:color w:val="1A3A6B"/>
                <w:sz w:val="18"/>
                <w:szCs w:val="18"/>
              </w:rPr>
              <w:t xml:space="preserve">3. </w:t>
            </w:r>
            <w:r>
              <w:rPr>
                <w:rFonts w:ascii="Arial" w:cs="Arial" w:eastAsia="Arial" w:hAnsi="Arial"/>
                <w:color w:val="0D1B2A"/>
                <w:sz w:val="18"/>
                <w:szCs w:val="18"/>
              </w:rPr>
              <w:t xml:space="preserve">In-app push notifications for offers, test drive reminders, status changes</w:t>
            </w:r>
          </w:p>
          <w:p>
            <w:pPr>
              <w:spacing w:after="0" w:before="60"/>
            </w:pPr>
            <w:r>
              <w:rPr>
                <w:rFonts w:ascii="Arial" w:cs="Arial" w:eastAsia="Arial" w:hAnsi="Arial"/>
                <w:b/>
                <w:bCs/>
                <w:color w:val="1A3A6B"/>
                <w:sz w:val="18"/>
                <w:szCs w:val="18"/>
              </w:rPr>
              <w:t xml:space="preserve">4. </w:t>
            </w:r>
            <w:r>
              <w:rPr>
                <w:rFonts w:ascii="Arial" w:cs="Arial" w:eastAsia="Arial" w:hAnsi="Arial"/>
                <w:color w:val="0D1B2A"/>
                <w:sz w:val="18"/>
                <w:szCs w:val="18"/>
              </w:rPr>
              <w:t xml:space="preserve">Admin-controlled notification templates and scheduling</w:t>
            </w:r>
          </w:p>
        </w:tc>
      </w:tr>
    </w:tbl>
    <w:p>
      <w:r>
        <w:rPr>
          <w:rFonts w:ascii="Arial" w:cs="Arial" w:eastAsia="Arial" w:hAnsi="Arial"/>
          <w:color w:val="0D1B2A"/>
          <w:sz w:val="20"/>
          <w:szCs w:val="20"/>
        </w:rPr>
        <w:t xml:space="preserve"/>
      </w:r>
    </w:p>
    <w:p>
      <w:r>
        <w:rPr>
          <w:rFonts w:ascii="Arial" w:cs="Arial" w:eastAsia="Arial" w:hAnsi="Arial"/>
          <w:color w:val="0D1B2A"/>
          <w:sz w:val="20"/>
          <w:szCs w:val="20"/>
        </w:rPr>
        <w:t xml:space="preserve"/>
      </w:r>
    </w:p>
    <w:p>
      <w:r>
        <w:br w:type="page"/>
      </w:r>
    </w:p>
    <w:p>
      <w:pPr>
        <w:pBdr>
          <w:bottom w:val="single" w:color="C9A84C" w:sz="8" w:space="2"/>
        </w:pBdr>
        <w:spacing w:after="160" w:before="320"/>
      </w:pPr>
      <w:r>
        <w:rPr>
          <w:rFonts w:ascii="Arial" w:cs="Arial" w:eastAsia="Arial" w:hAnsi="Arial"/>
          <w:b/>
          <w:bCs/>
          <w:color w:val="1A3A6B"/>
          <w:sz w:val="28"/>
          <w:szCs w:val="28"/>
        </w:rPr>
        <w:t xml:space="preserve">2.  Non-Functional Requirements</w:t>
      </w:r>
    </w:p>
    <w:p>
      <w:pPr>
        <w:spacing w:after="80" w:before="60"/>
        <w:jc w:val="both"/>
      </w:pPr>
      <w:r>
        <w:rPr>
          <w:rFonts w:ascii="Arial" w:cs="Arial" w:eastAsia="Arial" w:hAnsi="Arial"/>
          <w:color w:val="0D1B2A"/>
          <w:sz w:val="20"/>
          <w:szCs w:val="20"/>
        </w:rPr>
        <w:t xml:space="preserve">Non-functional requirements specify the quality attributes, constraints, and operational standards the WhatNext Vision Motors platform must meet. They describe how the system performs its functions rather than what it does.</w:t>
      </w:r>
    </w:p>
    <w:p>
      <w:r>
        <w:rPr>
          <w:rFonts w:ascii="Arial" w:cs="Arial" w:eastAsia="Arial" w:hAnsi="Arial"/>
          <w:color w:val="0D1B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200"/>
        <w:gridCol w:w="6400"/>
      </w:tblGrid>
      <w:tr>
        <w:tc>
          <w:tcPr>
            <w:tcW w:type="dxa" w:w="76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NFR No.</w:t>
            </w:r>
          </w:p>
        </w:tc>
        <w:tc>
          <w:tcPr>
            <w:tcW w:type="dxa" w:w="22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Non-Functional Requirement</w:t>
            </w:r>
          </w:p>
        </w:tc>
        <w:tc>
          <w:tcPr>
            <w:tcW w:type="dxa" w:w="64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NFR-1</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Usability</w:t>
            </w:r>
          </w:p>
        </w:tc>
        <w:tc>
          <w:tcPr>
            <w:tcW w:type="dxa" w:w="6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platform must provide an intuitive, responsive UI usable on mobile (Android/iOS), tablet, and desktop browsers without additional training.</w:t>
            </w:r>
          </w:p>
          <w:p>
            <w:pPr>
              <w:spacing w:after="0" w:before="60"/>
            </w:pPr>
            <w:r>
              <w:rPr>
                <w:rFonts w:ascii="Arial" w:cs="Arial" w:eastAsia="Arial" w:hAnsi="Arial"/>
                <w:b w:val="false"/>
                <w:bCs w:val="false"/>
                <w:color w:val="0D1B2A"/>
                <w:sz w:val="18"/>
                <w:szCs w:val="18"/>
              </w:rPr>
              <w:t xml:space="preserve">All core user journeys (registration, vehicle browse, test drive booking, payment) must be completable in under 5 user interactions.</w:t>
            </w:r>
          </w:p>
          <w:p>
            <w:pPr>
              <w:spacing w:after="0" w:before="60"/>
            </w:pPr>
            <w:r>
              <w:rPr>
                <w:rFonts w:ascii="Arial" w:cs="Arial" w:eastAsia="Arial" w:hAnsi="Arial"/>
                <w:b w:val="false"/>
                <w:bCs w:val="false"/>
                <w:color w:val="0D1B2A"/>
                <w:sz w:val="18"/>
                <w:szCs w:val="18"/>
              </w:rPr>
              <w:t xml:space="preserve">WCAG 2.1 AA accessibility standards must be met for screen-reader compatibility, colour contrast, and keyboard navigation.</w:t>
            </w:r>
          </w:p>
          <w:p>
            <w:pPr>
              <w:spacing w:after="0" w:before="60"/>
            </w:pPr>
            <w:r>
              <w:rPr>
                <w:rFonts w:ascii="Arial" w:cs="Arial" w:eastAsia="Arial" w:hAnsi="Arial"/>
                <w:b w:val="false"/>
                <w:bCs w:val="false"/>
                <w:color w:val="0D1B2A"/>
                <w:sz w:val="18"/>
                <w:szCs w:val="18"/>
              </w:rPr>
              <w:t xml:space="preserve">The interface must support English and at least two regional languages (Tamil, Hindi) with locale-based formatting.</w:t>
            </w:r>
          </w:p>
          <w:p>
            <w:pPr>
              <w:spacing w:after="0" w:before="60"/>
            </w:pPr>
            <w:r>
              <w:rPr>
                <w:rFonts w:ascii="Arial" w:cs="Arial" w:eastAsia="Arial" w:hAnsi="Arial"/>
                <w:b w:val="false"/>
                <w:bCs w:val="false"/>
                <w:color w:val="0D1B2A"/>
                <w:sz w:val="18"/>
                <w:szCs w:val="18"/>
              </w:rPr>
              <w:t xml:space="preserve">Error messages must be descriptive, actionable, and displayed inline near the offending field.</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NFR-2</w:t>
            </w:r>
          </w:p>
        </w:tc>
        <w:tc>
          <w:tcPr>
            <w:tcW w:type="dxa" w:w="22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Security</w:t>
            </w:r>
          </w:p>
        </w:tc>
        <w:tc>
          <w:tcPr>
            <w:tcW w:type="dxa" w:w="64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All data in transit must be encrypted using TLS 1.2 or higher (HTTPS enforced across all endpoints).</w:t>
            </w:r>
          </w:p>
          <w:p>
            <w:pPr>
              <w:spacing w:after="0" w:before="60"/>
            </w:pPr>
            <w:r>
              <w:rPr>
                <w:rFonts w:ascii="Arial" w:cs="Arial" w:eastAsia="Arial" w:hAnsi="Arial"/>
                <w:b w:val="false"/>
                <w:bCs w:val="false"/>
                <w:color w:val="0D1B2A"/>
                <w:sz w:val="18"/>
                <w:szCs w:val="18"/>
              </w:rPr>
              <w:t xml:space="preserve">Passwords must be hashed using bcrypt (cost factor ≥ 12); plain-text passwords must never be stored.</w:t>
            </w:r>
          </w:p>
          <w:p>
            <w:pPr>
              <w:spacing w:after="0" w:before="60"/>
            </w:pPr>
            <w:r>
              <w:rPr>
                <w:rFonts w:ascii="Arial" w:cs="Arial" w:eastAsia="Arial" w:hAnsi="Arial"/>
                <w:b w:val="false"/>
                <w:bCs w:val="false"/>
                <w:color w:val="0D1B2A"/>
                <w:sz w:val="18"/>
                <w:szCs w:val="18"/>
              </w:rPr>
              <w:t xml:space="preserve">OAuth 2.0 and JWT-based stateless authentication with token expiry and refresh token rotation.</w:t>
            </w:r>
          </w:p>
          <w:p>
            <w:pPr>
              <w:spacing w:after="0" w:before="60"/>
            </w:pPr>
            <w:r>
              <w:rPr>
                <w:rFonts w:ascii="Arial" w:cs="Arial" w:eastAsia="Arial" w:hAnsi="Arial"/>
                <w:b w:val="false"/>
                <w:bCs w:val="false"/>
                <w:color w:val="0D1B2A"/>
                <w:sz w:val="18"/>
                <w:szCs w:val="18"/>
              </w:rPr>
              <w:t xml:space="preserve">Role-Based Access Control (RBAC) enforced at API gateway level; no privilege escalation allowed.</w:t>
            </w:r>
          </w:p>
          <w:p>
            <w:pPr>
              <w:spacing w:after="0" w:before="60"/>
            </w:pPr>
            <w:r>
              <w:rPr>
                <w:rFonts w:ascii="Arial" w:cs="Arial" w:eastAsia="Arial" w:hAnsi="Arial"/>
                <w:b w:val="false"/>
                <w:bCs w:val="false"/>
                <w:color w:val="0D1B2A"/>
                <w:sz w:val="18"/>
                <w:szCs w:val="18"/>
              </w:rPr>
              <w:t xml:space="preserve">OWASP Top 10 vulnerabilities (SQL injection, XSS, CSRF, etc.) must be mitigated in every release.</w:t>
            </w:r>
          </w:p>
          <w:p>
            <w:pPr>
              <w:spacing w:after="0" w:before="60"/>
            </w:pPr>
            <w:r>
              <w:rPr>
                <w:rFonts w:ascii="Arial" w:cs="Arial" w:eastAsia="Arial" w:hAnsi="Arial"/>
                <w:b w:val="false"/>
                <w:bCs w:val="false"/>
                <w:color w:val="0D1B2A"/>
                <w:sz w:val="18"/>
                <w:szCs w:val="18"/>
              </w:rPr>
              <w:t xml:space="preserve">Payment data must be handled via PCI-DSS-compliant payment gateway; no raw card data stored on platform servers.</w:t>
            </w:r>
          </w:p>
          <w:p>
            <w:pPr>
              <w:spacing w:after="0" w:before="60"/>
            </w:pPr>
            <w:r>
              <w:rPr>
                <w:rFonts w:ascii="Arial" w:cs="Arial" w:eastAsia="Arial" w:hAnsi="Arial"/>
                <w:b w:val="false"/>
                <w:bCs w:val="false"/>
                <w:color w:val="0D1B2A"/>
                <w:sz w:val="18"/>
                <w:szCs w:val="18"/>
              </w:rPr>
              <w:t xml:space="preserve">Penetration testing must be conducted before each major release.</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NFR-3</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Reliability</w:t>
            </w:r>
          </w:p>
        </w:tc>
        <w:tc>
          <w:tcPr>
            <w:tcW w:type="dxa" w:w="6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platform must achieve a minimum uptime SLA of 99.9% per calendar month (less than 44 minutes downtime/month).</w:t>
            </w:r>
          </w:p>
          <w:p>
            <w:pPr>
              <w:spacing w:after="0" w:before="60"/>
            </w:pPr>
            <w:r>
              <w:rPr>
                <w:rFonts w:ascii="Arial" w:cs="Arial" w:eastAsia="Arial" w:hAnsi="Arial"/>
                <w:b w:val="false"/>
                <w:bCs w:val="false"/>
                <w:color w:val="0D1B2A"/>
                <w:sz w:val="18"/>
                <w:szCs w:val="18"/>
              </w:rPr>
              <w:t xml:space="preserve">Automated health checks and self-healing must restart failed microservices within 30 seconds.</w:t>
            </w:r>
          </w:p>
          <w:p>
            <w:pPr>
              <w:spacing w:after="0" w:before="60"/>
            </w:pPr>
            <w:r>
              <w:rPr>
                <w:rFonts w:ascii="Arial" w:cs="Arial" w:eastAsia="Arial" w:hAnsi="Arial"/>
                <w:b w:val="false"/>
                <w:bCs w:val="false"/>
                <w:color w:val="0D1B2A"/>
                <w:sz w:val="18"/>
                <w:szCs w:val="18"/>
              </w:rPr>
              <w:t xml:space="preserve">Database failover to a hot standby replica must complete within 60 seconds with zero data loss (RPO = 0).</w:t>
            </w:r>
          </w:p>
          <w:p>
            <w:pPr>
              <w:spacing w:after="0" w:before="60"/>
            </w:pPr>
            <w:r>
              <w:rPr>
                <w:rFonts w:ascii="Arial" w:cs="Arial" w:eastAsia="Arial" w:hAnsi="Arial"/>
                <w:b w:val="false"/>
                <w:bCs w:val="false"/>
                <w:color w:val="0D1B2A"/>
                <w:sz w:val="18"/>
                <w:szCs w:val="18"/>
              </w:rPr>
              <w:t xml:space="preserve">All critical operations (payment, booking confirmation) must use idempotent APIs to prevent duplicate transactions.</w:t>
            </w:r>
          </w:p>
          <w:p>
            <w:pPr>
              <w:spacing w:after="0" w:before="60"/>
            </w:pPr>
            <w:r>
              <w:rPr>
                <w:rFonts w:ascii="Arial" w:cs="Arial" w:eastAsia="Arial" w:hAnsi="Arial"/>
                <w:b w:val="false"/>
                <w:bCs w:val="false"/>
                <w:color w:val="0D1B2A"/>
                <w:sz w:val="18"/>
                <w:szCs w:val="18"/>
              </w:rPr>
              <w:t xml:space="preserve">Full data backup must run daily; incremental backups every 4 hours; backups retained for 30 days.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NFR-4</w:t>
            </w:r>
          </w:p>
        </w:tc>
        <w:tc>
          <w:tcPr>
            <w:tcW w:type="dxa" w:w="22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Performance</w:t>
            </w:r>
          </w:p>
        </w:tc>
        <w:tc>
          <w:tcPr>
            <w:tcW w:type="dxa" w:w="64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Web pages must achieve a Largest Contentful Paint (LCP) ≤ 2.5 seconds on a standard 4G connection.</w:t>
            </w:r>
          </w:p>
          <w:p>
            <w:pPr>
              <w:spacing w:after="0" w:before="60"/>
            </w:pPr>
            <w:r>
              <w:rPr>
                <w:rFonts w:ascii="Arial" w:cs="Arial" w:eastAsia="Arial" w:hAnsi="Arial"/>
                <w:b w:val="false"/>
                <w:bCs w:val="false"/>
                <w:color w:val="0D1B2A"/>
                <w:sz w:val="18"/>
                <w:szCs w:val="18"/>
              </w:rPr>
              <w:t xml:space="preserve">API response time for 95th-percentile requests must be under 300 ms under normal load.</w:t>
            </w:r>
          </w:p>
          <w:p>
            <w:pPr>
              <w:spacing w:after="0" w:before="60"/>
            </w:pPr>
            <w:r>
              <w:rPr>
                <w:rFonts w:ascii="Arial" w:cs="Arial" w:eastAsia="Arial" w:hAnsi="Arial"/>
                <w:b w:val="false"/>
                <w:bCs w:val="false"/>
                <w:color w:val="0D1B2A"/>
                <w:sz w:val="18"/>
                <w:szCs w:val="18"/>
              </w:rPr>
              <w:t xml:space="preserve">Vehicle catalogue search results must return within 1 second for up to 100,000 listings.</w:t>
            </w:r>
          </w:p>
          <w:p>
            <w:pPr>
              <w:spacing w:after="0" w:before="60"/>
            </w:pPr>
            <w:r>
              <w:rPr>
                <w:rFonts w:ascii="Arial" w:cs="Arial" w:eastAsia="Arial" w:hAnsi="Arial"/>
                <w:b w:val="false"/>
                <w:bCs w:val="false"/>
                <w:color w:val="0D1B2A"/>
                <w:sz w:val="18"/>
                <w:szCs w:val="18"/>
              </w:rPr>
              <w:t xml:space="preserve">Payment processing confirmation must be delivered to the user within 3 seconds of transaction completion.</w:t>
            </w:r>
          </w:p>
          <w:p>
            <w:pPr>
              <w:spacing w:after="0" w:before="60"/>
            </w:pPr>
            <w:r>
              <w:rPr>
                <w:rFonts w:ascii="Arial" w:cs="Arial" w:eastAsia="Arial" w:hAnsi="Arial"/>
                <w:b w:val="false"/>
                <w:bCs w:val="false"/>
                <w:color w:val="0D1B2A"/>
                <w:sz w:val="18"/>
                <w:szCs w:val="18"/>
              </w:rPr>
              <w:t xml:space="preserve">Platform must sustain 10,000 concurrent users without performance degradation; load tested to 15,000 users.</w:t>
            </w:r>
          </w:p>
          <w:p>
            <w:pPr>
              <w:spacing w:after="0" w:before="60"/>
            </w:pPr>
            <w:r>
              <w:rPr>
                <w:rFonts w:ascii="Arial" w:cs="Arial" w:eastAsia="Arial" w:hAnsi="Arial"/>
                <w:b w:val="false"/>
                <w:bCs w:val="false"/>
                <w:color w:val="0D1B2A"/>
                <w:sz w:val="18"/>
                <w:szCs w:val="18"/>
              </w:rPr>
              <w:t xml:space="preserve">Static assets must be served via CDN with browser caching headers to minimise repeat-load times.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NFR-5</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Availability</w:t>
            </w:r>
          </w:p>
        </w:tc>
        <w:tc>
          <w:tcPr>
            <w:tcW w:type="dxa" w:w="6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platform must be available 24 × 7 × 365, including public holidays.</w:t>
            </w:r>
          </w:p>
          <w:p>
            <w:pPr>
              <w:spacing w:after="0" w:before="60"/>
            </w:pPr>
            <w:r>
              <w:rPr>
                <w:rFonts w:ascii="Arial" w:cs="Arial" w:eastAsia="Arial" w:hAnsi="Arial"/>
                <w:b w:val="false"/>
                <w:bCs w:val="false"/>
                <w:color w:val="0D1B2A"/>
                <w:sz w:val="18"/>
                <w:szCs w:val="18"/>
              </w:rPr>
              <w:t xml:space="preserve">Planned maintenance windows must be limited to Sunday 02:00–04:00 IST, with 72-hour advance notice to users.</w:t>
            </w:r>
          </w:p>
          <w:p>
            <w:pPr>
              <w:spacing w:after="0" w:before="60"/>
            </w:pPr>
            <w:r>
              <w:rPr>
                <w:rFonts w:ascii="Arial" w:cs="Arial" w:eastAsia="Arial" w:hAnsi="Arial"/>
                <w:b w:val="false"/>
                <w:bCs w:val="false"/>
                <w:color w:val="0D1B2A"/>
                <w:sz w:val="18"/>
                <w:szCs w:val="18"/>
              </w:rPr>
              <w:t xml:space="preserve">A geographically distributed deployment (minimum 2 availability zones) must prevent single-point-of-failure outages.</w:t>
            </w:r>
          </w:p>
          <w:p>
            <w:pPr>
              <w:spacing w:after="0" w:before="60"/>
            </w:pPr>
            <w:r>
              <w:rPr>
                <w:rFonts w:ascii="Arial" w:cs="Arial" w:eastAsia="Arial" w:hAnsi="Arial"/>
                <w:b w:val="false"/>
                <w:bCs w:val="false"/>
                <w:color w:val="0D1B2A"/>
                <w:sz w:val="18"/>
                <w:szCs w:val="18"/>
              </w:rPr>
              <w:t xml:space="preserve">A read-only mode must allow customers to browse the catalogue even during partial backend outages.</w:t>
            </w:r>
          </w:p>
          <w:p>
            <w:pPr>
              <w:spacing w:after="0" w:before="60"/>
            </w:pPr>
            <w:r>
              <w:rPr>
                <w:rFonts w:ascii="Arial" w:cs="Arial" w:eastAsia="Arial" w:hAnsi="Arial"/>
                <w:b w:val="false"/>
                <w:bCs w:val="false"/>
                <w:color w:val="0D1B2A"/>
                <w:sz w:val="18"/>
                <w:szCs w:val="18"/>
              </w:rPr>
              <w:t xml:space="preserve">Disaster Recovery Plan (DRP) must target RTO ≤ 4 hours for a full regional failure.</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NFR-6</w:t>
            </w:r>
          </w:p>
        </w:tc>
        <w:tc>
          <w:tcPr>
            <w:tcW w:type="dxa" w:w="22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Scalability</w:t>
            </w:r>
          </w:p>
        </w:tc>
        <w:tc>
          <w:tcPr>
            <w:tcW w:type="dxa" w:w="64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backend architecture must support horizontal auto-scaling triggered when CPU utilisation exceeds 70% for 2 consecutive minutes.</w:t>
            </w:r>
          </w:p>
          <w:p>
            <w:pPr>
              <w:spacing w:after="0" w:before="60"/>
            </w:pPr>
            <w:r>
              <w:rPr>
                <w:rFonts w:ascii="Arial" w:cs="Arial" w:eastAsia="Arial" w:hAnsi="Arial"/>
                <w:b w:val="false"/>
                <w:bCs w:val="false"/>
                <w:color w:val="0D1B2A"/>
                <w:sz w:val="18"/>
                <w:szCs w:val="18"/>
              </w:rPr>
              <w:t xml:space="preserve">The database layer must support read-replica scaling to handle up to 5× peak read traffic without schema changes.</w:t>
            </w:r>
          </w:p>
          <w:p>
            <w:pPr>
              <w:spacing w:after="0" w:before="60"/>
            </w:pPr>
            <w:r>
              <w:rPr>
                <w:rFonts w:ascii="Arial" w:cs="Arial" w:eastAsia="Arial" w:hAnsi="Arial"/>
                <w:b w:val="false"/>
                <w:bCs w:val="false"/>
                <w:color w:val="0D1B2A"/>
                <w:sz w:val="18"/>
                <w:szCs w:val="18"/>
              </w:rPr>
              <w:t xml:space="preserve">The platform must support a minimum of 500,000 registered users and 1,000,000 vehicle listing records without architectural rework.</w:t>
            </w:r>
          </w:p>
          <w:p>
            <w:pPr>
              <w:spacing w:after="0" w:before="60"/>
            </w:pPr>
            <w:r>
              <w:rPr>
                <w:rFonts w:ascii="Arial" w:cs="Arial" w:eastAsia="Arial" w:hAnsi="Arial"/>
                <w:b w:val="false"/>
                <w:bCs w:val="false"/>
                <w:color w:val="0D1B2A"/>
                <w:sz w:val="18"/>
                <w:szCs w:val="18"/>
              </w:rPr>
              <w:t xml:space="preserve">Microservices architecture must allow individual services (payment, notification, inventory) to be scaled independently.</w:t>
            </w:r>
          </w:p>
          <w:p>
            <w:pPr>
              <w:spacing w:after="0" w:before="60"/>
            </w:pPr>
            <w:r>
              <w:rPr>
                <w:rFonts w:ascii="Arial" w:cs="Arial" w:eastAsia="Arial" w:hAnsi="Arial"/>
                <w:b w:val="false"/>
                <w:bCs w:val="false"/>
                <w:color w:val="0D1B2A"/>
                <w:sz w:val="18"/>
                <w:szCs w:val="18"/>
              </w:rPr>
              <w:t xml:space="preserve">CDN and caching layers must absorb up to 80% of total read traffic to protect origin servers.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NFR-7</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Maintainability</w:t>
            </w:r>
          </w:p>
        </w:tc>
        <w:tc>
          <w:tcPr>
            <w:tcW w:type="dxa" w:w="6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Code must follow agreed coding standards; all public functions and APIs must have inline documentation.</w:t>
            </w:r>
          </w:p>
          <w:p>
            <w:pPr>
              <w:spacing w:after="0" w:before="60"/>
            </w:pPr>
            <w:r>
              <w:rPr>
                <w:rFonts w:ascii="Arial" w:cs="Arial" w:eastAsia="Arial" w:hAnsi="Arial"/>
                <w:b w:val="false"/>
                <w:bCs w:val="false"/>
                <w:color w:val="0D1B2A"/>
                <w:sz w:val="18"/>
                <w:szCs w:val="18"/>
              </w:rPr>
              <w:t xml:space="preserve">CI/CD pipeline (GitHub Actions / Jenkins) must enforce automated unit, integration, and security tests before merge.</w:t>
            </w:r>
          </w:p>
          <w:p>
            <w:pPr>
              <w:spacing w:after="0" w:before="60"/>
            </w:pPr>
            <w:r>
              <w:rPr>
                <w:rFonts w:ascii="Arial" w:cs="Arial" w:eastAsia="Arial" w:hAnsi="Arial"/>
                <w:b w:val="false"/>
                <w:bCs w:val="false"/>
                <w:color w:val="0D1B2A"/>
                <w:sz w:val="18"/>
                <w:szCs w:val="18"/>
              </w:rPr>
              <w:t xml:space="preserve">System must support zero-downtime deployments using blue-green or canary release strategies.</w:t>
            </w:r>
          </w:p>
          <w:p>
            <w:pPr>
              <w:spacing w:after="0" w:before="60"/>
            </w:pPr>
            <w:r>
              <w:rPr>
                <w:rFonts w:ascii="Arial" w:cs="Arial" w:eastAsia="Arial" w:hAnsi="Arial"/>
                <w:b w:val="false"/>
                <w:bCs w:val="false"/>
                <w:color w:val="0D1B2A"/>
                <w:sz w:val="18"/>
                <w:szCs w:val="18"/>
              </w:rPr>
              <w:t xml:space="preserve">All configuration (environment variables, feature flags) must be externalised and not hard-coded.</w:t>
            </w:r>
          </w:p>
          <w:p>
            <w:pPr>
              <w:spacing w:after="0" w:before="60"/>
            </w:pPr>
            <w:r>
              <w:rPr>
                <w:rFonts w:ascii="Arial" w:cs="Arial" w:eastAsia="Arial" w:hAnsi="Arial"/>
                <w:b w:val="false"/>
                <w:bCs w:val="false"/>
                <w:color w:val="0D1B2A"/>
                <w:sz w:val="18"/>
                <w:szCs w:val="18"/>
              </w:rPr>
              <w:t xml:space="preserve">A centralised logging and monitoring stack (ELK / Grafana + Prometheus) must provide real-time alerts for anomalies.</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NFR-8</w:t>
            </w:r>
          </w:p>
        </w:tc>
        <w:tc>
          <w:tcPr>
            <w:tcW w:type="dxa" w:w="22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Compatibility</w:t>
            </w:r>
          </w:p>
        </w:tc>
        <w:tc>
          <w:tcPr>
            <w:tcW w:type="dxa" w:w="64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web application must be fully functional on the latest two major versions of Chrome, Firefox, Safari, and Edge.</w:t>
            </w:r>
          </w:p>
          <w:p>
            <w:pPr>
              <w:spacing w:after="0" w:before="60"/>
            </w:pPr>
            <w:r>
              <w:rPr>
                <w:rFonts w:ascii="Arial" w:cs="Arial" w:eastAsia="Arial" w:hAnsi="Arial"/>
                <w:b w:val="false"/>
                <w:bCs w:val="false"/>
                <w:color w:val="0D1B2A"/>
                <w:sz w:val="18"/>
                <w:szCs w:val="18"/>
              </w:rPr>
              <w:t xml:space="preserve">The mobile application must support Android 10+ and iOS 14+.</w:t>
            </w:r>
          </w:p>
          <w:p>
            <w:pPr>
              <w:spacing w:after="0" w:before="60"/>
            </w:pPr>
            <w:r>
              <w:rPr>
                <w:rFonts w:ascii="Arial" w:cs="Arial" w:eastAsia="Arial" w:hAnsi="Arial"/>
                <w:b w:val="false"/>
                <w:bCs w:val="false"/>
                <w:color w:val="0D1B2A"/>
                <w:sz w:val="18"/>
                <w:szCs w:val="18"/>
              </w:rPr>
              <w:t xml:space="preserve">The platform must provide a versioned REST API to ensure backward compatibility for at least 2 major versions.</w:t>
            </w:r>
          </w:p>
          <w:p>
            <w:pPr>
              <w:spacing w:after="0" w:before="60"/>
            </w:pPr>
            <w:r>
              <w:rPr>
                <w:rFonts w:ascii="Arial" w:cs="Arial" w:eastAsia="Arial" w:hAnsi="Arial"/>
                <w:b w:val="false"/>
                <w:bCs w:val="false"/>
                <w:color w:val="0D1B2A"/>
                <w:sz w:val="18"/>
                <w:szCs w:val="18"/>
              </w:rPr>
              <w:t xml:space="preserve">Third-party integrations (payment gateway, map API, SMS gateway) must use standard adapters to allow provider swapping without core code changes.</w:t>
            </w:r>
          </w:p>
        </w:tc>
      </w:tr>
      <w:tr>
        <w:tc>
          <w:tcPr>
            <w:tcW w:type="dxa" w:w="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NFR-9</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Compliance &amp; Data Privacy</w:t>
            </w:r>
          </w:p>
        </w:tc>
        <w:tc>
          <w:tcPr>
            <w:tcW w:type="dxa" w:w="6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Platform must comply with India's Digital Personal Data Protection (DPDP) Act 2023 for data collection and processing.</w:t>
            </w:r>
          </w:p>
          <w:p>
            <w:pPr>
              <w:spacing w:after="0" w:before="60"/>
            </w:pPr>
            <w:r>
              <w:rPr>
                <w:rFonts w:ascii="Arial" w:cs="Arial" w:eastAsia="Arial" w:hAnsi="Arial"/>
                <w:b w:val="false"/>
                <w:bCs w:val="false"/>
                <w:color w:val="0D1B2A"/>
                <w:sz w:val="18"/>
                <w:szCs w:val="18"/>
              </w:rPr>
              <w:t xml:space="preserve">Users must provide explicit, informed consent before any personal data is collected; consent records must be auditable.</w:t>
            </w:r>
          </w:p>
          <w:p>
            <w:pPr>
              <w:spacing w:after="0" w:before="60"/>
            </w:pPr>
            <w:r>
              <w:rPr>
                <w:rFonts w:ascii="Arial" w:cs="Arial" w:eastAsia="Arial" w:hAnsi="Arial"/>
                <w:b w:val="false"/>
                <w:bCs w:val="false"/>
                <w:color w:val="0D1B2A"/>
                <w:sz w:val="18"/>
                <w:szCs w:val="18"/>
              </w:rPr>
              <w:t xml:space="preserve">Users must be able to request data export (right to portability) and account deletion (right to erasure) within 30 days.</w:t>
            </w:r>
          </w:p>
          <w:p>
            <w:pPr>
              <w:spacing w:after="0" w:before="60"/>
            </w:pPr>
            <w:r>
              <w:rPr>
                <w:rFonts w:ascii="Arial" w:cs="Arial" w:eastAsia="Arial" w:hAnsi="Arial"/>
                <w:b w:val="false"/>
                <w:bCs w:val="false"/>
                <w:color w:val="0D1B2A"/>
                <w:sz w:val="18"/>
                <w:szCs w:val="18"/>
              </w:rPr>
              <w:t xml:space="preserve">Personal data must be anonymised in non-production environments (development, staging, testing).</w:t>
            </w:r>
          </w:p>
          <w:p>
            <w:pPr>
              <w:spacing w:after="0" w:before="60"/>
            </w:pPr>
            <w:r>
              <w:rPr>
                <w:rFonts w:ascii="Arial" w:cs="Arial" w:eastAsia="Arial" w:hAnsi="Arial"/>
                <w:b w:val="false"/>
                <w:bCs w:val="false"/>
                <w:color w:val="0D1B2A"/>
                <w:sz w:val="18"/>
                <w:szCs w:val="18"/>
              </w:rPr>
              <w:t xml:space="preserve">Data retention policies must be defined per data category and enforced automatically.</w:t>
            </w:r>
          </w:p>
        </w:tc>
      </w:tr>
      <w:tr>
        <w:tc>
          <w:tcPr>
            <w:tcW w:type="dxa" w:w="7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NFR-10</w:t>
            </w:r>
          </w:p>
        </w:tc>
        <w:tc>
          <w:tcPr>
            <w:tcW w:type="dxa" w:w="22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Internationalisation &amp; Localisation</w:t>
            </w:r>
          </w:p>
        </w:tc>
        <w:tc>
          <w:tcPr>
            <w:tcW w:type="dxa" w:w="64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top"/>
          </w:tcPr>
          <w:p>
            <w:pPr>
              <w:spacing w:after="0" w:before="0"/>
            </w:pPr>
            <w:r>
              <w:rPr>
                <w:rFonts w:ascii="Arial" w:cs="Arial" w:eastAsia="Arial" w:hAnsi="Arial"/>
                <w:b w:val="false"/>
                <w:bCs w:val="false"/>
                <w:color w:val="0D1B2A"/>
                <w:sz w:val="18"/>
                <w:szCs w:val="18"/>
              </w:rPr>
              <w:t xml:space="preserve">The platform must support Unicode (UTF-8) throughout to accommodate multi-language content.</w:t>
            </w:r>
          </w:p>
          <w:p>
            <w:pPr>
              <w:spacing w:after="0" w:before="60"/>
            </w:pPr>
            <w:r>
              <w:rPr>
                <w:rFonts w:ascii="Arial" w:cs="Arial" w:eastAsia="Arial" w:hAnsi="Arial"/>
                <w:b w:val="false"/>
                <w:bCs w:val="false"/>
                <w:color w:val="0D1B2A"/>
                <w:sz w:val="18"/>
                <w:szCs w:val="18"/>
              </w:rPr>
              <w:t xml:space="preserve">Date, time, currency, and number formats must adapt based on the user's locale setting.</w:t>
            </w:r>
          </w:p>
          <w:p>
            <w:pPr>
              <w:spacing w:after="0" w:before="60"/>
            </w:pPr>
            <w:r>
              <w:rPr>
                <w:rFonts w:ascii="Arial" w:cs="Arial" w:eastAsia="Arial" w:hAnsi="Arial"/>
                <w:b w:val="false"/>
                <w:bCs w:val="false"/>
                <w:color w:val="0D1B2A"/>
                <w:sz w:val="18"/>
                <w:szCs w:val="18"/>
              </w:rPr>
              <w:t xml:space="preserve">Language pack architecture must allow adding new languages without code changes (string externalisation).</w:t>
            </w:r>
          </w:p>
          <w:p>
            <w:pPr>
              <w:spacing w:after="0" w:before="60"/>
            </w:pPr>
            <w:r>
              <w:rPr>
                <w:rFonts w:ascii="Arial" w:cs="Arial" w:eastAsia="Arial" w:hAnsi="Arial"/>
                <w:b w:val="false"/>
                <w:bCs w:val="false"/>
                <w:color w:val="0D1B2A"/>
                <w:sz w:val="18"/>
                <w:szCs w:val="18"/>
              </w:rPr>
              <w:t xml:space="preserve">Vehicle pricing must support multi-currency display for NRI users (INR primary, USD/EUR as reference).</w:t>
            </w:r>
          </w:p>
        </w:tc>
      </w:tr>
    </w:tbl>
    <w:p>
      <w:r>
        <w:rPr>
          <w:rFonts w:ascii="Arial" w:cs="Arial" w:eastAsia="Arial" w:hAnsi="Arial"/>
          <w:color w:val="0D1B2A"/>
          <w:sz w:val="20"/>
          <w:szCs w:val="20"/>
        </w:rPr>
        <w:t xml:space="preserve"/>
      </w:r>
    </w:p>
    <w:p>
      <w:r>
        <w:rPr>
          <w:rFonts w:ascii="Arial" w:cs="Arial" w:eastAsia="Arial" w:hAnsi="Arial"/>
          <w:color w:val="0D1B2A"/>
          <w:sz w:val="20"/>
          <w:szCs w:val="20"/>
        </w:rPr>
        <w:t xml:space="preserve"/>
      </w:r>
    </w:p>
    <w:p>
      <w:pPr>
        <w:spacing w:after="120" w:before="240"/>
      </w:pPr>
      <w:r>
        <w:rPr>
          <w:rFonts w:ascii="Arial" w:cs="Arial" w:eastAsia="Arial" w:hAnsi="Arial"/>
          <w:b/>
          <w:bCs/>
          <w:color w:val="1A3A6B"/>
          <w:sz w:val="22"/>
          <w:szCs w:val="22"/>
        </w:rPr>
        <w:t xml:space="preserve">Appendix – Team Contributions</w:t>
      </w:r>
    </w:p>
    <w:p>
      <w:r>
        <w:rPr>
          <w:rFonts w:ascii="Arial" w:cs="Arial" w:eastAsia="Arial" w:hAnsi="Arial"/>
          <w:color w:val="0D1B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Member</w:t>
            </w:r>
          </w:p>
        </w:tc>
        <w:tc>
          <w:tcPr>
            <w:tcW w:type="dxa" w:w="200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Role</w:t>
            </w:r>
          </w:p>
        </w:tc>
        <w:tc>
          <w:tcPr>
            <w:tcW w:type="dxa" w:w="5360"/>
            <w:gridSpan w:val="1"/>
            <w:tcBorders>
              <w:top w:val="single" w:color="1A3A6B" w:sz="4"/>
              <w:left w:val="single" w:color="1A3A6B" w:sz="4"/>
              <w:bottom w:val="single" w:color="1A3A6B" w:sz="4"/>
              <w:right w:val="single" w:color="1A3A6B" w:sz="4"/>
            </w:tcBorders>
            <w:shd w:fill="1A3A6B"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Contribution</w:t>
            </w:r>
          </w:p>
        </w:tc>
      </w:tr>
      <w:tr>
        <w:tc>
          <w:tcPr>
            <w:tcW w:type="dxa" w:w="20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MANISHA R</w:t>
            </w:r>
          </w:p>
        </w:tc>
        <w:tc>
          <w:tcPr>
            <w:tcW w:type="dxa" w:w="20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Team Leader</w:t>
            </w:r>
          </w:p>
        </w:tc>
        <w:tc>
          <w:tcPr>
            <w:tcW w:type="dxa" w:w="536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Overall FR/NFR scoping, authentication FRs (FR-1–FR-4), NFR-2 Security &amp; NFR-9 Compliance</w:t>
            </w:r>
          </w:p>
        </w:tc>
      </w:tr>
      <w:tr>
        <w:tc>
          <w:tcPr>
            <w:tcW w:type="dxa" w:w="2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RAJKUMAR L</w:t>
            </w:r>
          </w:p>
        </w:tc>
        <w:tc>
          <w:tcPr>
            <w:tcW w:type="dxa" w:w="2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Developer</w:t>
            </w:r>
          </w:p>
        </w:tc>
        <w:tc>
          <w:tcPr>
            <w:tcW w:type="dxa" w:w="53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Vehicle Catalogue &amp; Search FRs (FR-5–FR-7), NFR-4 Performance &amp; NFR-8 Compatibility</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TAMIZHKUMARAN M</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Developer</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Test Drive &amp; Purchase FRs (FR-8–FR-12), NFR-1 Usability &amp; NFR-10 Internationalisation</w:t>
            </w:r>
          </w:p>
        </w:tc>
      </w:tr>
      <w:tr>
        <w:tc>
          <w:tcPr>
            <w:tcW w:type="dxa" w:w="2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VINITH S</w:t>
            </w:r>
          </w:p>
        </w:tc>
        <w:tc>
          <w:tcPr>
            <w:tcW w:type="dxa" w:w="200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Developer</w:t>
            </w:r>
          </w:p>
        </w:tc>
        <w:tc>
          <w:tcPr>
            <w:tcW w:type="dxa" w:w="5360"/>
            <w:tcBorders>
              <w:top w:val="single" w:color="C0C0C0" w:sz="1"/>
              <w:left w:val="single" w:color="C0C0C0" w:sz="1"/>
              <w:bottom w:val="single" w:color="C0C0C0" w:sz="1"/>
              <w:right w:val="single" w:color="C0C0C0" w:sz="1"/>
            </w:tcBorders>
            <w:shd w:fill="F5F8FD"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Service &amp; After-Sales FRs (FR-13–FR-14), Dealer FRs (FR-15–FR-16), NFR-3 Reliability &amp; NFR-5 Availability</w:t>
            </w:r>
          </w:p>
        </w:tc>
      </w:tr>
      <w:tr>
        <w:tc>
          <w:tcPr>
            <w:tcW w:type="dxa" w:w="20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PORSELVAN A</w:t>
            </w:r>
          </w:p>
        </w:tc>
        <w:tc>
          <w:tcPr>
            <w:tcW w:type="dxa" w:w="200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Developer</w:t>
            </w:r>
          </w:p>
        </w:tc>
        <w:tc>
          <w:tcPr>
            <w:tcW w:type="dxa" w:w="5360"/>
            <w:tcBorders>
              <w:top w:val="single" w:color="C0C0C0" w:sz="1"/>
              <w:left w:val="single" w:color="C0C0C0" w:sz="1"/>
              <w:bottom w:val="single" w:color="C0C0C0" w:sz="1"/>
              <w:right w:val="single" w:color="C0C0C0" w:sz="1"/>
            </w:tcBorders>
            <w:shd w:fill="EAF1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Admin &amp; Notification FRs (FR-17–FR-22), NFR-6 Scalability &amp; NFR-7 Maintainability</w:t>
            </w:r>
          </w:p>
        </w:tc>
      </w:tr>
    </w:tbl>
    <w:p>
      <w:r>
        <w:rPr>
          <w:rFonts w:ascii="Arial" w:cs="Arial" w:eastAsia="Arial" w:hAnsi="Arial"/>
          <w:color w:val="0D1B2A"/>
          <w:sz w:val="20"/>
          <w:szCs w:val="20"/>
        </w:rP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6"/>
        <w:szCs w:val="16"/>
      </w:rPr>
      <w:t xml:space="preserve">Confidential  |  Team WhatNext Vision Motors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80"/>
    </w:pPr>
    <w:r>
      <w:rPr>
        <w:rFonts w:ascii="Arial" w:cs="Arial" w:eastAsia="Arial" w:hAnsi="Arial"/>
        <w:b/>
        <w:bCs/>
        <w:color w:val="1A3A6B"/>
        <w:sz w:val="18"/>
        <w:szCs w:val="18"/>
      </w:rPr>
      <w:t xml:space="preserve">WhatNext Vision Motors  </w:t>
    </w:r>
    <w:r>
      <w:rPr>
        <w:rFonts w:ascii="Arial" w:cs="Arial" w:eastAsia="Arial" w:hAnsi="Arial"/>
        <w:color w:val="666666"/>
        <w:sz w:val="17"/>
        <w:szCs w:val="17"/>
      </w:rPr>
      <w:t xml:space="preserve">|  Solution Requirements (Functional &amp; Non-Functional)  |  Project Design Phase-II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2026-04-07T06:01:46.331Z</dcterms:created>
  <dcterms:modified xsi:type="dcterms:W3CDTF">2026-04-07T06:01:46.331Z</dcterms:modified>
</cp:coreProperties>
</file>

<file path=docProps/custom.xml><?xml version="1.0" encoding="utf-8"?>
<Properties xmlns="http://schemas.openxmlformats.org/officeDocument/2006/custom-properties" xmlns:vt="http://schemas.openxmlformats.org/officeDocument/2006/docPropsVTypes"/>
</file>