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E07B39"/>
          <w:sz w:val="20"/>
          <w:szCs w:val="20"/>
        </w:rPr>
        <w:t xml:space="preserve">IDEATION PHASE</w:t>
      </w:r>
    </w:p>
    <w:p>
      <w:pPr>
        <w:spacing w:after="80" w:before="0"/>
        <w:jc w:val="center"/>
      </w:pPr>
      <w:r>
        <w:rPr>
          <w:rFonts w:ascii="Arial" w:cs="Arial" w:eastAsia="Arial" w:hAnsi="Arial"/>
          <w:b/>
          <w:bCs/>
          <w:color w:val="1A3C6E"/>
          <w:sz w:val="38"/>
          <w:szCs w:val="38"/>
        </w:rPr>
        <w:t xml:space="preserve">Define the Problem Statements</w:t>
      </w:r>
    </w:p>
    <w:p>
      <w:pPr>
        <w:spacing w:after="200" w:before="0"/>
        <w:jc w:val="center"/>
      </w:pPr>
      <w:r>
        <w:rPr>
          <w:rFonts w:ascii="Arial" w:cs="Arial" w:eastAsia="Arial" w:hAnsi="Arial"/>
          <w:i/>
          <w:iCs/>
          <w:color w:val="555555"/>
          <w:sz w:val="22"/>
          <w:szCs w:val="22"/>
        </w:rPr>
        <w:t xml:space="preserve">WhatNext Vision Motors: Shaping the Future of Mobility with Innovation and Excellence</w:t>
      </w:r>
    </w:p>
    <w:p>
      <w:pPr>
        <w:pBdr>
          <w:bottom w:val="single" w:color="1A3C6E" w:sz="6" w:space="1"/>
        </w:pBdr>
        <w:spacing w:after="160" w:before="160"/>
      </w:pPr>
      <w:r>
        <w:rPr>
          <w:rFonts w:ascii="Arial" w:cs="Arial" w:eastAsia="Arial" w:hAnsi="Arial"/>
          <w:sz w:val="20"/>
          <w:szCs w:val="20"/>
        </w:rPr>
        <w:t xml:space="preserve"/>
      </w:r>
    </w:p>
    <w:p>
      <w:pPr>
        <w:spacing w:after="120" w:before="260"/>
      </w:pPr>
      <w:r>
        <w:rPr>
          <w:rFonts w:ascii="Arial" w:cs="Arial" w:eastAsia="Arial" w:hAnsi="Arial"/>
          <w:b/>
          <w:bCs/>
          <w:color w:val="E07B39"/>
          <w:sz w:val="24"/>
          <w:szCs w:val="24"/>
        </w:rPr>
        <w:t xml:space="preserve">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left"/>
            </w:pPr>
            <w:r>
              <w:rPr>
                <w:rFonts w:ascii="Arial" w:cs="Arial" w:eastAsia="Arial" w:hAnsi="Arial"/>
                <w:b/>
                <w:bCs/>
                <w:color w:val="1A3C6E"/>
                <w:sz w:val="19"/>
                <w:szCs w:val="19"/>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06 April 2025</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left"/>
            </w:pPr>
            <w:r>
              <w:rPr>
                <w:rFonts w:ascii="Arial" w:cs="Arial" w:eastAsia="Arial" w:hAnsi="Arial"/>
                <w:b/>
                <w:bCs/>
                <w:color w:val="1A3C6E"/>
                <w:sz w:val="19"/>
                <w:szCs w:val="19"/>
              </w:rPr>
              <w:t xml:space="preserve">Team ID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WNV-2025-01</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left"/>
            </w:pPr>
            <w:r>
              <w:rPr>
                <w:rFonts w:ascii="Arial" w:cs="Arial" w:eastAsia="Arial" w:hAnsi="Arial"/>
                <w:b/>
                <w:bCs/>
                <w:color w:val="1A3C6E"/>
                <w:sz w:val="19"/>
                <w:szCs w:val="19"/>
              </w:rPr>
              <w:t xml:space="preserve">Project Name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WhatNext Vision Motors: Shaping the Future of Mobility with Innovation and Excellence</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left"/>
            </w:pPr>
            <w:r>
              <w:rPr>
                <w:rFonts w:ascii="Arial" w:cs="Arial" w:eastAsia="Arial" w:hAnsi="Arial"/>
                <w:b/>
                <w:bCs/>
                <w:color w:val="1A3C6E"/>
                <w:sz w:val="19"/>
                <w:szCs w:val="19"/>
              </w:rPr>
              <w:t xml:space="preserve">Team Lead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MANISHA</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left"/>
            </w:pPr>
            <w:r>
              <w:rPr>
                <w:rFonts w:ascii="Arial" w:cs="Arial" w:eastAsia="Arial" w:hAnsi="Arial"/>
                <w:b/>
                <w:bCs/>
                <w:color w:val="1A3C6E"/>
                <w:sz w:val="19"/>
                <w:szCs w:val="19"/>
              </w:rPr>
              <w:t xml:space="preserve">Team Members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MANISHA (TL)  |  RAJKUMAR  |  TAMIZHKUMARAN  |  VINITH</w:t>
            </w:r>
          </w:p>
        </w:tc>
      </w:tr>
      <w:tr>
        <w:tc>
          <w:tcPr>
            <w:tcW w:type="dxa" w:w="24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left"/>
            </w:pPr>
            <w:r>
              <w:rPr>
                <w:rFonts w:ascii="Arial" w:cs="Arial" w:eastAsia="Arial" w:hAnsi="Arial"/>
                <w:b/>
                <w:bCs/>
                <w:color w:val="1A3C6E"/>
                <w:sz w:val="19"/>
                <w:szCs w:val="19"/>
              </w:rPr>
              <w:t xml:space="preserve">Maximum Marks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2 Marks</w:t>
            </w:r>
          </w:p>
        </w:tc>
      </w:tr>
    </w:tbl>
    <w:p>
      <w:pPr>
        <w:spacing w:after="60" w:before="60"/>
      </w:pPr>
      <w:r>
        <w:rPr>
          <w:rFonts w:ascii="Arial" w:cs="Arial" w:eastAsia="Arial" w:hAnsi="Arial"/>
          <w:sz w:val="20"/>
          <w:szCs w:val="20"/>
        </w:rPr>
        <w:t xml:space="preserve"/>
      </w:r>
    </w:p>
    <w:p>
      <w:pPr>
        <w:pBdr>
          <w:bottom w:val="single" w:color="1A3C6E" w:sz="6" w:space="1"/>
        </w:pBdr>
        <w:spacing w:after="160" w:before="160"/>
      </w:pPr>
      <w:r>
        <w:rPr>
          <w:rFonts w:ascii="Arial" w:cs="Arial" w:eastAsia="Arial" w:hAnsi="Arial"/>
          <w:sz w:val="20"/>
          <w:szCs w:val="20"/>
        </w:rPr>
        <w:t xml:space="preserve"/>
      </w:r>
    </w:p>
    <w:p>
      <w:pPr>
        <w:spacing w:after="120" w:before="260"/>
      </w:pPr>
      <w:r>
        <w:rPr>
          <w:rFonts w:ascii="Arial" w:cs="Arial" w:eastAsia="Arial" w:hAnsi="Arial"/>
          <w:b/>
          <w:bCs/>
          <w:color w:val="E07B39"/>
          <w:sz w:val="24"/>
          <w:szCs w:val="24"/>
        </w:rPr>
        <w:t xml:space="preserve">CUSTOMER PROBLEM STATEMENT — OVERVIEW</w:t>
      </w:r>
    </w:p>
    <w:p>
      <w:pPr>
        <w:spacing w:after="80" w:before="60"/>
      </w:pPr>
      <w:r>
        <w:rPr>
          <w:rFonts w:ascii="Arial" w:cs="Arial" w:eastAsia="Arial" w:hAnsi="Arial"/>
          <w:i w:val="false"/>
          <w:iCs w:val="false"/>
          <w:sz w:val="20"/>
          <w:szCs w:val="20"/>
        </w:rPr>
        <w:t xml:space="preserve">Create a problem statement to understand your customer's point of view. The Customer Problem Statement template helps you focus on what matters to create experiences people will love.</w:t>
      </w:r>
    </w:p>
    <w:p>
      <w:pPr>
        <w:spacing w:after="80" w:before="60"/>
      </w:pPr>
      <w:r>
        <w:rPr>
          <w:rFonts w:ascii="Arial" w:cs="Arial" w:eastAsia="Arial" w:hAnsi="Arial"/>
          <w:i w:val="false"/>
          <w:iCs w:val="false"/>
          <w:sz w:val="20"/>
          <w:szCs w:val="20"/>
        </w:rPr>
        <w:t xml:space="preserve">A well-articulated customer problem statement allows you and your team to find the ideal solution for the challenges your customers face. Throughout the process, you will also be able to empathise with your customers, which helps you better understand how they perceive your product or service.</w:t>
      </w:r>
    </w:p>
    <w:p>
      <w:pPr>
        <w:spacing w:after="40" w:before="80"/>
      </w:pPr>
      <w:r>
        <w:rPr>
          <w:rFonts w:ascii="Arial" w:cs="Arial" w:eastAsia="Arial" w:hAnsi="Arial"/>
          <w:sz w:val="20"/>
          <w:szCs w:val="20"/>
        </w:rPr>
        <w:t xml:space="preserve"/>
      </w:r>
    </w:p>
    <w:p>
      <w:pPr>
        <w:spacing w:after="100" w:before="100"/>
        <w:jc w:val="center"/>
      </w:pPr>
      <w:r>
        <w:drawing>
          <wp:inline distT="0" distB="0" distL="0" distR="0">
            <wp:extent cx="5524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571750"/>
                    </a:xfrm>
                    <a:prstGeom prst="rect">
                      <a:avLst/>
                    </a:prstGeom>
                  </pic:spPr>
                </pic:pic>
              </a:graphicData>
            </a:graphic>
          </wp:inline>
        </w:drawing>
      </w:r>
    </w:p>
    <w:p>
      <w:pPr>
        <w:spacing w:after="80" w:before="40"/>
      </w:pPr>
      <w:r>
        <w:rPr>
          <w:rFonts w:ascii="Arial" w:cs="Arial" w:eastAsia="Arial" w:hAnsi="Arial"/>
          <w:i/>
          <w:iCs/>
          <w:color w:val="888888"/>
          <w:sz w:val="18"/>
          <w:szCs w:val="18"/>
        </w:rPr>
        <w:t xml:space="preserve">Reference: https://miro.com/templates/customer-problem-statement/</w:t>
      </w:r>
    </w:p>
    <w:p>
      <w:pPr>
        <w:pBdr>
          <w:bottom w:val="single" w:color="1A3C6E" w:sz="6" w:space="1"/>
        </w:pBdr>
        <w:spacing w:after="160" w:before="160"/>
      </w:pPr>
      <w:r>
        <w:rPr>
          <w:rFonts w:ascii="Arial" w:cs="Arial" w:eastAsia="Arial" w:hAnsi="Arial"/>
          <w:sz w:val="20"/>
          <w:szCs w:val="20"/>
        </w:rPr>
        <w:t xml:space="preserve"/>
      </w:r>
    </w:p>
    <w:p>
      <w:pPr>
        <w:spacing w:after="120" w:before="260"/>
      </w:pPr>
      <w:r>
        <w:rPr>
          <w:rFonts w:ascii="Arial" w:cs="Arial" w:eastAsia="Arial" w:hAnsi="Arial"/>
          <w:b/>
          <w:bCs/>
          <w:color w:val="E07B39"/>
          <w:sz w:val="24"/>
          <w:szCs w:val="24"/>
        </w:rPr>
        <w:t xml:space="preserve">TEMPLATE EXAMPLE</w:t>
      </w:r>
    </w:p>
    <w:p>
      <w:pPr>
        <w:spacing w:after="80" w:before="60"/>
      </w:pPr>
      <w:r>
        <w:rPr>
          <w:rFonts w:ascii="Arial" w:cs="Arial" w:eastAsia="Arial" w:hAnsi="Arial"/>
          <w:i w:val="false"/>
          <w:iCs w:val="false"/>
          <w:sz w:val="20"/>
          <w:szCs w:val="20"/>
        </w:rPr>
        <w:t xml:space="preserve">The PS framework uses the following structure to articulate customer challenges clearly:</w:t>
      </w:r>
    </w:p>
    <w:p>
      <w:pPr>
        <w:spacing w:after="40" w:before="60"/>
      </w:pPr>
      <w:r>
        <w:rPr>
          <w:rFonts w:ascii="Arial" w:cs="Arial" w:eastAsia="Arial" w:hAnsi="Arial"/>
          <w:sz w:val="20"/>
          <w:szCs w:val="20"/>
        </w:rPr>
        <w:t xml:space="preserve"/>
      </w:r>
    </w:p>
    <w:p>
      <w:pPr>
        <w:spacing w:after="80" w:before="80"/>
        <w:jc w:val="center"/>
      </w:pPr>
      <w:r>
        <w:drawing>
          <wp:inline distT="0" distB="0" distL="0" distR="0">
            <wp:extent cx="5334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104900"/>
                    </a:xfrm>
                    <a:prstGeom prst="rect">
                      <a:avLst/>
                    </a:prstGeom>
                  </pic:spPr>
                </pic:pic>
              </a:graphicData>
            </a:graphic>
          </wp:inline>
        </w:drawing>
      </w:r>
    </w:p>
    <w:p>
      <w:pPr>
        <w:spacing w:after="60" w:before="40"/>
      </w:pPr>
      <w:r>
        <w:rPr>
          <w:rFonts w:ascii="Arial" w:cs="Arial" w:eastAsia="Arial" w:hAnsi="Arial"/>
          <w:sz w:val="20"/>
          <w:szCs w:val="20"/>
        </w:rPr>
        <w:t xml:space="preserve"/>
      </w:r>
    </w:p>
    <w:p>
      <w:pPr>
        <w:spacing w:after="80" w:before="60"/>
      </w:pPr>
      <w:r>
        <w:rPr>
          <w:rFonts w:ascii="Arial" w:cs="Arial" w:eastAsia="Arial" w:hAnsi="Arial"/>
          <w:i/>
          <w:iCs/>
          <w:sz w:val="20"/>
          <w:szCs w:val="20"/>
        </w:rPr>
        <w:t xml:space="preserve">Each Problem Statement follows the format:  I am [customer] | I'm trying to [goal] | But [barrier] | Because [root cause] | Which makes me feel [emotion]</w:t>
      </w:r>
    </w:p>
    <w:p>
      <w:pPr>
        <w:pBdr>
          <w:bottom w:val="single" w:color="1A3C6E" w:sz="6" w:space="1"/>
        </w:pBdr>
        <w:spacing w:after="160" w:before="160"/>
      </w:pPr>
      <w:r>
        <w:rPr>
          <w:rFonts w:ascii="Arial" w:cs="Arial" w:eastAsia="Arial" w:hAnsi="Arial"/>
          <w:sz w:val="20"/>
          <w:szCs w:val="20"/>
        </w:rPr>
        <w:t xml:space="preserve"/>
      </w:r>
    </w:p>
    <w:p>
      <w:pPr>
        <w:spacing w:after="120" w:before="260"/>
      </w:pPr>
      <w:r>
        <w:rPr>
          <w:rFonts w:ascii="Arial" w:cs="Arial" w:eastAsia="Arial" w:hAnsi="Arial"/>
          <w:b/>
          <w:bCs/>
          <w:color w:val="E07B39"/>
          <w:sz w:val="24"/>
          <w:szCs w:val="24"/>
        </w:rPr>
        <w:t xml:space="preserve">TEAM OWNERSHIP — PROBLEM STATEMENT ASSIGNMENTS</w:t>
      </w:r>
    </w:p>
    <w:p>
      <w:pPr>
        <w:spacing w:after="80" w:before="60"/>
      </w:pPr>
      <w:r>
        <w:rPr>
          <w:rFonts w:ascii="Arial" w:cs="Arial" w:eastAsia="Arial" w:hAnsi="Arial"/>
          <w:i w:val="false"/>
          <w:iCs w:val="false"/>
          <w:sz w:val="20"/>
          <w:szCs w:val="20"/>
        </w:rPr>
        <w:t xml:space="preserve">Each team member is responsible for owning, researching, and developing a specific problem statement aligned to their domain expertise.</w:t>
      </w:r>
    </w:p>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Team Member</w:t>
            </w:r>
          </w:p>
        </w:tc>
        <w:tc>
          <w:tcPr>
            <w:tcW w:type="dxa" w:w="234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Role</w:t>
            </w:r>
          </w:p>
        </w:tc>
        <w:tc>
          <w:tcPr>
            <w:tcW w:type="dxa" w:w="234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Owns PS</w:t>
            </w:r>
          </w:p>
        </w:tc>
        <w:tc>
          <w:tcPr>
            <w:tcW w:type="dxa" w:w="234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Focus Area</w:t>
            </w:r>
          </w:p>
        </w:tc>
      </w:tr>
      <w:tr>
        <w:tc>
          <w:tcPr>
            <w:tcW w:type="dxa" w:w="234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left"/>
            </w:pPr>
            <w:r>
              <w:rPr>
                <w:rFonts w:ascii="Arial" w:cs="Arial" w:eastAsia="Arial" w:hAnsi="Arial"/>
                <w:b/>
                <w:bCs/>
                <w:color w:val="1A3C6E"/>
                <w:sz w:val="19"/>
                <w:szCs w:val="19"/>
              </w:rPr>
              <w:t xml:space="preserve">MANISHA</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Team Lead</w:t>
            </w:r>
          </w:p>
        </w:tc>
        <w:tc>
          <w:tcPr>
            <w:tcW w:type="dxa" w:w="234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PS-3</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Safety-Conscious Parent — safety feature accessibility</w:t>
            </w:r>
          </w:p>
        </w:tc>
      </w:tr>
      <w:tr>
        <w:tc>
          <w:tcPr>
            <w:tcW w:type="dxa" w:w="234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left"/>
            </w:pPr>
            <w:r>
              <w:rPr>
                <w:rFonts w:ascii="Arial" w:cs="Arial" w:eastAsia="Arial" w:hAnsi="Arial"/>
                <w:b/>
                <w:bCs/>
                <w:color w:val="1A3C6E"/>
                <w:sz w:val="19"/>
                <w:szCs w:val="19"/>
              </w:rPr>
              <w:t xml:space="preserve">RAJKUMAR</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Innovation Analyst</w:t>
            </w:r>
          </w:p>
        </w:tc>
        <w:tc>
          <w:tcPr>
            <w:tcW w:type="dxa" w:w="234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PS-1</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Urban Commuter — EV range &amp; charging pain points</w:t>
            </w:r>
          </w:p>
        </w:tc>
      </w:tr>
      <w:tr>
        <w:tc>
          <w:tcPr>
            <w:tcW w:type="dxa" w:w="234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left"/>
            </w:pPr>
            <w:r>
              <w:rPr>
                <w:rFonts w:ascii="Arial" w:cs="Arial" w:eastAsia="Arial" w:hAnsi="Arial"/>
                <w:b/>
                <w:bCs/>
                <w:color w:val="1A3C6E"/>
                <w:sz w:val="19"/>
                <w:szCs w:val="19"/>
              </w:rPr>
              <w:t xml:space="preserve">TAMIZHKUMARAN</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Product Strategist</w:t>
            </w:r>
          </w:p>
        </w:tc>
        <w:tc>
          <w:tcPr>
            <w:tcW w:type="dxa" w:w="234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PS-2 &amp; PS-5</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Fleet sustainability &amp; eco-transparency</w:t>
            </w:r>
          </w:p>
        </w:tc>
      </w:tr>
      <w:tr>
        <w:tc>
          <w:tcPr>
            <w:tcW w:type="dxa" w:w="234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left"/>
            </w:pPr>
            <w:r>
              <w:rPr>
                <w:rFonts w:ascii="Arial" w:cs="Arial" w:eastAsia="Arial" w:hAnsi="Arial"/>
                <w:b/>
                <w:bCs/>
                <w:color w:val="1A3C6E"/>
                <w:sz w:val="19"/>
                <w:szCs w:val="19"/>
              </w:rPr>
              <w:t xml:space="preserve">VINITH</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UX &amp; Design Lead</w:t>
            </w:r>
          </w:p>
        </w:tc>
        <w:tc>
          <w:tcPr>
            <w:tcW w:type="dxa" w:w="234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PS-4</w:t>
            </w:r>
          </w:p>
        </w:tc>
        <w:tc>
          <w:tcPr>
            <w:tcW w:type="dxa" w:w="23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Connected digital lifestyle experience</w:t>
            </w:r>
          </w:p>
        </w:tc>
      </w:tr>
    </w:tbl>
    <w:p>
      <w:pPr>
        <w:spacing w:after="80" w:before="40"/>
      </w:pPr>
      <w:r>
        <w:rPr>
          <w:rFonts w:ascii="Arial" w:cs="Arial" w:eastAsia="Arial" w:hAnsi="Arial"/>
          <w:sz w:val="20"/>
          <w:szCs w:val="20"/>
        </w:rPr>
        <w:t xml:space="preserve"/>
      </w:r>
    </w:p>
    <w:p>
      <w:pPr>
        <w:pBdr>
          <w:bottom w:val="single" w:color="1A3C6E" w:sz="6" w:space="1"/>
        </w:pBdr>
        <w:spacing w:after="160" w:before="160"/>
      </w:pPr>
      <w:r>
        <w:rPr>
          <w:rFonts w:ascii="Arial" w:cs="Arial" w:eastAsia="Arial" w:hAnsi="Arial"/>
          <w:sz w:val="20"/>
          <w:szCs w:val="20"/>
        </w:rPr>
        <w:t xml:space="preserve"/>
      </w:r>
    </w:p>
    <w:p>
      <w:pPr>
        <w:spacing w:after="120" w:before="260"/>
      </w:pPr>
      <w:r>
        <w:rPr>
          <w:rFonts w:ascii="Arial" w:cs="Arial" w:eastAsia="Arial" w:hAnsi="Arial"/>
          <w:b/>
          <w:bCs/>
          <w:color w:val="E07B39"/>
          <w:sz w:val="24"/>
          <w:szCs w:val="24"/>
        </w:rPr>
        <w:t xml:space="preserve">CUSTOMER PROBLEM STATEMENTS — WhatNext Vision Motors</w:t>
      </w:r>
    </w:p>
    <w:p>
      <w:pPr>
        <w:spacing w:after="80" w:before="60"/>
      </w:pPr>
      <w:r>
        <w:rPr>
          <w:rFonts w:ascii="Arial" w:cs="Arial" w:eastAsia="Arial" w:hAnsi="Arial"/>
          <w:i w:val="false"/>
          <w:iCs w:val="false"/>
          <w:sz w:val="20"/>
          <w:szCs w:val="20"/>
        </w:rPr>
        <w:t xml:space="preserve">The following five problem statements were developed through customer empathy research, competitive analysis, and team collaboration. They represent the core pain points WhatNext Vision Motors will address.</w:t>
      </w:r>
    </w:p>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60"/>
        <w:gridCol w:w="1900"/>
        <w:gridCol w:w="1500"/>
        <w:gridCol w:w="1800"/>
        <w:gridCol w:w="1800"/>
      </w:tblGrid>
      <w:tr>
        <w:trPr>
          <w:tblHeader/>
        </w:trPr>
        <w:tc>
          <w:tcPr>
            <w:tcW w:type="dxa" w:w="8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Problem Statement</w:t>
            </w:r>
          </w:p>
        </w:tc>
        <w:tc>
          <w:tcPr>
            <w:tcW w:type="dxa" w:w="156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 am (Customer)</w:t>
            </w:r>
          </w:p>
        </w:tc>
        <w:tc>
          <w:tcPr>
            <w:tcW w:type="dxa" w:w="19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I'm Trying To</w:t>
            </w:r>
          </w:p>
        </w:tc>
        <w:tc>
          <w:tcPr>
            <w:tcW w:type="dxa" w:w="15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But</w:t>
            </w:r>
          </w:p>
        </w:tc>
        <w:tc>
          <w:tcPr>
            <w:tcW w:type="dxa" w:w="18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Because</w:t>
            </w:r>
          </w:p>
        </w:tc>
        <w:tc>
          <w:tcPr>
            <w:tcW w:type="dxa" w:w="18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Which Makes Me Feel</w:t>
            </w:r>
          </w:p>
        </w:tc>
      </w:tr>
      <w:tr>
        <w:tc>
          <w:tcPr>
            <w:tcW w:type="dxa" w:w="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PS-1</w:t>
            </w:r>
          </w:p>
        </w:tc>
        <w:tc>
          <w:tcPr>
            <w:tcW w:type="dxa" w:w="156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Urban Commuter (age 25–40) relying on daily city travel</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Find a reliable, fast, eco-friendly way to commute without high fuel costs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Current EVs have limited range, long charging times, and poor charging infrastructure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EV technology has not yet achieved the balance of range, speed, and affordability for mass adoption</w:t>
            </w:r>
          </w:p>
        </w:tc>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Frustrated, anxious about range, and hesitant to switch from conventional vehicles</w:t>
            </w:r>
          </w:p>
        </w:tc>
      </w:tr>
      <w:tr>
        <w:tc>
          <w:tcPr>
            <w:tcW w:type="dxa" w:w="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PS-2</w:t>
            </w:r>
          </w:p>
        </w:tc>
        <w:tc>
          <w:tcPr>
            <w:tcW w:type="dxa" w:w="1560"/>
            <w:tcBorders>
              <w:top w:val="single" w:color="CCCCCC" w:sz="1"/>
              <w:left w:val="single" w:color="CCCCCC" w:sz="1"/>
              <w:bottom w:val="single" w:color="CCCCCC" w:sz="1"/>
              <w:right w:val="single" w:color="CCCCCC" w:sz="1"/>
            </w:tcBorders>
            <w:shd w:fill="FEF9E7"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Fleet Manager at a logistics company managing 50+ vehicles</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Reduce operational costs and carbon footprint across the vehicle fleet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Lack of real-time fleet data, predictive maintenance tools, and EV integration makes management complex</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Existing fleet software does not integrate seamlessly with next-gen electric and connected vehicles</w:t>
            </w:r>
          </w:p>
        </w:tc>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Overwhelmed by inefficiencies, worried about rising costs and compliance with sustainability targets</w:t>
            </w:r>
          </w:p>
        </w:tc>
      </w:tr>
      <w:tr>
        <w:tc>
          <w:tcPr>
            <w:tcW w:type="dxa" w:w="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PS-3</w:t>
            </w:r>
          </w:p>
        </w:tc>
        <w:tc>
          <w:tcPr>
            <w:tcW w:type="dxa" w:w="1560"/>
            <w:tcBorders>
              <w:top w:val="single" w:color="CCCCCC" w:sz="1"/>
              <w:left w:val="single" w:color="CCCCCC" w:sz="1"/>
              <w:bottom w:val="single" w:color="CCCCCC" w:sz="1"/>
              <w:right w:val="single" w:color="CCCCCC" w:sz="1"/>
            </w:tcBorders>
            <w:shd w:fill="D5F5E3"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Safety-Conscious Parent (age 30–50) buying a family vehicle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Purchase a vehicle that guarantees maximum safety and intelligent driver-assist features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Advanced safety systems (collision avoidance, fatigue detection) are either unavailable or too expensive in current market offerings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Premium safety features are bundled only in luxury tiers, making them inaccessible to mid-range buyers</w:t>
            </w:r>
          </w:p>
        </w:tc>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Concerned and underserved — forced to compromise family safety due to cost barriers</w:t>
            </w:r>
          </w:p>
        </w:tc>
      </w:tr>
      <w:tr>
        <w:tc>
          <w:tcPr>
            <w:tcW w:type="dxa" w:w="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PS-4</w:t>
            </w:r>
          </w:p>
        </w:tc>
        <w:tc>
          <w:tcPr>
            <w:tcW w:type="dxa" w:w="1560"/>
            <w:tcBorders>
              <w:top w:val="single" w:color="CCCCCC" w:sz="1"/>
              <w:left w:val="single" w:color="CCCCCC" w:sz="1"/>
              <w:bottom w:val="single" w:color="CCCCCC" w:sz="1"/>
              <w:right w:val="single" w:color="CCCCCC" w:sz="1"/>
            </w:tcBorders>
            <w:shd w:fill="F4ECF7"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Tech-savvy Young Professional (age 22–35) seeking a connected lifestyle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Own a vehicle that integrates seamlessly with their digital life — apps, AI, smart city services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Most vehicles offer outdated infotainment and lack real personalization through AI or OTA updates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Automotive software refresh cycles are too slow compared to consumer tech expectations</w:t>
            </w:r>
          </w:p>
        </w:tc>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Disappointed by the digital gap between their smartphone experience and their car</w:t>
            </w:r>
          </w:p>
        </w:tc>
      </w:tr>
      <w:tr>
        <w:tc>
          <w:tcPr>
            <w:tcW w:type="dxa" w:w="8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PS-5</w:t>
            </w:r>
          </w:p>
        </w:tc>
        <w:tc>
          <w:tcPr>
            <w:tcW w:type="dxa" w:w="1560"/>
            <w:tcBorders>
              <w:top w:val="single" w:color="CCCCCC" w:sz="1"/>
              <w:left w:val="single" w:color="CCCCCC" w:sz="1"/>
              <w:bottom w:val="single" w:color="CCCCCC" w:sz="1"/>
              <w:right w:val="single" w:color="CCCCCC" w:sz="1"/>
            </w:tcBorders>
            <w:shd w:fill="FDEDEC"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Environmentally Conscious Buyer who prioritises sustainability</w:t>
            </w:r>
          </w:p>
        </w:tc>
        <w:tc>
          <w:tcPr>
            <w:tcW w:type="dxa" w:w="1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Choose a vehicle manufactured and operated with the smallest possible environmental footprint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Transparent lifecycle sustainability data (materials, manufacturing, carbon offset) is rarely available from automakers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The automotive industry lacks standardised green reporting frameworks and consumer-facing sustainability dashboards</w:t>
            </w:r>
          </w:p>
        </w:tc>
        <w:tc>
          <w:tcPr>
            <w:tcW w:type="dxa" w:w="1800"/>
            <w:tcBorders>
              <w:top w:val="single" w:color="CCCCCC" w:sz="1"/>
              <w:left w:val="single" w:color="CCCCCC" w:sz="1"/>
              <w:bottom w:val="single" w:color="CCCCCC" w:sz="1"/>
              <w:right w:val="single" w:color="CCCCCC" w:sz="1"/>
            </w:tcBorders>
            <w:shd w:fill="F5F7FA"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Sceptical and unable to make truly informed eco-conscious purchasing decisions</w:t>
            </w:r>
          </w:p>
        </w:tc>
      </w:tr>
    </w:tbl>
    <w:p>
      <w:pPr>
        <w:spacing w:after="80" w:before="40"/>
      </w:pPr>
      <w:r>
        <w:rPr>
          <w:rFonts w:ascii="Arial" w:cs="Arial" w:eastAsia="Arial" w:hAnsi="Arial"/>
          <w:sz w:val="20"/>
          <w:szCs w:val="20"/>
        </w:rPr>
        <w:t xml:space="preserve"/>
      </w:r>
    </w:p>
    <w:p>
      <w:pPr>
        <w:pBdr>
          <w:bottom w:val="single" w:color="1A3C6E" w:sz="6" w:space="1"/>
        </w:pBdr>
        <w:spacing w:after="160" w:before="160"/>
      </w:pPr>
      <w:r>
        <w:rPr>
          <w:rFonts w:ascii="Arial" w:cs="Arial" w:eastAsia="Arial" w:hAnsi="Arial"/>
          <w:sz w:val="20"/>
          <w:szCs w:val="20"/>
        </w:rPr>
        <w:t xml:space="preserve"/>
      </w:r>
    </w:p>
    <w:p>
      <w:pPr>
        <w:spacing w:after="120" w:before="260"/>
      </w:pPr>
      <w:r>
        <w:rPr>
          <w:rFonts w:ascii="Arial" w:cs="Arial" w:eastAsia="Arial" w:hAnsi="Arial"/>
          <w:b/>
          <w:bCs/>
          <w:color w:val="E07B39"/>
          <w:sz w:val="24"/>
          <w:szCs w:val="24"/>
        </w:rPr>
        <w:t xml:space="preserve">HOW MIGHT WE (HMW) — REFRAMING PROBLEMS AS OPPORTUNITIES</w:t>
      </w:r>
    </w:p>
    <w:p>
      <w:pPr>
        <w:spacing w:after="80" w:before="60"/>
      </w:pPr>
      <w:r>
        <w:rPr>
          <w:rFonts w:ascii="Arial" w:cs="Arial" w:eastAsia="Arial" w:hAnsi="Arial"/>
          <w:i w:val="false"/>
          <w:iCs w:val="false"/>
          <w:sz w:val="20"/>
          <w:szCs w:val="20"/>
        </w:rPr>
        <w:t xml:space="preserve">Each problem statement is transformed into a 'How Might We' question — a powerful reframing technique that converts customer pain points into actionable design and innovation challenges for the team.</w:t>
      </w:r>
    </w:p>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60"/>
        <w:gridCol w:w="1500"/>
      </w:tblGrid>
      <w:tr>
        <w:trPr>
          <w:tblHeader/>
        </w:trPr>
        <w:tc>
          <w:tcPr>
            <w:tcW w:type="dxa" w:w="7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PS</w:t>
            </w:r>
          </w:p>
        </w:tc>
        <w:tc>
          <w:tcPr>
            <w:tcW w:type="dxa" w:w="716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How Might We (HMW) Statement</w:t>
            </w:r>
          </w:p>
        </w:tc>
        <w:tc>
          <w:tcPr>
            <w:tcW w:type="dxa" w:w="15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Owner</w:t>
            </w:r>
          </w:p>
        </w:tc>
      </w:tr>
      <w:tr>
        <w:tc>
          <w:tcPr>
            <w:tcW w:type="dxa" w:w="7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PS-1</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How might we design an AI-powered range management system that eliminates EV range anxiety for urban commuters?</w:t>
            </w:r>
          </w:p>
        </w:tc>
        <w:tc>
          <w:tcPr>
            <w:tcW w:type="dxa" w:w="150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RAJKUMAR</w:t>
            </w:r>
          </w:p>
        </w:tc>
      </w:tr>
      <w:tr>
        <w:tc>
          <w:tcPr>
            <w:tcW w:type="dxa" w:w="7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PS-2</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How might we build a unified fleet intelligence platform that gives fleet managers real-time EV performance and predictive maintenance insights?</w:t>
            </w:r>
          </w:p>
        </w:tc>
        <w:tc>
          <w:tcPr>
            <w:tcW w:type="dxa" w:w="150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TAMIZHKUMARAN</w:t>
            </w:r>
          </w:p>
        </w:tc>
      </w:tr>
      <w:tr>
        <w:tc>
          <w:tcPr>
            <w:tcW w:type="dxa" w:w="7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PS-3</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How might we democratise advanced safety technologies so that every WhatNext Vision Motors vehicle—regardless of price tier—includes predictive collision avoidance?</w:t>
            </w:r>
          </w:p>
        </w:tc>
        <w:tc>
          <w:tcPr>
            <w:tcW w:type="dxa" w:w="150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MANISHA</w:t>
            </w:r>
          </w:p>
        </w:tc>
      </w:tr>
      <w:tr>
        <w:tc>
          <w:tcPr>
            <w:tcW w:type="dxa" w:w="7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PS-4</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How might we create a seamlessly personalised in-vehicle AI co-pilot that evolves with the driver's digital lifestyle over time?</w:t>
            </w:r>
          </w:p>
        </w:tc>
        <w:tc>
          <w:tcPr>
            <w:tcW w:type="dxa" w:w="150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VINITH</w:t>
            </w:r>
          </w:p>
        </w:tc>
      </w:tr>
      <w:tr>
        <w:tc>
          <w:tcPr>
            <w:tcW w:type="dxa" w:w="7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PS-5</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How might we provide buyers with a real-time, transparent carbon-footprint dashboard that tracks the full sustainability lifecycle of their vehicle?</w:t>
            </w:r>
          </w:p>
        </w:tc>
        <w:tc>
          <w:tcPr>
            <w:tcW w:type="dxa" w:w="150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TAMIZHKUMARAN</w:t>
            </w:r>
          </w:p>
        </w:tc>
      </w:tr>
    </w:tbl>
    <w:p>
      <w:pPr>
        <w:spacing w:after="80" w:before="40"/>
      </w:pPr>
      <w:r>
        <w:rPr>
          <w:rFonts w:ascii="Arial" w:cs="Arial" w:eastAsia="Arial" w:hAnsi="Arial"/>
          <w:sz w:val="20"/>
          <w:szCs w:val="20"/>
        </w:rPr>
        <w:t xml:space="preserve"/>
      </w:r>
    </w:p>
    <w:p>
      <w:pPr>
        <w:pBdr>
          <w:bottom w:val="single" w:color="1A3C6E" w:sz="6" w:space="1"/>
        </w:pBdr>
        <w:spacing w:after="160" w:before="160"/>
      </w:pPr>
      <w:r>
        <w:rPr>
          <w:rFonts w:ascii="Arial" w:cs="Arial" w:eastAsia="Arial" w:hAnsi="Arial"/>
          <w:sz w:val="20"/>
          <w:szCs w:val="20"/>
        </w:rPr>
        <w:t xml:space="preserve"/>
      </w:r>
    </w:p>
    <w:p>
      <w:pPr>
        <w:spacing w:after="120" w:before="260"/>
      </w:pPr>
      <w:r>
        <w:rPr>
          <w:rFonts w:ascii="Arial" w:cs="Arial" w:eastAsia="Arial" w:hAnsi="Arial"/>
          <w:b/>
          <w:bCs/>
          <w:color w:val="E07B39"/>
          <w:sz w:val="24"/>
          <w:szCs w:val="24"/>
        </w:rPr>
        <w:t xml:space="preserve">PROBLEM STATEMENT PRIORITIZATION MATRIX</w:t>
      </w:r>
    </w:p>
    <w:p>
      <w:pPr>
        <w:spacing w:after="80" w:before="60"/>
      </w:pPr>
      <w:r>
        <w:rPr>
          <w:rFonts w:ascii="Arial" w:cs="Arial" w:eastAsia="Arial" w:hAnsi="Arial"/>
          <w:i w:val="false"/>
          <w:iCs w:val="false"/>
          <w:sz w:val="20"/>
          <w:szCs w:val="20"/>
        </w:rPr>
        <w:t xml:space="preserve">Each problem statement is scored on three dimensions to determine development priority. Urgency reflects how immediately this affects customers; Impact reflects the magnitude of value created by solving it; Feasibility reflects how achievable a solution is with the current team and technology stack.</w:t>
      </w:r>
    </w:p>
    <w:p>
      <w:pPr>
        <w:spacing w:after="40" w:before="60"/>
      </w:pPr>
      <w:r>
        <w:rPr>
          <w:rFonts w:ascii="Arial" w:cs="Arial" w:eastAsia="Arial" w:hAnsi="Arial"/>
          <w:sz w:val="20"/>
          <w:szCs w:val="20"/>
        </w:rPr>
        <w:t xml:space="preserve"/>
      </w:r>
    </w:p>
    <w:p>
      <w:pPr>
        <w:spacing w:after="60" w:before="40"/>
      </w:pPr>
      <w:r>
        <w:rPr>
          <w:rFonts w:ascii="Arial" w:cs="Arial" w:eastAsia="Arial" w:hAnsi="Arial"/>
          <w:b/>
          <w:bCs/>
          <w:color w:val="1A3C6E"/>
          <w:sz w:val="19"/>
          <w:szCs w:val="19"/>
        </w:rPr>
        <w:t xml:space="preserve">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F5E3" w:val="clear"/>
            <w:tcMar>
              <w:top w:type="dxa" w:w="90"/>
              <w:left w:type="dxa" w:w="130"/>
              <w:bottom w:type="dxa" w:w="90"/>
              <w:right w:type="dxa" w:w="130"/>
            </w:tcMar>
            <w:vAlign w:val="center"/>
          </w:tcPr>
          <w:p>
            <w:pPr>
              <w:jc w:val="center"/>
            </w:pPr>
            <w:r>
              <w:rPr>
                <w:rFonts w:ascii="Arial" w:cs="Arial" w:eastAsia="Arial" w:hAnsi="Arial"/>
                <w:b/>
                <w:bCs/>
                <w:color w:val="1E8449"/>
                <w:sz w:val="19"/>
                <w:szCs w:val="19"/>
              </w:rPr>
              <w:t xml:space="preserve">CRITICAL  (Score 13–15)</w:t>
            </w:r>
          </w:p>
        </w:tc>
        <w:tc>
          <w:tcPr>
            <w:tcW w:type="dxa" w:w="2340"/>
            <w:tcBorders>
              <w:top w:val="single" w:color="CCCCCC" w:sz="1"/>
              <w:left w:val="single" w:color="CCCCCC" w:sz="1"/>
              <w:bottom w:val="single" w:color="CCCCCC" w:sz="1"/>
              <w:right w:val="single" w:color="CCCCCC" w:sz="1"/>
            </w:tcBorders>
            <w:shd w:fill="FEF9E7" w:val="clear"/>
            <w:tcMar>
              <w:top w:type="dxa" w:w="90"/>
              <w:left w:type="dxa" w:w="130"/>
              <w:bottom w:type="dxa" w:w="90"/>
              <w:right w:type="dxa" w:w="130"/>
            </w:tcMar>
            <w:vAlign w:val="center"/>
          </w:tcPr>
          <w:p>
            <w:pPr>
              <w:jc w:val="center"/>
            </w:pPr>
            <w:r>
              <w:rPr>
                <w:rFonts w:ascii="Arial" w:cs="Arial" w:eastAsia="Arial" w:hAnsi="Arial"/>
                <w:b/>
                <w:bCs/>
                <w:color w:val="B7950B"/>
                <w:sz w:val="19"/>
                <w:szCs w:val="19"/>
              </w:rPr>
              <w:t xml:space="preserve">HIGH  (Score 11–12)</w:t>
            </w:r>
          </w:p>
        </w:tc>
        <w:tc>
          <w:tcPr>
            <w:tcW w:type="dxa" w:w="2340"/>
            <w:tcBorders>
              <w:top w:val="single" w:color="CCCCCC" w:sz="1"/>
              <w:left w:val="single" w:color="CCCCCC" w:sz="1"/>
              <w:bottom w:val="single" w:color="CCCCCC" w:sz="1"/>
              <w:right w:val="single" w:color="CCCCCC" w:sz="1"/>
            </w:tcBorders>
            <w:shd w:fill="D6EAF8" w:val="clear"/>
            <w:tcMar>
              <w:top w:type="dxa" w:w="90"/>
              <w:left w:type="dxa" w:w="130"/>
              <w:bottom w:type="dxa" w:w="90"/>
              <w:right w:type="dxa" w:w="130"/>
            </w:tcMar>
            <w:vAlign w:val="center"/>
          </w:tcPr>
          <w:p>
            <w:pPr>
              <w:jc w:val="center"/>
            </w:pPr>
            <w:r>
              <w:rPr>
                <w:rFonts w:ascii="Arial" w:cs="Arial" w:eastAsia="Arial" w:hAnsi="Arial"/>
                <w:b/>
                <w:bCs/>
                <w:color w:val="1A5276"/>
                <w:sz w:val="19"/>
                <w:szCs w:val="19"/>
              </w:rPr>
              <w:t xml:space="preserve">MEDIUM  (Score 8–10)</w:t>
            </w:r>
          </w:p>
        </w:tc>
        <w:tc>
          <w:tcPr>
            <w:tcW w:type="dxa" w:w="2340"/>
            <w:tcBorders>
              <w:top w:val="single" w:color="CCCCCC" w:sz="1"/>
              <w:left w:val="single" w:color="CCCCCC" w:sz="1"/>
              <w:bottom w:val="single" w:color="CCCCCC" w:sz="1"/>
              <w:right w:val="single" w:color="CCCCCC" w:sz="1"/>
            </w:tcBorders>
            <w:shd w:fill="FDEDEC" w:val="clear"/>
            <w:tcMar>
              <w:top w:type="dxa" w:w="90"/>
              <w:left w:type="dxa" w:w="130"/>
              <w:bottom w:type="dxa" w:w="90"/>
              <w:right w:type="dxa" w:w="130"/>
            </w:tcMar>
            <w:vAlign w:val="center"/>
          </w:tcPr>
          <w:p>
            <w:pPr>
              <w:jc w:val="center"/>
            </w:pPr>
            <w:r>
              <w:rPr>
                <w:rFonts w:ascii="Arial" w:cs="Arial" w:eastAsia="Arial" w:hAnsi="Arial"/>
                <w:b/>
                <w:bCs/>
                <w:color w:val="C0392B"/>
                <w:sz w:val="19"/>
                <w:szCs w:val="19"/>
              </w:rPr>
              <w:t xml:space="preserve">LOW  (Score &lt; 8)</w:t>
            </w:r>
          </w:p>
        </w:tc>
      </w:tr>
    </w:tbl>
    <w:p>
      <w:pPr>
        <w:spacing w:after="4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60"/>
        <w:gridCol w:w="1200"/>
        <w:gridCol w:w="1200"/>
        <w:gridCol w:w="1200"/>
        <w:gridCol w:w="900"/>
        <w:gridCol w:w="1100"/>
        <w:gridCol w:w="1400"/>
      </w:tblGrid>
      <w:tr>
        <w:trPr>
          <w:tblHeader/>
        </w:trPr>
        <w:tc>
          <w:tcPr>
            <w:tcW w:type="dxa" w:w="6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PS</w:t>
            </w:r>
          </w:p>
        </w:tc>
        <w:tc>
          <w:tcPr>
            <w:tcW w:type="dxa" w:w="176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Customer Segment</w:t>
            </w:r>
          </w:p>
        </w:tc>
        <w:tc>
          <w:tcPr>
            <w:tcW w:type="dxa" w:w="12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Urgency (1-5)</w:t>
            </w:r>
          </w:p>
        </w:tc>
        <w:tc>
          <w:tcPr>
            <w:tcW w:type="dxa" w:w="12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Impact (1-5)</w:t>
            </w:r>
          </w:p>
        </w:tc>
        <w:tc>
          <w:tcPr>
            <w:tcW w:type="dxa" w:w="12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Feasibility (1-5)</w:t>
            </w:r>
          </w:p>
        </w:tc>
        <w:tc>
          <w:tcPr>
            <w:tcW w:type="dxa" w:w="9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Total Score</w:t>
            </w:r>
          </w:p>
        </w:tc>
        <w:tc>
          <w:tcPr>
            <w:tcW w:type="dxa" w:w="11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Priority</w:t>
            </w:r>
          </w:p>
        </w:tc>
        <w:tc>
          <w:tcPr>
            <w:tcW w:type="dxa" w:w="1400"/>
            <w:tcBorders>
              <w:top w:val="single" w:color="FFFFFF" w:sz="2"/>
              <w:left w:val="single" w:color="FFFFFF" w:sz="2"/>
              <w:bottom w:val="single" w:color="FFFFFF" w:sz="2"/>
              <w:right w:val="single" w:color="FFFFFF" w:sz="2"/>
            </w:tcBorders>
            <w:shd w:fill="1A3C6E"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Owner</w:t>
            </w:r>
          </w:p>
        </w:tc>
      </w:tr>
      <w:tr>
        <w:tc>
          <w:tcPr>
            <w:tcW w:type="dxa" w:w="6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PS-1</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Urban Commuter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4</w:t>
            </w:r>
          </w:p>
        </w:tc>
        <w:tc>
          <w:tcPr>
            <w:tcW w:type="dxa" w:w="9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14</w:t>
            </w:r>
          </w:p>
        </w:tc>
        <w:tc>
          <w:tcPr>
            <w:tcW w:type="dxa" w:w="1100"/>
            <w:tcBorders>
              <w:top w:val="single" w:color="CCCCCC" w:sz="1"/>
              <w:left w:val="single" w:color="CCCCCC" w:sz="1"/>
              <w:bottom w:val="single" w:color="CCCCCC" w:sz="1"/>
              <w:right w:val="single" w:color="CCCCCC" w:sz="1"/>
            </w:tcBorders>
            <w:shd w:fill="D5F5E3" w:val="clear"/>
            <w:tcMar>
              <w:top w:type="dxa" w:w="90"/>
              <w:left w:type="dxa" w:w="130"/>
              <w:bottom w:type="dxa" w:w="90"/>
              <w:right w:type="dxa" w:w="130"/>
            </w:tcMar>
            <w:vAlign w:val="center"/>
          </w:tcPr>
          <w:p>
            <w:pPr>
              <w:jc w:val="center"/>
            </w:pPr>
            <w:r>
              <w:rPr>
                <w:rFonts w:ascii="Arial" w:cs="Arial" w:eastAsia="Arial" w:hAnsi="Arial"/>
                <w:b/>
                <w:bCs/>
                <w:color w:val="1E8449"/>
                <w:sz w:val="19"/>
                <w:szCs w:val="19"/>
              </w:rPr>
              <w:t xml:space="preserve">CRITICAL</w:t>
            </w:r>
          </w:p>
        </w:tc>
        <w:tc>
          <w:tcPr>
            <w:tcW w:type="dxa" w:w="140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RAJKUMAR</w:t>
            </w:r>
          </w:p>
        </w:tc>
      </w:tr>
      <w:tr>
        <w:tc>
          <w:tcPr>
            <w:tcW w:type="dxa" w:w="6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PS-3</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Safety-Conscious Parent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4</w:t>
            </w:r>
          </w:p>
        </w:tc>
        <w:tc>
          <w:tcPr>
            <w:tcW w:type="dxa" w:w="9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14</w:t>
            </w:r>
          </w:p>
        </w:tc>
        <w:tc>
          <w:tcPr>
            <w:tcW w:type="dxa" w:w="1100"/>
            <w:tcBorders>
              <w:top w:val="single" w:color="CCCCCC" w:sz="1"/>
              <w:left w:val="single" w:color="CCCCCC" w:sz="1"/>
              <w:bottom w:val="single" w:color="CCCCCC" w:sz="1"/>
              <w:right w:val="single" w:color="CCCCCC" w:sz="1"/>
            </w:tcBorders>
            <w:shd w:fill="D5F5E3" w:val="clear"/>
            <w:tcMar>
              <w:top w:type="dxa" w:w="90"/>
              <w:left w:type="dxa" w:w="130"/>
              <w:bottom w:type="dxa" w:w="90"/>
              <w:right w:type="dxa" w:w="130"/>
            </w:tcMar>
            <w:vAlign w:val="center"/>
          </w:tcPr>
          <w:p>
            <w:pPr>
              <w:jc w:val="center"/>
            </w:pPr>
            <w:r>
              <w:rPr>
                <w:rFonts w:ascii="Arial" w:cs="Arial" w:eastAsia="Arial" w:hAnsi="Arial"/>
                <w:b/>
                <w:bCs/>
                <w:color w:val="1E8449"/>
                <w:sz w:val="19"/>
                <w:szCs w:val="19"/>
              </w:rPr>
              <w:t xml:space="preserve">CRITICAL</w:t>
            </w:r>
          </w:p>
        </w:tc>
        <w:tc>
          <w:tcPr>
            <w:tcW w:type="dxa" w:w="140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MANISHA</w:t>
            </w:r>
          </w:p>
        </w:tc>
      </w:tr>
      <w:tr>
        <w:tc>
          <w:tcPr>
            <w:tcW w:type="dxa" w:w="6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PS-2</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Fleet Manager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4</w:t>
            </w:r>
          </w:p>
        </w:tc>
        <w:tc>
          <w:tcPr>
            <w:tcW w:type="dxa" w:w="9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13</w:t>
            </w:r>
          </w:p>
        </w:tc>
        <w:tc>
          <w:tcPr>
            <w:tcW w:type="dxa" w:w="1100"/>
            <w:tcBorders>
              <w:top w:val="single" w:color="CCCCCC" w:sz="1"/>
              <w:left w:val="single" w:color="CCCCCC" w:sz="1"/>
              <w:bottom w:val="single" w:color="CCCCCC" w:sz="1"/>
              <w:right w:val="single" w:color="CCCCCC" w:sz="1"/>
            </w:tcBorders>
            <w:shd w:fill="D5F5E3" w:val="clear"/>
            <w:tcMar>
              <w:top w:type="dxa" w:w="90"/>
              <w:left w:type="dxa" w:w="130"/>
              <w:bottom w:type="dxa" w:w="90"/>
              <w:right w:type="dxa" w:w="130"/>
            </w:tcMar>
            <w:vAlign w:val="center"/>
          </w:tcPr>
          <w:p>
            <w:pPr>
              <w:jc w:val="center"/>
            </w:pPr>
            <w:r>
              <w:rPr>
                <w:rFonts w:ascii="Arial" w:cs="Arial" w:eastAsia="Arial" w:hAnsi="Arial"/>
                <w:b/>
                <w:bCs/>
                <w:color w:val="1E8449"/>
                <w:sz w:val="19"/>
                <w:szCs w:val="19"/>
              </w:rPr>
              <w:t xml:space="preserve">CRITICAL</w:t>
            </w:r>
          </w:p>
        </w:tc>
        <w:tc>
          <w:tcPr>
            <w:tcW w:type="dxa" w:w="140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TAMIZHKUMARAN</w:t>
            </w:r>
          </w:p>
        </w:tc>
      </w:tr>
      <w:tr>
        <w:tc>
          <w:tcPr>
            <w:tcW w:type="dxa" w:w="6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PS-4</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Tech-Savvy Professional</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4</w:t>
            </w:r>
          </w:p>
        </w:tc>
        <w:tc>
          <w:tcPr>
            <w:tcW w:type="dxa" w:w="9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12</w:t>
            </w:r>
          </w:p>
        </w:tc>
        <w:tc>
          <w:tcPr>
            <w:tcW w:type="dxa" w:w="1100"/>
            <w:tcBorders>
              <w:top w:val="single" w:color="CCCCCC" w:sz="1"/>
              <w:left w:val="single" w:color="CCCCCC" w:sz="1"/>
              <w:bottom w:val="single" w:color="CCCCCC" w:sz="1"/>
              <w:right w:val="single" w:color="CCCCCC" w:sz="1"/>
            </w:tcBorders>
            <w:shd w:fill="FEF9E7" w:val="clear"/>
            <w:tcMar>
              <w:top w:type="dxa" w:w="90"/>
              <w:left w:type="dxa" w:w="130"/>
              <w:bottom w:type="dxa" w:w="90"/>
              <w:right w:type="dxa" w:w="130"/>
            </w:tcMar>
            <w:vAlign w:val="center"/>
          </w:tcPr>
          <w:p>
            <w:pPr>
              <w:jc w:val="center"/>
            </w:pPr>
            <w:r>
              <w:rPr>
                <w:rFonts w:ascii="Arial" w:cs="Arial" w:eastAsia="Arial" w:hAnsi="Arial"/>
                <w:b/>
                <w:bCs/>
                <w:color w:val="B7950B"/>
                <w:sz w:val="19"/>
                <w:szCs w:val="19"/>
              </w:rPr>
              <w:t xml:space="preserve">HIGH</w:t>
            </w:r>
          </w:p>
        </w:tc>
        <w:tc>
          <w:tcPr>
            <w:tcW w:type="dxa" w:w="140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VINITH</w:t>
            </w:r>
          </w:p>
        </w:tc>
      </w:tr>
      <w:tr>
        <w:tc>
          <w:tcPr>
            <w:tcW w:type="dxa" w:w="6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PS-5</w:t>
            </w:r>
          </w:p>
        </w:tc>
        <w:tc>
          <w:tcPr>
            <w:tcW w:type="dxa" w:w="1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222222"/>
                <w:sz w:val="19"/>
                <w:szCs w:val="19"/>
              </w:rPr>
              <w:t xml:space="preserve">Eco-Conscious Buyer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333333"/>
                <w:sz w:val="19"/>
                <w:szCs w:val="19"/>
              </w:rPr>
              <w:t xml:space="preserve">3</w:t>
            </w:r>
          </w:p>
        </w:tc>
        <w:tc>
          <w:tcPr>
            <w:tcW w:type="dxa" w:w="900"/>
            <w:tcBorders>
              <w:top w:val="single" w:color="CCCCCC" w:sz="1"/>
              <w:left w:val="single" w:color="CCCCCC" w:sz="1"/>
              <w:bottom w:val="single" w:color="CCCCCC" w:sz="1"/>
              <w:right w:val="single" w:color="CCCCCC" w:sz="1"/>
            </w:tcBorders>
            <w:shd w:fill="D6E4F0" w:val="clear"/>
            <w:tcMar>
              <w:top w:type="dxa" w:w="90"/>
              <w:left w:type="dxa" w:w="130"/>
              <w:bottom w:type="dxa" w:w="90"/>
              <w:right w:type="dxa" w:w="130"/>
            </w:tcMar>
            <w:vAlign w:val="center"/>
          </w:tcPr>
          <w:p>
            <w:pPr>
              <w:jc w:val="center"/>
            </w:pPr>
            <w:r>
              <w:rPr>
                <w:rFonts w:ascii="Arial" w:cs="Arial" w:eastAsia="Arial" w:hAnsi="Arial"/>
                <w:b/>
                <w:bCs/>
                <w:color w:val="1A3C6E"/>
                <w:sz w:val="19"/>
                <w:szCs w:val="19"/>
              </w:rPr>
              <w:t xml:space="preserve">11</w:t>
            </w:r>
          </w:p>
        </w:tc>
        <w:tc>
          <w:tcPr>
            <w:tcW w:type="dxa" w:w="1100"/>
            <w:tcBorders>
              <w:top w:val="single" w:color="CCCCCC" w:sz="1"/>
              <w:left w:val="single" w:color="CCCCCC" w:sz="1"/>
              <w:bottom w:val="single" w:color="CCCCCC" w:sz="1"/>
              <w:right w:val="single" w:color="CCCCCC" w:sz="1"/>
            </w:tcBorders>
            <w:shd w:fill="FEF9E7" w:val="clear"/>
            <w:tcMar>
              <w:top w:type="dxa" w:w="90"/>
              <w:left w:type="dxa" w:w="130"/>
              <w:bottom w:type="dxa" w:w="90"/>
              <w:right w:type="dxa" w:w="130"/>
            </w:tcMar>
            <w:vAlign w:val="center"/>
          </w:tcPr>
          <w:p>
            <w:pPr>
              <w:jc w:val="center"/>
            </w:pPr>
            <w:r>
              <w:rPr>
                <w:rFonts w:ascii="Arial" w:cs="Arial" w:eastAsia="Arial" w:hAnsi="Arial"/>
                <w:b/>
                <w:bCs/>
                <w:color w:val="B7950B"/>
                <w:sz w:val="19"/>
                <w:szCs w:val="19"/>
              </w:rPr>
              <w:t xml:space="preserve">HIGH</w:t>
            </w:r>
          </w:p>
        </w:tc>
        <w:tc>
          <w:tcPr>
            <w:tcW w:type="dxa" w:w="1400"/>
            <w:tcBorders>
              <w:top w:val="single" w:color="CCCCCC" w:sz="1"/>
              <w:left w:val="single" w:color="CCCCCC" w:sz="1"/>
              <w:bottom w:val="single" w:color="CCCCCC" w:sz="1"/>
              <w:right w:val="single" w:color="CCCCCC" w:sz="1"/>
            </w:tcBorders>
            <w:shd w:fill="E8F4FD" w:val="clear"/>
            <w:tcMar>
              <w:top w:type="dxa" w:w="90"/>
              <w:left w:type="dxa" w:w="130"/>
              <w:bottom w:type="dxa" w:w="90"/>
              <w:right w:type="dxa" w:w="130"/>
            </w:tcMar>
            <w:vAlign w:val="center"/>
          </w:tcPr>
          <w:p>
            <w:pPr>
              <w:jc w:val="center"/>
            </w:pPr>
            <w:r>
              <w:rPr>
                <w:rFonts w:ascii="Arial" w:cs="Arial" w:eastAsia="Arial" w:hAnsi="Arial"/>
                <w:b/>
                <w:bCs/>
                <w:color w:val="E07B39"/>
                <w:sz w:val="19"/>
                <w:szCs w:val="19"/>
              </w:rPr>
              <w:t xml:space="preserve">TAMIZHKUMARAN</w:t>
            </w:r>
          </w:p>
        </w:tc>
      </w:tr>
    </w:tbl>
    <w:p>
      <w:pPr>
        <w:spacing w:after="80" w:before="40"/>
      </w:pPr>
      <w:r>
        <w:rPr>
          <w:rFonts w:ascii="Arial" w:cs="Arial" w:eastAsia="Arial" w:hAnsi="Arial"/>
          <w:sz w:val="20"/>
          <w:szCs w:val="20"/>
        </w:rPr>
        <w:t xml:space="preserve"/>
      </w:r>
    </w:p>
    <w:p>
      <w:pPr>
        <w:pBdr>
          <w:bottom w:val="single" w:color="1A3C6E" w:sz="6" w:space="1"/>
        </w:pBdr>
        <w:spacing w:after="160" w:before="160"/>
      </w:pPr>
      <w:r>
        <w:rPr>
          <w:rFonts w:ascii="Arial" w:cs="Arial" w:eastAsia="Arial" w:hAnsi="Arial"/>
          <w:sz w:val="20"/>
          <w:szCs w:val="20"/>
        </w:rPr>
        <w:t xml:space="preserve"/>
      </w:r>
    </w:p>
    <w:p>
      <w:pPr>
        <w:spacing w:after="120" w:before="260"/>
      </w:pPr>
      <w:r>
        <w:rPr>
          <w:rFonts w:ascii="Arial" w:cs="Arial" w:eastAsia="Arial" w:hAnsi="Arial"/>
          <w:b/>
          <w:bCs/>
          <w:color w:val="E07B39"/>
          <w:sz w:val="24"/>
          <w:szCs w:val="24"/>
        </w:rPr>
        <w:t xml:space="preserve">KEY INSIGHTS &amp; NEXT STEPS</w:t>
      </w:r>
    </w:p>
    <w:p>
      <w:pPr>
        <w:spacing w:after="80" w:before="60"/>
      </w:pPr>
      <w:r>
        <w:rPr>
          <w:rFonts w:ascii="Arial" w:cs="Arial" w:eastAsia="Arial" w:hAnsi="Arial"/>
          <w:i w:val="false"/>
          <w:iCs w:val="false"/>
          <w:sz w:val="20"/>
          <w:szCs w:val="20"/>
        </w:rPr>
        <w:t xml:space="preserve">Based on the prioritization matrix, PS-1 (Urban Commuter) and PS-3 (Safety-Conscious Parent) are the highest-priority problem statements, both scoring 14/15. PS-2 (Fleet Manager) follows closely at 13/15 and represents a strong B2B opportunity.</w:t>
      </w:r>
    </w:p>
    <w:p>
      <w:pPr>
        <w:spacing w:after="40" w:before="60"/>
      </w:pPr>
      <w:r>
        <w:rPr>
          <w:rFonts w:ascii="Arial" w:cs="Arial" w:eastAsia="Arial" w:hAnsi="Arial"/>
          <w:sz w:val="20"/>
          <w:szCs w:val="20"/>
        </w:rPr>
        <w:t xml:space="preserve"/>
      </w:r>
    </w:p>
    <w:p>
      <w:pPr>
        <w:spacing w:after="60" w:before="40"/>
      </w:pPr>
      <w:r>
        <w:rPr>
          <w:rFonts w:ascii="Arial" w:cs="Arial" w:eastAsia="Arial" w:hAnsi="Arial"/>
          <w:b/>
          <w:bCs/>
          <w:color w:val="1A3C6E"/>
          <w:sz w:val="20"/>
          <w:szCs w:val="20"/>
        </w:rPr>
        <w:t xml:space="preserve">Recommended Actions per Team Member:</w:t>
      </w:r>
    </w:p>
    <w:p>
      <w:pPr>
        <w:pStyle w:val="ListParagraph"/>
        <w:numPr>
          <w:ilvl w:val="0"/>
          <w:numId w:val="2"/>
        </w:numPr>
        <w:spacing w:after="40" w:before="60"/>
      </w:pPr>
      <w:r>
        <w:rPr>
          <w:rFonts w:ascii="Arial" w:cs="Arial" w:eastAsia="Arial" w:hAnsi="Arial"/>
          <w:sz w:val="20"/>
          <w:szCs w:val="20"/>
        </w:rPr>
        <w:t xml:space="preserve">MANISHA (TL): Facilitate validation workshops with target customer segments for PS-3; align problem statements with project scope and stakeholder expectations</w:t>
      </w:r>
    </w:p>
    <w:p>
      <w:pPr>
        <w:pStyle w:val="ListParagraph"/>
        <w:numPr>
          <w:ilvl w:val="0"/>
          <w:numId w:val="2"/>
        </w:numPr>
        <w:spacing w:after="40" w:before="40"/>
      </w:pPr>
      <w:r>
        <w:rPr>
          <w:rFonts w:ascii="Arial" w:cs="Arial" w:eastAsia="Arial" w:hAnsi="Arial"/>
          <w:sz w:val="20"/>
          <w:szCs w:val="20"/>
        </w:rPr>
        <w:t xml:space="preserve">RAJKUMAR: Conduct field research and interviews with urban commuters to validate and enrich PS-1; benchmark EV range solutions globally</w:t>
      </w:r>
    </w:p>
    <w:p>
      <w:pPr>
        <w:pStyle w:val="ListParagraph"/>
        <w:numPr>
          <w:ilvl w:val="0"/>
          <w:numId w:val="2"/>
        </w:numPr>
        <w:spacing w:after="40" w:before="40"/>
      </w:pPr>
      <w:r>
        <w:rPr>
          <w:rFonts w:ascii="Arial" w:cs="Arial" w:eastAsia="Arial" w:hAnsi="Arial"/>
          <w:sz w:val="20"/>
          <w:szCs w:val="20"/>
        </w:rPr>
        <w:t xml:space="preserve">TAMIZHKUMARAN: Map fleet manager workflows to confirm PS-2 pain points; develop sustainability metrics framework to address PS-5</w:t>
      </w:r>
    </w:p>
    <w:p>
      <w:pPr>
        <w:pStyle w:val="ListParagraph"/>
        <w:numPr>
          <w:ilvl w:val="0"/>
          <w:numId w:val="2"/>
        </w:numPr>
        <w:spacing w:after="60" w:before="40"/>
      </w:pPr>
      <w:r>
        <w:rPr>
          <w:rFonts w:ascii="Arial" w:cs="Arial" w:eastAsia="Arial" w:hAnsi="Arial"/>
          <w:sz w:val="20"/>
          <w:szCs w:val="20"/>
        </w:rPr>
        <w:t xml:space="preserve">VINITH: Conduct UX research with tech-savvy professionals for PS-4; prototype digital touchpoints that address the connectivity gap</w:t>
      </w:r>
    </w:p>
    <w:p>
      <w:pPr>
        <w:spacing w:after="40" w:before="80"/>
      </w:pPr>
      <w:r>
        <w:rPr>
          <w:rFonts w:ascii="Arial" w:cs="Arial" w:eastAsia="Arial" w:hAnsi="Arial"/>
          <w:sz w:val="20"/>
          <w:szCs w:val="20"/>
        </w:rPr>
        <w:t xml:space="preserve"/>
      </w:r>
    </w:p>
    <w:p>
      <w:pPr>
        <w:pBdr>
          <w:bottom w:val="single" w:color="1A3C6E" w:sz="6" w:space="1"/>
        </w:pBdr>
        <w:spacing w:after="160" w:before="16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30" w:before="60"/>
        <w:jc w:val="center"/>
      </w:pPr>
      <w:r>
        <w:rPr>
          <w:rFonts w:ascii="Arial" w:cs="Arial" w:eastAsia="Arial" w:hAnsi="Arial"/>
          <w:b/>
          <w:bCs/>
          <w:color w:val="1A3C6E"/>
          <w:sz w:val="22"/>
          <w:szCs w:val="22"/>
        </w:rPr>
        <w:t xml:space="preserve">WhatNext Vision Motors</w:t>
      </w:r>
    </w:p>
    <w:p>
      <w:pPr>
        <w:spacing w:after="0" w:before="0"/>
        <w:jc w:val="center"/>
      </w:pPr>
      <w:r>
        <w:rPr>
          <w:rFonts w:ascii="Arial" w:cs="Arial" w:eastAsia="Arial" w:hAnsi="Arial"/>
          <w:i/>
          <w:iCs/>
          <w:color w:val="888888"/>
          <w:sz w:val="18"/>
          <w:szCs w:val="18"/>
        </w:rPr>
        <w:t xml:space="preserve">Shaping the Future of Mobility with Innovation and Excellence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3cc0bf52f670b826a87f13ffd228b682b30e6a.png"/><Relationship Id="rId8" Type="http://schemas.openxmlformats.org/officeDocument/2006/relationships/image" Target="media/a787edaa67f46ecc9ab4e693c2f28995bb9218c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2026-04-06T05:44:29.475Z</dcterms:created>
  <dcterms:modified xsi:type="dcterms:W3CDTF">2026-04-06T05:44:29.475Z</dcterms:modified>
</cp:coreProperties>
</file>

<file path=docProps/custom.xml><?xml version="1.0" encoding="utf-8"?>
<Properties xmlns="http://schemas.openxmlformats.org/officeDocument/2006/custom-properties" xmlns:vt="http://schemas.openxmlformats.org/officeDocument/2006/docPropsVTypes"/>
</file>