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C5E"/>
          <w:sz w:val="36"/>
          <w:szCs w:val="36"/>
        </w:rPr>
        <w:t xml:space="preserve">IDEATION PHASE</w:t>
      </w:r>
    </w:p>
    <w:p>
      <w:pPr>
        <w:spacing w:after="280" w:before="0"/>
        <w:jc w:val="center"/>
      </w:pPr>
      <w:r>
        <w:rPr>
          <w:rFonts w:ascii="Arial" w:cs="Arial" w:eastAsia="Arial" w:hAnsi="Arial"/>
          <w:b/>
          <w:bCs/>
          <w:color w:val="2563EB"/>
          <w:sz w:val="28"/>
          <w:szCs w:val="28"/>
        </w:rPr>
        <w:t xml:space="preserve">Define the Problem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tcPr>
          <w:p>
            <w:pPr>
              <w:spacing w:after="80" w:before="60"/>
              <w:jc w:val="left"/>
            </w:pPr>
            <w:r>
              <w:rPr>
                <w:rFonts w:ascii="Arial" w:cs="Arial" w:eastAsia="Arial" w:hAnsi="Arial"/>
                <w:b/>
                <w:bCs/>
                <w:color w:val="1A3C5E"/>
                <w:sz w:val="21"/>
                <w:szCs w:val="21"/>
              </w:rPr>
              <w:t xml:space="preserve">Date</w:t>
            </w:r>
          </w:p>
        </w:tc>
        <w:tc>
          <w:tcPr>
            <w:tcW w:type="dxa" w:w="702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07 April 2026</w:t>
            </w:r>
          </w:p>
        </w:tc>
      </w:tr>
      <w:tr>
        <w:tc>
          <w:tcPr>
            <w:tcW w:type="dxa" w:w="234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tcPr>
          <w:p>
            <w:pPr>
              <w:spacing w:after="80" w:before="60"/>
              <w:jc w:val="left"/>
            </w:pPr>
            <w:r>
              <w:rPr>
                <w:rFonts w:ascii="Arial" w:cs="Arial" w:eastAsia="Arial" w:hAnsi="Arial"/>
                <w:b/>
                <w:bCs/>
                <w:color w:val="1A3C5E"/>
                <w:sz w:val="21"/>
                <w:szCs w:val="21"/>
              </w:rPr>
              <w:t xml:space="preserve">Team Members</w:t>
            </w:r>
          </w:p>
        </w:tc>
        <w:tc>
          <w:tcPr>
            <w:tcW w:type="dxa" w:w="702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MANISHA R (Team Leader)  |  RAJKUMAR L  |  TAMIZHKUMARAN M  |  VINITH S  |  PORSELVAN A</w:t>
            </w:r>
          </w:p>
        </w:tc>
      </w:tr>
      <w:tr>
        <w:tc>
          <w:tcPr>
            <w:tcW w:type="dxa" w:w="234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tcPr>
          <w:p>
            <w:pPr>
              <w:spacing w:after="80" w:before="60"/>
              <w:jc w:val="left"/>
            </w:pPr>
            <w:r>
              <w:rPr>
                <w:rFonts w:ascii="Arial" w:cs="Arial" w:eastAsia="Arial" w:hAnsi="Arial"/>
                <w:b/>
                <w:bCs/>
                <w:color w:val="1A3C5E"/>
                <w:sz w:val="21"/>
                <w:szCs w:val="21"/>
              </w:rPr>
              <w:t xml:space="preserve">Project Name</w:t>
            </w:r>
          </w:p>
        </w:tc>
        <w:tc>
          <w:tcPr>
            <w:tcW w:type="dxa" w:w="702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tcPr>
          <w:p>
            <w:pPr>
              <w:spacing w:after="80" w:before="60"/>
              <w:jc w:val="left"/>
            </w:pPr>
            <w:r>
              <w:rPr>
                <w:rFonts w:ascii="Arial" w:cs="Arial" w:eastAsia="Arial" w:hAnsi="Arial"/>
                <w:b/>
                <w:bCs/>
                <w:color w:val="1A3C5E"/>
                <w:sz w:val="21"/>
                <w:szCs w:val="21"/>
              </w:rPr>
              <w:t xml:space="preserve">WhatNext Vision Motors: Shaping the Future of Mobility with Innovation and Excellence</w:t>
            </w:r>
          </w:p>
        </w:tc>
      </w:tr>
      <w:tr>
        <w:tc>
          <w:tcPr>
            <w:tcW w:type="dxa" w:w="234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tcPr>
          <w:p>
            <w:pPr>
              <w:spacing w:after="80" w:before="60"/>
              <w:jc w:val="left"/>
            </w:pPr>
            <w:r>
              <w:rPr>
                <w:rFonts w:ascii="Arial" w:cs="Arial" w:eastAsia="Arial" w:hAnsi="Arial"/>
                <w:b/>
                <w:bCs/>
                <w:color w:val="1A3C5E"/>
                <w:sz w:val="21"/>
                <w:szCs w:val="21"/>
              </w:rPr>
              <w:t xml:space="preserve">Maximum Marks</w:t>
            </w:r>
          </w:p>
        </w:tc>
        <w:tc>
          <w:tcPr>
            <w:tcW w:type="dxa" w:w="702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2 Marks</w:t>
            </w:r>
          </w:p>
        </w:tc>
      </w:tr>
    </w:tbl>
    <w:p>
      <w:pPr>
        <w:spacing w:after="280" w:before="0"/>
        <w:jc w:val="left"/>
      </w:pPr>
      <w:r>
        <w:rPr>
          <w:rFonts w:ascii="Arial" w:cs="Arial" w:eastAsia="Arial" w:hAnsi="Arial"/>
          <w:b w:val="false"/>
          <w:bCs w:val="false"/>
          <w:color w:val="1e293b"/>
          <w:sz w:val="20"/>
          <w:szCs w:val="20"/>
        </w:rPr>
        <w:t xml:space="preserve"/>
      </w:r>
    </w:p>
    <w:p>
      <w:pPr>
        <w:spacing w:after="100" w:before="60"/>
        <w:jc w:val="left"/>
      </w:pPr>
      <w:r>
        <w:rPr>
          <w:rFonts w:ascii="Arial" w:cs="Arial" w:eastAsia="Arial" w:hAnsi="Arial"/>
          <w:b/>
          <w:bCs/>
          <w:color w:val="1A3C5E"/>
          <w:sz w:val="28"/>
          <w:szCs w:val="28"/>
        </w:rPr>
        <w:t xml:space="preserve">Customer Problem Statement Template</w:t>
      </w:r>
    </w:p>
    <w:p>
      <w:pPr>
        <w:spacing w:after="60" w:before="60"/>
        <w:jc w:val="left"/>
      </w:pPr>
      <w:r>
        <w:rPr>
          <w:rFonts w:ascii="Arial" w:cs="Arial" w:eastAsia="Arial" w:hAnsi="Arial"/>
          <w:b w:val="false"/>
          <w:bCs w:val="false"/>
          <w:color w:val="374151"/>
          <w:sz w:val="20"/>
          <w:szCs w:val="20"/>
        </w:rPr>
        <w:t xml:space="preserve">A problem statement defines the gap between a current undesirable situation and a desired outcome from the customer's perspective. For WhatNext Vision Motors, the Customer Problem Statement template focuses on understanding what our users are trying to achieve, what barriers they face, and the emotional impact of those barriers — enabling our team to design mobility solutions that people truly love.</w:t>
      </w:r>
    </w:p>
    <w:p>
      <w:pPr>
        <w:spacing w:after="60" w:before="60"/>
        <w:jc w:val="left"/>
      </w:pPr>
      <w:r>
        <w:rPr>
          <w:rFonts w:ascii="Arial" w:cs="Arial" w:eastAsia="Arial" w:hAnsi="Arial"/>
          <w:b w:val="false"/>
          <w:bCs w:val="false"/>
          <w:color w:val="374151"/>
          <w:sz w:val="20"/>
          <w:szCs w:val="20"/>
        </w:rPr>
        <w:t xml:space="preserve">A well-articulated customer problem statement allows the WhatNext Vision Motors team to empathize with users, prioritise the right features, and validate that our innovations in electric vehicles, smart connectivity, and seamless ownership experiences directly address real-world customer pain points.</w:t>
      </w:r>
    </w:p>
    <w:p>
      <w:pPr>
        <w:spacing w:after="260" w:before="60"/>
        <w:jc w:val="left"/>
      </w:pPr>
      <w:r>
        <w:rPr>
          <w:rFonts w:ascii="Arial" w:cs="Arial" w:eastAsia="Arial" w:hAnsi="Arial"/>
          <w:b w:val="false"/>
          <w:bCs w:val="false"/>
          <w:color w:val="6B7280"/>
          <w:sz w:val="19"/>
          <w:szCs w:val="19"/>
        </w:rPr>
        <w:t xml:space="preserve">Reference: </w:t>
      </w:r>
      <w:r>
        <w:rPr>
          <w:rStyle w:val="Hyperlink"/>
          <w:rFonts w:ascii="Arial" w:cs="Arial" w:eastAsia="Arial" w:hAnsi="Arial"/>
          <w:color w:val="2563EB"/>
          <w:sz w:val="19"/>
          <w:szCs w:val="19"/>
        </w:rPr>
        <w:t xml:space="preserve">https://miro.com/templates/customer-problem-statement/</w:t>
      </w:r>
    </w:p>
    <w:p>
      <w:pPr>
        <w:spacing w:after="120" w:before="60"/>
        <w:jc w:val="left"/>
      </w:pPr>
      <w:r>
        <w:rPr>
          <w:rFonts w:ascii="Arial" w:cs="Arial" w:eastAsia="Arial" w:hAnsi="Arial"/>
          <w:b/>
          <w:bCs/>
          <w:color w:val="1A3C5E"/>
          <w:sz w:val="24"/>
          <w:szCs w:val="24"/>
        </w:rPr>
        <w:t xml:space="preserve">Problem Statement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44"/>
        <w:gridCol w:w="1344"/>
        <w:gridCol w:w="1344"/>
        <w:gridCol w:w="1344"/>
        <w:gridCol w:w="1684"/>
      </w:tblGrid>
      <w:tr>
        <w:tc>
          <w:tcPr>
            <w:tcW w:type="dxa" w:w="1300"/>
            <w:tcBorders>
              <w:top w:val="single" w:color="1A3C5E" w:sz="8"/>
              <w:left w:val="single" w:color="1A3C5E" w:sz="8"/>
              <w:bottom w:val="single" w:color="1A3C5E" w:sz="8"/>
              <w:right w:val="single" w:color="1A3C5E" w:sz="8"/>
            </w:tcBorders>
            <w:shd w:fill="1A3C5E" w:val="clear"/>
            <w:tcMar>
              <w:top w:type="dxa" w:w="120"/>
              <w:left w:type="dxa" w:w="160"/>
              <w:bottom w:type="dxa" w:w="120"/>
              <w:right w:type="dxa" w:w="160"/>
            </w:tcMar>
            <w:vAlign w:val="center"/>
          </w:tcPr>
          <w:p>
            <w:pPr>
              <w:spacing w:after="40" w:before="40"/>
              <w:jc w:val="center"/>
            </w:pPr>
            <w:r>
              <w:rPr>
                <w:rFonts w:ascii="Arial" w:cs="Arial" w:eastAsia="Arial" w:hAnsi="Arial"/>
                <w:b/>
                <w:bCs/>
                <w:color w:val="FFFFFF"/>
                <w:sz w:val="22"/>
                <w:szCs w:val="22"/>
              </w:rPr>
              <w:t xml:space="preserve">I am</w:t>
            </w:r>
          </w:p>
        </w:tc>
        <w:tc>
          <w:tcPr>
            <w:tcW w:type="dxa" w:w="1344"/>
            <w:tcBorders>
              <w:top w:val="single" w:color="1A3C5E" w:sz="8"/>
              <w:left w:val="single" w:color="1A3C5E" w:sz="8"/>
              <w:bottom w:val="single" w:color="1A3C5E" w:sz="8"/>
              <w:right w:val="single" w:color="1A3C5E" w:sz="8"/>
            </w:tcBorders>
            <w:shd w:fill="2563EB" w:val="clear"/>
            <w:tcMar>
              <w:top w:type="dxa" w:w="120"/>
              <w:left w:type="dxa" w:w="160"/>
              <w:bottom w:type="dxa" w:w="120"/>
              <w:right w:type="dxa" w:w="160"/>
            </w:tcMar>
            <w:vAlign w:val="center"/>
          </w:tcPr>
          <w:p>
            <w:pPr>
              <w:spacing w:after="40" w:before="40"/>
              <w:jc w:val="center"/>
            </w:pPr>
            <w:r>
              <w:rPr>
                <w:rFonts w:ascii="Arial" w:cs="Arial" w:eastAsia="Arial" w:hAnsi="Arial"/>
                <w:b/>
                <w:bCs/>
                <w:color w:val="FFFFFF"/>
                <w:sz w:val="22"/>
                <w:szCs w:val="22"/>
              </w:rPr>
              <w:t xml:space="preserve">trying to</w:t>
            </w:r>
          </w:p>
        </w:tc>
        <w:tc>
          <w:tcPr>
            <w:tcW w:type="dxa" w:w="1344"/>
            <w:tcBorders>
              <w:top w:val="single" w:color="1A3C5E" w:sz="8"/>
              <w:left w:val="single" w:color="1A3C5E" w:sz="8"/>
              <w:bottom w:val="single" w:color="1A3C5E" w:sz="8"/>
              <w:right w:val="single" w:color="1A3C5E" w:sz="8"/>
            </w:tcBorders>
            <w:shd w:fill="1D4ED8" w:val="clear"/>
            <w:tcMar>
              <w:top w:type="dxa" w:w="120"/>
              <w:left w:type="dxa" w:w="160"/>
              <w:bottom w:type="dxa" w:w="120"/>
              <w:right w:type="dxa" w:w="160"/>
            </w:tcMar>
            <w:vAlign w:val="center"/>
          </w:tcPr>
          <w:p>
            <w:pPr>
              <w:spacing w:after="40" w:before="40"/>
              <w:jc w:val="center"/>
            </w:pPr>
            <w:r>
              <w:rPr>
                <w:rFonts w:ascii="Arial" w:cs="Arial" w:eastAsia="Arial" w:hAnsi="Arial"/>
                <w:b/>
                <w:bCs/>
                <w:color w:val="FFFFFF"/>
                <w:sz w:val="22"/>
                <w:szCs w:val="22"/>
              </w:rPr>
              <w:t xml:space="preserve">but</w:t>
            </w:r>
          </w:p>
        </w:tc>
        <w:tc>
          <w:tcPr>
            <w:tcW w:type="dxa" w:w="1344"/>
            <w:tcBorders>
              <w:top w:val="single" w:color="1A3C5E" w:sz="8"/>
              <w:left w:val="single" w:color="1A3C5E" w:sz="8"/>
              <w:bottom w:val="single" w:color="1A3C5E" w:sz="8"/>
              <w:right w:val="single" w:color="1A3C5E" w:sz="8"/>
            </w:tcBorders>
            <w:shd w:fill="1E40AF" w:val="clear"/>
            <w:tcMar>
              <w:top w:type="dxa" w:w="120"/>
              <w:left w:type="dxa" w:w="160"/>
              <w:bottom w:type="dxa" w:w="120"/>
              <w:right w:type="dxa" w:w="160"/>
            </w:tcMar>
            <w:vAlign w:val="center"/>
          </w:tcPr>
          <w:p>
            <w:pPr>
              <w:spacing w:after="40" w:before="40"/>
              <w:jc w:val="center"/>
            </w:pPr>
            <w:r>
              <w:rPr>
                <w:rFonts w:ascii="Arial" w:cs="Arial" w:eastAsia="Arial" w:hAnsi="Arial"/>
                <w:b/>
                <w:bCs/>
                <w:color w:val="FFFFFF"/>
                <w:sz w:val="22"/>
                <w:szCs w:val="22"/>
              </w:rPr>
              <w:t xml:space="preserve">because</w:t>
            </w:r>
          </w:p>
        </w:tc>
        <w:tc>
          <w:tcPr>
            <w:tcW w:type="dxa" w:w="1344"/>
            <w:tcBorders>
              <w:top w:val="single" w:color="1A3C5E" w:sz="8"/>
              <w:left w:val="single" w:color="1A3C5E" w:sz="8"/>
              <w:bottom w:val="single" w:color="1A3C5E" w:sz="8"/>
              <w:right w:val="single" w:color="1A3C5E" w:sz="8"/>
            </w:tcBorders>
            <w:shd w:fill="1A3C5E" w:val="clear"/>
            <w:tcMar>
              <w:top w:type="dxa" w:w="120"/>
              <w:left w:type="dxa" w:w="160"/>
              <w:bottom w:type="dxa" w:w="120"/>
              <w:right w:type="dxa" w:w="160"/>
            </w:tcMar>
            <w:vAlign w:val="center"/>
          </w:tcPr>
          <w:p>
            <w:pPr>
              <w:spacing w:after="40" w:before="40"/>
              <w:jc w:val="center"/>
            </w:pPr>
            <w:r>
              <w:rPr>
                <w:rFonts w:ascii="Arial" w:cs="Arial" w:eastAsia="Arial" w:hAnsi="Arial"/>
                <w:b/>
                <w:bCs/>
                <w:color w:val="FFFFFF"/>
                <w:sz w:val="20"/>
                <w:szCs w:val="20"/>
              </w:rPr>
              <w:t xml:space="preserve">which makes me feel</w:t>
            </w:r>
          </w:p>
        </w:tc>
        <w:tc>
          <w:tcPr>
            <w:tcW w:type="dxa" w:w="1684"/>
            <w:tcBorders>
              <w:top w:val="single" w:color="1A3C5E" w:sz="8"/>
              <w:left w:val="single" w:color="1A3C5E" w:sz="8"/>
              <w:bottom w:val="single" w:color="1A3C5E" w:sz="8"/>
              <w:right w:val="single" w:color="1A3C5E" w:sz="8"/>
            </w:tcBorders>
            <w:shd w:fill="0F2D4A" w:val="clear"/>
            <w:tcMar>
              <w:top w:type="dxa" w:w="120"/>
              <w:left w:type="dxa" w:w="160"/>
              <w:bottom w:type="dxa" w:w="120"/>
              <w:right w:type="dxa" w:w="160"/>
            </w:tcMar>
            <w:vAlign w:val="center"/>
          </w:tcPr>
          <w:p>
            <w:pPr>
              <w:spacing w:after="40" w:before="40"/>
              <w:jc w:val="center"/>
            </w:pPr>
            <w:r>
              <w:rPr>
                <w:rFonts w:ascii="Arial" w:cs="Arial" w:eastAsia="Arial" w:hAnsi="Arial"/>
                <w:b/>
                <w:bCs/>
                <w:color w:val="FFFFFF"/>
                <w:sz w:val="20"/>
                <w:szCs w:val="20"/>
              </w:rPr>
              <w:t xml:space="preserve">→ Problem Defined</w:t>
            </w:r>
          </w:p>
        </w:tc>
      </w:tr>
    </w:tbl>
    <w:p>
      <w:pPr>
        <w:spacing w:after="300" w:before="0"/>
        <w:jc w:val="left"/>
      </w:pPr>
      <w:r>
        <w:rPr>
          <w:rFonts w:ascii="Arial" w:cs="Arial" w:eastAsia="Arial" w:hAnsi="Arial"/>
          <w:b w:val="false"/>
          <w:bCs w:val="false"/>
          <w:color w:val="1e293b"/>
          <w:sz w:val="20"/>
          <w:szCs w:val="20"/>
        </w:rPr>
        <w:t xml:space="preserve"/>
      </w:r>
    </w:p>
    <w:p>
      <w:pPr>
        <w:spacing w:after="160" w:before="60"/>
        <w:jc w:val="left"/>
      </w:pPr>
      <w:r>
        <w:rPr>
          <w:rFonts w:ascii="Arial" w:cs="Arial" w:eastAsia="Arial" w:hAnsi="Arial"/>
          <w:b/>
          <w:bCs/>
          <w:color w:val="1A3C5E"/>
          <w:sz w:val="28"/>
          <w:szCs w:val="28"/>
        </w:rPr>
        <w:t xml:space="preserve">Problem Statements — WhatNext Vision Motors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80"/>
        <w:gridCol w:w="1580"/>
        <w:gridCol w:w="1600"/>
        <w:gridCol w:w="1700"/>
        <w:gridCol w:w="1700"/>
      </w:tblGrid>
      <w:tr>
        <w:tc>
          <w:tcPr>
            <w:tcW w:type="dxa" w:w="900"/>
            <w:gridSpan w:val="1"/>
            <w:tcBorders>
              <w:top w:val="single" w:color="1A3C5E" w:sz="8"/>
              <w:left w:val="single" w:color="1A3C5E" w:sz="8"/>
              <w:bottom w:val="single" w:color="1A3C5E" w:sz="8"/>
              <w:right w:val="single" w:color="1A3C5E" w:sz="8"/>
            </w:tcBorders>
            <w:shd w:fill="1A3C5E" w:val="clear"/>
            <w:tcMar>
              <w:top w:type="dxa" w:w="120"/>
              <w:left w:type="dxa" w:w="160"/>
              <w:bottom w:type="dxa" w:w="120"/>
              <w:right w:type="dxa" w:w="160"/>
            </w:tcMar>
            <w:vAlign w:val="center"/>
          </w:tcPr>
          <w:p>
            <w:pPr>
              <w:spacing w:after="60" w:before="60"/>
              <w:jc w:val="center"/>
            </w:pPr>
            <w:r>
              <w:rPr>
                <w:rFonts w:ascii="Arial" w:cs="Arial" w:eastAsia="Arial" w:hAnsi="Arial"/>
                <w:b/>
                <w:bCs/>
                <w:color w:val="FFFFFF"/>
                <w:sz w:val="24"/>
                <w:szCs w:val="24"/>
              </w:rPr>
              <w:t xml:space="preserve">PS #</w:t>
            </w:r>
          </w:p>
        </w:tc>
        <w:tc>
          <w:tcPr>
            <w:tcW w:type="dxa" w:w="1580"/>
            <w:gridSpan w:val="1"/>
            <w:tcBorders>
              <w:top w:val="single" w:color="1A3C5E" w:sz="8"/>
              <w:left w:val="single" w:color="1A3C5E" w:sz="8"/>
              <w:bottom w:val="single" w:color="1A3C5E" w:sz="8"/>
              <w:right w:val="single" w:color="1A3C5E" w:sz="8"/>
            </w:tcBorders>
            <w:shd w:fill="1A3C5E" w:val="clear"/>
            <w:tcMar>
              <w:top w:type="dxa" w:w="120"/>
              <w:left w:type="dxa" w:w="160"/>
              <w:bottom w:type="dxa" w:w="120"/>
              <w:right w:type="dxa" w:w="160"/>
            </w:tcMar>
            <w:vAlign w:val="center"/>
          </w:tcPr>
          <w:p>
            <w:pPr>
              <w:spacing w:after="60" w:before="60"/>
              <w:jc w:val="center"/>
            </w:pPr>
            <w:r>
              <w:rPr>
                <w:rFonts w:ascii="Arial" w:cs="Arial" w:eastAsia="Arial" w:hAnsi="Arial"/>
                <w:b/>
                <w:bCs/>
                <w:color w:val="FFFFFF"/>
                <w:sz w:val="24"/>
                <w:szCs w:val="24"/>
              </w:rPr>
              <w:t xml:space="preserve">I am (Customer)</w:t>
            </w:r>
          </w:p>
        </w:tc>
        <w:tc>
          <w:tcPr>
            <w:tcW w:type="dxa" w:w="1580"/>
            <w:gridSpan w:val="1"/>
            <w:tcBorders>
              <w:top w:val="single" w:color="1A3C5E" w:sz="8"/>
              <w:left w:val="single" w:color="1A3C5E" w:sz="8"/>
              <w:bottom w:val="single" w:color="1A3C5E" w:sz="8"/>
              <w:right w:val="single" w:color="1A3C5E" w:sz="8"/>
            </w:tcBorders>
            <w:shd w:fill="2563EB" w:val="clear"/>
            <w:tcMar>
              <w:top w:type="dxa" w:w="120"/>
              <w:left w:type="dxa" w:w="160"/>
              <w:bottom w:type="dxa" w:w="120"/>
              <w:right w:type="dxa" w:w="160"/>
            </w:tcMar>
            <w:vAlign w:val="center"/>
          </w:tcPr>
          <w:p>
            <w:pPr>
              <w:spacing w:after="60" w:before="60"/>
              <w:jc w:val="center"/>
            </w:pPr>
            <w:r>
              <w:rPr>
                <w:rFonts w:ascii="Arial" w:cs="Arial" w:eastAsia="Arial" w:hAnsi="Arial"/>
                <w:b/>
                <w:bCs/>
                <w:color w:val="FFFFFF"/>
                <w:sz w:val="24"/>
                <w:szCs w:val="24"/>
              </w:rPr>
              <w:t xml:space="preserve">I'm trying to</w:t>
            </w:r>
          </w:p>
        </w:tc>
        <w:tc>
          <w:tcPr>
            <w:tcW w:type="dxa" w:w="1600"/>
            <w:gridSpan w:val="1"/>
            <w:tcBorders>
              <w:top w:val="single" w:color="1A3C5E" w:sz="8"/>
              <w:left w:val="single" w:color="1A3C5E" w:sz="8"/>
              <w:bottom w:val="single" w:color="1A3C5E" w:sz="8"/>
              <w:right w:val="single" w:color="1A3C5E" w:sz="8"/>
            </w:tcBorders>
            <w:shd w:fill="1D4ED8" w:val="clear"/>
            <w:tcMar>
              <w:top w:type="dxa" w:w="120"/>
              <w:left w:type="dxa" w:w="160"/>
              <w:bottom w:type="dxa" w:w="120"/>
              <w:right w:type="dxa" w:w="160"/>
            </w:tcMar>
            <w:vAlign w:val="center"/>
          </w:tcPr>
          <w:p>
            <w:pPr>
              <w:spacing w:after="60" w:before="60"/>
              <w:jc w:val="center"/>
            </w:pPr>
            <w:r>
              <w:rPr>
                <w:rFonts w:ascii="Arial" w:cs="Arial" w:eastAsia="Arial" w:hAnsi="Arial"/>
                <w:b/>
                <w:bCs/>
                <w:color w:val="FFFFFF"/>
                <w:sz w:val="24"/>
                <w:szCs w:val="24"/>
              </w:rPr>
              <w:t xml:space="preserve">But</w:t>
            </w:r>
          </w:p>
        </w:tc>
        <w:tc>
          <w:tcPr>
            <w:tcW w:type="dxa" w:w="1700"/>
            <w:gridSpan w:val="1"/>
            <w:tcBorders>
              <w:top w:val="single" w:color="1A3C5E" w:sz="8"/>
              <w:left w:val="single" w:color="1A3C5E" w:sz="8"/>
              <w:bottom w:val="single" w:color="1A3C5E" w:sz="8"/>
              <w:right w:val="single" w:color="1A3C5E" w:sz="8"/>
            </w:tcBorders>
            <w:shd w:fill="1E40AF" w:val="clear"/>
            <w:tcMar>
              <w:top w:type="dxa" w:w="120"/>
              <w:left w:type="dxa" w:w="160"/>
              <w:bottom w:type="dxa" w:w="120"/>
              <w:right w:type="dxa" w:w="160"/>
            </w:tcMar>
            <w:vAlign w:val="center"/>
          </w:tcPr>
          <w:p>
            <w:pPr>
              <w:spacing w:after="60" w:before="60"/>
              <w:jc w:val="center"/>
            </w:pPr>
            <w:r>
              <w:rPr>
                <w:rFonts w:ascii="Arial" w:cs="Arial" w:eastAsia="Arial" w:hAnsi="Arial"/>
                <w:b/>
                <w:bCs/>
                <w:color w:val="FFFFFF"/>
                <w:sz w:val="24"/>
                <w:szCs w:val="24"/>
              </w:rPr>
              <w:t xml:space="preserve">Because</w:t>
            </w:r>
          </w:p>
        </w:tc>
        <w:tc>
          <w:tcPr>
            <w:tcW w:type="dxa" w:w="1700"/>
            <w:gridSpan w:val="1"/>
            <w:tcBorders>
              <w:top w:val="single" w:color="1A3C5E" w:sz="8"/>
              <w:left w:val="single" w:color="1A3C5E" w:sz="8"/>
              <w:bottom w:val="single" w:color="1A3C5E" w:sz="8"/>
              <w:right w:val="single" w:color="1A3C5E" w:sz="8"/>
            </w:tcBorders>
            <w:shd w:fill="1A3C5E" w:val="clear"/>
            <w:tcMar>
              <w:top w:type="dxa" w:w="120"/>
              <w:left w:type="dxa" w:w="160"/>
              <w:bottom w:type="dxa" w:w="120"/>
              <w:right w:type="dxa" w:w="160"/>
            </w:tcMar>
            <w:vAlign w:val="center"/>
          </w:tcPr>
          <w:p>
            <w:pPr>
              <w:spacing w:after="60" w:before="60"/>
              <w:jc w:val="center"/>
            </w:pPr>
            <w:r>
              <w:rPr>
                <w:rFonts w:ascii="Arial" w:cs="Arial" w:eastAsia="Arial" w:hAnsi="Arial"/>
                <w:b/>
                <w:bCs/>
                <w:color w:val="FFFFFF"/>
                <w:sz w:val="24"/>
                <w:szCs w:val="24"/>
              </w:rPr>
              <w:t xml:space="preserve">Which makes me feel</w:t>
            </w:r>
          </w:p>
        </w:tc>
      </w:tr>
      <w:tr>
        <w:tc>
          <w:tcPr>
            <w:tcW w:type="dxa" w:w="90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vAlign w:val="top"/>
          </w:tcPr>
          <w:p>
            <w:pPr>
              <w:spacing w:after="40" w:before="40"/>
              <w:jc w:val="left"/>
            </w:pPr>
            <w:r>
              <w:rPr>
                <w:rFonts w:ascii="Arial" w:cs="Arial" w:eastAsia="Arial" w:hAnsi="Arial"/>
                <w:b/>
                <w:bCs/>
                <w:color w:val="1A3C5E"/>
                <w:sz w:val="19"/>
                <w:szCs w:val="19"/>
              </w:rPr>
              <w:t xml:space="preserve">PS-1</w:t>
            </w:r>
          </w:p>
        </w:tc>
        <w:tc>
          <w:tcPr>
            <w:tcW w:type="dxa" w:w="15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An urban professional and EV enthusiast considering my next vehicle purchase</w:t>
            </w:r>
          </w:p>
        </w:tc>
        <w:tc>
          <w:tcPr>
            <w:tcW w:type="dxa" w:w="15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plan daily commutes and occasional long-distance trips confidently using an electric vehicle</w:t>
            </w:r>
          </w:p>
        </w:tc>
        <w:tc>
          <w:tcPr>
            <w:tcW w:type="dxa" w:w="160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I cannot reliably predict how far my EV will take me due to inconsistent range estimates and sparse charging infrastructure</w:t>
            </w:r>
          </w:p>
        </w:tc>
        <w:tc>
          <w:tcPr>
            <w:tcW w:type="dxa" w:w="170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real-world EV range varies significantly with traffic, AC usage, and road conditions, and fast chargers are still rare outside major cities</w:t>
            </w:r>
          </w:p>
        </w:tc>
        <w:tc>
          <w:tcPr>
            <w:tcW w:type="dxa" w:w="170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anxious, frustrated, and hesitant to commit to an EV purchase</w:t>
            </w:r>
          </w:p>
        </w:tc>
      </w:tr>
      <w:tr>
        <w:tc>
          <w:tcPr>
            <w:tcW w:type="dxa" w:w="90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vAlign w:val="top"/>
          </w:tcPr>
          <w:p>
            <w:pPr>
              <w:spacing w:after="40" w:before="40"/>
              <w:jc w:val="left"/>
            </w:pPr>
            <w:r>
              <w:rPr>
                <w:rFonts w:ascii="Arial" w:cs="Arial" w:eastAsia="Arial" w:hAnsi="Arial"/>
                <w:b/>
                <w:bCs/>
                <w:color w:val="1A3C5E"/>
                <w:sz w:val="19"/>
                <w:szCs w:val="19"/>
              </w:rPr>
              <w:t xml:space="preserve">PS-2</w:t>
            </w:r>
          </w:p>
        </w:tc>
        <w:tc>
          <w:tcPr>
            <w:tcW w:type="dxa" w:w="158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A first-time EV buyer exploring WhatNext Vision Motors' vehicle lineup</w:t>
            </w:r>
          </w:p>
        </w:tc>
        <w:tc>
          <w:tcPr>
            <w:tcW w:type="dxa" w:w="158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identify the right vehicle model that suits my budget, lifestyle, and daily driving needs</w:t>
            </w:r>
          </w:p>
        </w:tc>
        <w:tc>
          <w:tcPr>
            <w:tcW w:type="dxa" w:w="160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the sheer number of variants, technical specifications, and pricing options overwhelms me and makes comparison difficult</w:t>
            </w:r>
          </w:p>
        </w:tc>
        <w:tc>
          <w:tcPr>
            <w:tcW w:type="dxa" w:w="170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EV specifications (battery kWh, range, charging speed, ADAS levels) are technical and not presented in everyday language I can understand</w:t>
            </w:r>
          </w:p>
        </w:tc>
        <w:tc>
          <w:tcPr>
            <w:tcW w:type="dxa" w:w="170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confused, indecisive, and afraid of making an expensive wrong choice</w:t>
            </w:r>
          </w:p>
        </w:tc>
      </w:tr>
      <w:tr>
        <w:tc>
          <w:tcPr>
            <w:tcW w:type="dxa" w:w="90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vAlign w:val="top"/>
          </w:tcPr>
          <w:p>
            <w:pPr>
              <w:spacing w:after="40" w:before="40"/>
              <w:jc w:val="left"/>
            </w:pPr>
            <w:r>
              <w:rPr>
                <w:rFonts w:ascii="Arial" w:cs="Arial" w:eastAsia="Arial" w:hAnsi="Arial"/>
                <w:b/>
                <w:bCs/>
                <w:color w:val="1A3C5E"/>
                <w:sz w:val="19"/>
                <w:szCs w:val="19"/>
              </w:rPr>
              <w:t xml:space="preserve">PS-3</w:t>
            </w:r>
          </w:p>
        </w:tc>
        <w:tc>
          <w:tcPr>
            <w:tcW w:type="dxa" w:w="15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A middle-income family buyer in a Tier-2 city without a nearby WhatNext Vision Motors showroom</w:t>
            </w:r>
          </w:p>
        </w:tc>
        <w:tc>
          <w:tcPr>
            <w:tcW w:type="dxa" w:w="15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experience the vehicle before purchasing and access showroom-quality product information</w:t>
            </w:r>
          </w:p>
        </w:tc>
        <w:tc>
          <w:tcPr>
            <w:tcW w:type="dxa" w:w="160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I cannot visit a physical showroom, test drive the vehicle, or get personalised guidance from a sales advisor</w:t>
            </w:r>
          </w:p>
        </w:tc>
        <w:tc>
          <w:tcPr>
            <w:tcW w:type="dxa" w:w="170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WhatNext Vision Motors dealerships are concentrated in metro cities, leaving Tier-2 and Tier-3 markets underserved</w:t>
            </w:r>
          </w:p>
        </w:tc>
        <w:tc>
          <w:tcPr>
            <w:tcW w:type="dxa" w:w="170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excluded, undervalued, and uncertain about making a high-value purchase sight unseen</w:t>
            </w:r>
          </w:p>
        </w:tc>
      </w:tr>
      <w:tr>
        <w:tc>
          <w:tcPr>
            <w:tcW w:type="dxa" w:w="90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vAlign w:val="top"/>
          </w:tcPr>
          <w:p>
            <w:pPr>
              <w:spacing w:after="40" w:before="40"/>
              <w:jc w:val="left"/>
            </w:pPr>
            <w:r>
              <w:rPr>
                <w:rFonts w:ascii="Arial" w:cs="Arial" w:eastAsia="Arial" w:hAnsi="Arial"/>
                <w:b/>
                <w:bCs/>
                <w:color w:val="1A3C5E"/>
                <w:sz w:val="19"/>
                <w:szCs w:val="19"/>
              </w:rPr>
              <w:t xml:space="preserve">PS-4</w:t>
            </w:r>
          </w:p>
        </w:tc>
        <w:tc>
          <w:tcPr>
            <w:tcW w:type="dxa" w:w="158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An existing WhatNext Vision Motors EV owner who relies on my vehicle daily</w:t>
            </w:r>
          </w:p>
        </w:tc>
        <w:tc>
          <w:tcPr>
            <w:tcW w:type="dxa" w:w="158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keep my vehicle in peak health and avoid unexpected breakdowns or performance degradation</w:t>
            </w:r>
          </w:p>
        </w:tc>
        <w:tc>
          <w:tcPr>
            <w:tcW w:type="dxa" w:w="160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I only find out about component issues when they have already caused a problem or when I visit a service centre</w:t>
            </w:r>
          </w:p>
        </w:tc>
        <w:tc>
          <w:tcPr>
            <w:tcW w:type="dxa" w:w="170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current vehicle diagnostics are reactive rather than predictive, and service reminders are generic rather than personalised</w:t>
            </w:r>
          </w:p>
        </w:tc>
        <w:tc>
          <w:tcPr>
            <w:tcW w:type="dxa" w:w="170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vulnerable, stressed, and let down by a brand I trusted to deliver a smart ownership experience</w:t>
            </w:r>
          </w:p>
        </w:tc>
      </w:tr>
      <w:tr>
        <w:tc>
          <w:tcPr>
            <w:tcW w:type="dxa" w:w="90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vAlign w:val="top"/>
          </w:tcPr>
          <w:p>
            <w:pPr>
              <w:spacing w:after="40" w:before="40"/>
              <w:jc w:val="left"/>
            </w:pPr>
            <w:r>
              <w:rPr>
                <w:rFonts w:ascii="Arial" w:cs="Arial" w:eastAsia="Arial" w:hAnsi="Arial"/>
                <w:b/>
                <w:bCs/>
                <w:color w:val="1A3C5E"/>
                <w:sz w:val="19"/>
                <w:szCs w:val="19"/>
              </w:rPr>
              <w:t xml:space="preserve">PS-5</w:t>
            </w:r>
          </w:p>
        </w:tc>
        <w:tc>
          <w:tcPr>
            <w:tcW w:type="dxa" w:w="15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A cost-conscious buyer who sees the long-term value of an EV but is put off by upfront costs</w:t>
            </w:r>
          </w:p>
        </w:tc>
        <w:tc>
          <w:tcPr>
            <w:tcW w:type="dxa" w:w="15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finance my WhatNext Vision Motors vehicle affordably while maximising available government subsidies and low-interest loan options</w:t>
            </w:r>
          </w:p>
        </w:tc>
        <w:tc>
          <w:tcPr>
            <w:tcW w:type="dxa" w:w="160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the financing process is fragmented — subsidies, loans, and on-road pricing are handled by different parties with little transparency</w:t>
            </w:r>
          </w:p>
        </w:tc>
        <w:tc>
          <w:tcPr>
            <w:tcW w:type="dxa" w:w="170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EV subsidies (FAME II, state-level incentives) are complex and vary by location, and most buyers are unaware of the total savings available to them</w:t>
            </w:r>
          </w:p>
        </w:tc>
        <w:tc>
          <w:tcPr>
            <w:tcW w:type="dxa" w:w="170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vAlign w:val="top"/>
          </w:tcPr>
          <w:p>
            <w:pPr>
              <w:spacing w:after="40" w:before="40"/>
              <w:jc w:val="left"/>
            </w:pPr>
            <w:r>
              <w:rPr>
                <w:rFonts w:ascii="Arial" w:cs="Arial" w:eastAsia="Arial" w:hAnsi="Arial"/>
                <w:b w:val="false"/>
                <w:bCs w:val="false"/>
                <w:color w:val="374151"/>
                <w:sz w:val="19"/>
                <w:szCs w:val="19"/>
              </w:rPr>
              <w:t xml:space="preserve">overwhelmed, distrustful of the process, and financially anxious about committing to the purchase</w:t>
            </w:r>
          </w:p>
        </w:tc>
      </w:tr>
    </w:tbl>
    <w:p>
      <w:pPr>
        <w:spacing w:after="300" w:before="0"/>
        <w:jc w:val="left"/>
      </w:pPr>
      <w:r>
        <w:rPr>
          <w:rFonts w:ascii="Arial" w:cs="Arial" w:eastAsia="Arial" w:hAnsi="Arial"/>
          <w:b w:val="false"/>
          <w:bCs w:val="false"/>
          <w:color w:val="1e293b"/>
          <w:sz w:val="20"/>
          <w:szCs w:val="20"/>
        </w:rPr>
        <w:t xml:space="preserve"/>
      </w:r>
    </w:p>
    <w:p>
      <w:pPr>
        <w:spacing w:after="120" w:before="60"/>
        <w:jc w:val="left"/>
      </w:pPr>
      <w:r>
        <w:rPr>
          <w:rFonts w:ascii="Arial" w:cs="Arial" w:eastAsia="Arial" w:hAnsi="Arial"/>
          <w:b/>
          <w:bCs/>
          <w:color w:val="1A3C5E"/>
          <w:sz w:val="26"/>
          <w:szCs w:val="26"/>
        </w:rPr>
        <w:t xml:space="preserve">Key Insights from Problem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C5E" w:sz="8"/>
              <w:left w:val="single" w:color="1A3C5E" w:sz="8"/>
              <w:bottom w:val="single" w:color="1A3C5E" w:sz="8"/>
              <w:right w:val="single" w:color="1A3C5E" w:sz="8"/>
            </w:tcBorders>
            <w:shd w:fill="1A3C5E" w:val="clear"/>
            <w:tcMar>
              <w:top w:type="dxa" w:w="120"/>
              <w:left w:type="dxa" w:w="160"/>
              <w:bottom w:type="dxa" w:w="120"/>
              <w:right w:type="dxa" w:w="160"/>
            </w:tcMar>
          </w:tcPr>
          <w:p>
            <w:pPr>
              <w:spacing w:after="50" w:before="50"/>
              <w:jc w:val="center"/>
            </w:pPr>
            <w:r>
              <w:rPr>
                <w:rFonts w:ascii="Arial" w:cs="Arial" w:eastAsia="Arial" w:hAnsi="Arial"/>
                <w:b/>
                <w:bCs/>
                <w:color w:val="FFFFFF"/>
                <w:sz w:val="21"/>
                <w:szCs w:val="21"/>
              </w:rPr>
              <w:t xml:space="preserve">Insight Theme</w:t>
            </w:r>
          </w:p>
        </w:tc>
        <w:tc>
          <w:tcPr>
            <w:tcW w:type="dxa" w:w="6240"/>
            <w:tcBorders>
              <w:top w:val="single" w:color="1A3C5E" w:sz="8"/>
              <w:left w:val="single" w:color="1A3C5E" w:sz="8"/>
              <w:bottom w:val="single" w:color="1A3C5E" w:sz="8"/>
              <w:right w:val="single" w:color="1A3C5E" w:sz="8"/>
            </w:tcBorders>
            <w:shd w:fill="1A3C5E" w:val="clear"/>
            <w:tcMar>
              <w:top w:type="dxa" w:w="120"/>
              <w:left w:type="dxa" w:w="160"/>
              <w:bottom w:type="dxa" w:w="120"/>
              <w:right w:type="dxa" w:w="160"/>
            </w:tcMar>
          </w:tcPr>
          <w:p>
            <w:pPr>
              <w:spacing w:after="50" w:before="50"/>
              <w:jc w:val="center"/>
            </w:pPr>
            <w:r>
              <w:rPr>
                <w:rFonts w:ascii="Arial" w:cs="Arial" w:eastAsia="Arial" w:hAnsi="Arial"/>
                <w:b/>
                <w:bCs/>
                <w:color w:val="FFFFFF"/>
                <w:sz w:val="21"/>
                <w:szCs w:val="21"/>
              </w:rPr>
              <w:t xml:space="preserve">What WhatNext Vision Motors Must Address</w:t>
            </w:r>
          </w:p>
        </w:tc>
      </w:tr>
      <w:tr>
        <w:tc>
          <w:tcPr>
            <w:tcW w:type="dxa" w:w="312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tcPr>
          <w:p>
            <w:pPr>
              <w:spacing w:after="50" w:before="60"/>
              <w:jc w:val="left"/>
            </w:pPr>
            <w:r>
              <w:rPr>
                <w:rFonts w:ascii="Arial" w:cs="Arial" w:eastAsia="Arial" w:hAnsi="Arial"/>
                <w:b/>
                <w:bCs/>
                <w:color w:val="1A3C5E"/>
                <w:sz w:val="20"/>
                <w:szCs w:val="20"/>
              </w:rPr>
              <w:t xml:space="preserve">Trust &amp; Transparency</w:t>
            </w:r>
          </w:p>
        </w:tc>
        <w:tc>
          <w:tcPr>
            <w:tcW w:type="dxa" w:w="624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50" w:before="60"/>
              <w:jc w:val="left"/>
            </w:pPr>
            <w:r>
              <w:rPr>
                <w:rFonts w:ascii="Arial" w:cs="Arial" w:eastAsia="Arial" w:hAnsi="Arial"/>
                <w:b w:val="false"/>
                <w:bCs w:val="false"/>
                <w:color w:val="1e293b"/>
                <w:sz w:val="20"/>
                <w:szCs w:val="20"/>
              </w:rPr>
              <w:t xml:space="preserve">Customers need honest, real-world range data, clear pricing, and transparent subsidy information to make confident decisions.</w:t>
            </w:r>
          </w:p>
        </w:tc>
      </w:tr>
      <w:tr>
        <w:tc>
          <w:tcPr>
            <w:tcW w:type="dxa" w:w="312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tcPr>
          <w:p>
            <w:pPr>
              <w:spacing w:after="50" w:before="60"/>
              <w:jc w:val="left"/>
            </w:pPr>
            <w:r>
              <w:rPr>
                <w:rFonts w:ascii="Arial" w:cs="Arial" w:eastAsia="Arial" w:hAnsi="Arial"/>
                <w:b/>
                <w:bCs/>
                <w:color w:val="1A3C5E"/>
                <w:sz w:val="20"/>
                <w:szCs w:val="20"/>
              </w:rPr>
              <w:t xml:space="preserve">Accessibility &amp; Reach</w:t>
            </w:r>
          </w:p>
        </w:tc>
        <w:tc>
          <w:tcPr>
            <w:tcW w:type="dxa" w:w="6240"/>
            <w:tcBorders>
              <w:top w:val="single" w:color="2563EB" w:sz="4"/>
              <w:left w:val="single" w:color="2563EB" w:sz="4"/>
              <w:bottom w:val="single" w:color="2563EB" w:sz="4"/>
              <w:right w:val="single" w:color="2563EB" w:sz="4"/>
            </w:tcBorders>
            <w:shd w:fill="F8FAFC" w:val="clear"/>
            <w:tcMar>
              <w:top w:type="dxa" w:w="120"/>
              <w:left w:type="dxa" w:w="160"/>
              <w:bottom w:type="dxa" w:w="120"/>
              <w:right w:type="dxa" w:w="160"/>
            </w:tcMar>
          </w:tcPr>
          <w:p>
            <w:pPr>
              <w:spacing w:after="50" w:before="60"/>
              <w:jc w:val="left"/>
            </w:pPr>
            <w:r>
              <w:rPr>
                <w:rFonts w:ascii="Arial" w:cs="Arial" w:eastAsia="Arial" w:hAnsi="Arial"/>
                <w:b w:val="false"/>
                <w:bCs w:val="false"/>
                <w:color w:val="1e293b"/>
                <w:sz w:val="20"/>
                <w:szCs w:val="20"/>
              </w:rPr>
              <w:t xml:space="preserve">A virtual showroom and digital-first experience must bridge the gap for buyers in cities without physical dealerships.</w:t>
            </w:r>
          </w:p>
        </w:tc>
      </w:tr>
      <w:tr>
        <w:tc>
          <w:tcPr>
            <w:tcW w:type="dxa" w:w="312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tcPr>
          <w:p>
            <w:pPr>
              <w:spacing w:after="50" w:before="60"/>
              <w:jc w:val="left"/>
            </w:pPr>
            <w:r>
              <w:rPr>
                <w:rFonts w:ascii="Arial" w:cs="Arial" w:eastAsia="Arial" w:hAnsi="Arial"/>
                <w:b/>
                <w:bCs/>
                <w:color w:val="1A3C5E"/>
                <w:sz w:val="20"/>
                <w:szCs w:val="20"/>
              </w:rPr>
              <w:t xml:space="preserve">Proactive Intelligence</w:t>
            </w:r>
          </w:p>
        </w:tc>
        <w:tc>
          <w:tcPr>
            <w:tcW w:type="dxa" w:w="624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50" w:before="60"/>
              <w:jc w:val="left"/>
            </w:pPr>
            <w:r>
              <w:rPr>
                <w:rFonts w:ascii="Arial" w:cs="Arial" w:eastAsia="Arial" w:hAnsi="Arial"/>
                <w:b w:val="false"/>
                <w:bCs w:val="false"/>
                <w:color w:val="1e293b"/>
                <w:sz w:val="20"/>
                <w:szCs w:val="20"/>
              </w:rPr>
              <w:t xml:space="preserve">Smart diagnostics and predictive maintenance must shift the ownership experience from reactive to proactive.</w:t>
            </w:r>
          </w:p>
        </w:tc>
      </w:tr>
      <w:tr>
        <w:tc>
          <w:tcPr>
            <w:tcW w:type="dxa" w:w="3120"/>
            <w:tcBorders>
              <w:top w:val="single" w:color="2563EB" w:sz="4"/>
              <w:left w:val="single" w:color="2563EB" w:sz="4"/>
              <w:bottom w:val="single" w:color="2563EB" w:sz="4"/>
              <w:right w:val="single" w:color="2563EB" w:sz="4"/>
            </w:tcBorders>
            <w:shd w:fill="F0F9FF" w:val="clear"/>
            <w:tcMar>
              <w:top w:type="dxa" w:w="120"/>
              <w:left w:type="dxa" w:w="160"/>
              <w:bottom w:type="dxa" w:w="120"/>
              <w:right w:type="dxa" w:w="160"/>
            </w:tcMar>
          </w:tcPr>
          <w:p>
            <w:pPr>
              <w:spacing w:after="50" w:before="60"/>
              <w:jc w:val="left"/>
            </w:pPr>
            <w:r>
              <w:rPr>
                <w:rFonts w:ascii="Arial" w:cs="Arial" w:eastAsia="Arial" w:hAnsi="Arial"/>
                <w:b/>
                <w:bCs/>
                <w:color w:val="1A3C5E"/>
                <w:sz w:val="20"/>
                <w:szCs w:val="20"/>
              </w:rPr>
              <w:t xml:space="preserve">Financial Empowerment</w:t>
            </w:r>
          </w:p>
        </w:tc>
        <w:tc>
          <w:tcPr>
            <w:tcW w:type="dxa" w:w="6240"/>
            <w:tcBorders>
              <w:top w:val="single" w:color="2563EB" w:sz="4"/>
              <w:left w:val="single" w:color="2563EB" w:sz="4"/>
              <w:bottom w:val="single" w:color="2563EB" w:sz="4"/>
              <w:right w:val="single" w:color="2563EB" w:sz="4"/>
            </w:tcBorders>
            <w:shd w:fill="F8FAFC" w:val="clear"/>
            <w:tcMar>
              <w:top w:type="dxa" w:w="120"/>
              <w:left w:type="dxa" w:w="160"/>
              <w:bottom w:type="dxa" w:w="120"/>
              <w:right w:type="dxa" w:w="160"/>
            </w:tcMar>
          </w:tcPr>
          <w:p>
            <w:pPr>
              <w:spacing w:after="50" w:before="60"/>
              <w:jc w:val="left"/>
            </w:pPr>
            <w:r>
              <w:rPr>
                <w:rFonts w:ascii="Arial" w:cs="Arial" w:eastAsia="Arial" w:hAnsi="Arial"/>
                <w:b w:val="false"/>
                <w:bCs w:val="false"/>
                <w:color w:val="1e293b"/>
                <w:sz w:val="20"/>
                <w:szCs w:val="20"/>
              </w:rPr>
              <w:t xml:space="preserve">Integrated financing with auto-applied subsidies must eliminate the complexity of EV purchase financing for every buyer.</w:t>
            </w:r>
          </w:p>
        </w:tc>
      </w:tr>
    </w:tbl>
    <w:p>
      <w:pPr>
        <w:spacing w:after="240" w:before="0"/>
        <w:jc w:val="left"/>
      </w:pPr>
      <w:r>
        <w:rPr>
          <w:rFonts w:ascii="Arial" w:cs="Arial" w:eastAsia="Arial" w:hAnsi="Arial"/>
          <w:b w:val="false"/>
          <w:bCs w:val="false"/>
          <w:color w:val="1e293b"/>
          <w:sz w:val="20"/>
          <w:szCs w:val="20"/>
        </w:rPr>
        <w:t xml:space="preserve"/>
      </w:r>
    </w:p>
    <w:p>
      <w:pPr>
        <w:spacing w:after="120" w:before="60"/>
        <w:jc w:val="left"/>
      </w:pPr>
      <w:r>
        <w:rPr>
          <w:rFonts w:ascii="Arial" w:cs="Arial" w:eastAsia="Arial" w:hAnsi="Arial"/>
          <w:b/>
          <w:bCs/>
          <w:color w:val="1A3C5E"/>
          <w:sz w:val="24"/>
          <w:szCs w:val="24"/>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gridSpan w:val="1"/>
            <w:tcBorders>
              <w:top w:val="single" w:color="1A3C5E" w:sz="8"/>
              <w:left w:val="single" w:color="1A3C5E" w:sz="8"/>
              <w:bottom w:val="single" w:color="1A3C5E" w:sz="8"/>
              <w:right w:val="single" w:color="1A3C5E" w:sz="8"/>
            </w:tcBorders>
            <w:shd w:fill="1A3C5E" w:val="clear"/>
            <w:tcMar>
              <w:top w:type="dxa" w:w="120"/>
              <w:left w:type="dxa" w:w="160"/>
              <w:bottom w:type="dxa" w:w="120"/>
              <w:right w:type="dxa" w:w="160"/>
            </w:tcMar>
            <w:vAlign w:val="center"/>
          </w:tcPr>
          <w:p>
            <w:pPr>
              <w:spacing w:after="60" w:before="60"/>
              <w:jc w:val="center"/>
            </w:pPr>
            <w:r>
              <w:rPr>
                <w:rFonts w:ascii="Arial" w:cs="Arial" w:eastAsia="Arial" w:hAnsi="Arial"/>
                <w:b/>
                <w:bCs/>
                <w:color w:val="FFFFFF"/>
                <w:sz w:val="24"/>
                <w:szCs w:val="24"/>
              </w:rPr>
              <w:t xml:space="preserve">Role</w:t>
            </w:r>
          </w:p>
        </w:tc>
        <w:tc>
          <w:tcPr>
            <w:tcW w:type="dxa" w:w="3780"/>
            <w:gridSpan w:val="1"/>
            <w:tcBorders>
              <w:top w:val="single" w:color="1A3C5E" w:sz="8"/>
              <w:left w:val="single" w:color="1A3C5E" w:sz="8"/>
              <w:bottom w:val="single" w:color="1A3C5E" w:sz="8"/>
              <w:right w:val="single" w:color="1A3C5E" w:sz="8"/>
            </w:tcBorders>
            <w:shd w:fill="1A3C5E" w:val="clear"/>
            <w:tcMar>
              <w:top w:type="dxa" w:w="120"/>
              <w:left w:type="dxa" w:w="160"/>
              <w:bottom w:type="dxa" w:w="120"/>
              <w:right w:type="dxa" w:w="160"/>
            </w:tcMar>
            <w:vAlign w:val="center"/>
          </w:tcPr>
          <w:p>
            <w:pPr>
              <w:spacing w:after="60" w:before="60"/>
              <w:jc w:val="center"/>
            </w:pPr>
            <w:r>
              <w:rPr>
                <w:rFonts w:ascii="Arial" w:cs="Arial" w:eastAsia="Arial" w:hAnsi="Arial"/>
                <w:b/>
                <w:bCs/>
                <w:color w:val="FFFFFF"/>
                <w:sz w:val="24"/>
                <w:szCs w:val="24"/>
              </w:rPr>
              <w:t xml:space="preserve">Name</w:t>
            </w:r>
          </w:p>
        </w:tc>
        <w:tc>
          <w:tcPr>
            <w:tcW w:type="dxa" w:w="3780"/>
            <w:gridSpan w:val="1"/>
            <w:tcBorders>
              <w:top w:val="single" w:color="1A3C5E" w:sz="8"/>
              <w:left w:val="single" w:color="1A3C5E" w:sz="8"/>
              <w:bottom w:val="single" w:color="1A3C5E" w:sz="8"/>
              <w:right w:val="single" w:color="1A3C5E" w:sz="8"/>
            </w:tcBorders>
            <w:shd w:fill="1A3C5E" w:val="clear"/>
            <w:tcMar>
              <w:top w:type="dxa" w:w="120"/>
              <w:left w:type="dxa" w:w="160"/>
              <w:bottom w:type="dxa" w:w="120"/>
              <w:right w:type="dxa" w:w="160"/>
            </w:tcMar>
            <w:vAlign w:val="center"/>
          </w:tcPr>
          <w:p>
            <w:pPr>
              <w:spacing w:after="60" w:before="60"/>
              <w:jc w:val="center"/>
            </w:pPr>
            <w:r>
              <w:rPr>
                <w:rFonts w:ascii="Arial" w:cs="Arial" w:eastAsia="Arial" w:hAnsi="Arial"/>
                <w:b/>
                <w:bCs/>
                <w:color w:val="FFFFFF"/>
                <w:sz w:val="24"/>
                <w:szCs w:val="24"/>
              </w:rPr>
              <w:t xml:space="preserve">Problem Statement Ownership</w:t>
            </w:r>
          </w:p>
        </w:tc>
      </w:tr>
      <w:tr>
        <w:tc>
          <w:tcPr>
            <w:tcW w:type="dxa" w:w="1800"/>
            <w:tcBorders>
              <w:top w:val="single" w:color="2563EB" w:sz="4"/>
              <w:left w:val="single" w:color="2563EB" w:sz="4"/>
              <w:bottom w:val="single" w:color="2563EB" w:sz="4"/>
              <w:right w:val="single" w:color="2563EB" w:sz="4"/>
            </w:tcBorders>
            <w:shd w:fill="DBEAFE" w:val="clear"/>
            <w:tcMar>
              <w:top w:type="dxa" w:w="120"/>
              <w:left w:type="dxa" w:w="160"/>
              <w:bottom w:type="dxa" w:w="120"/>
              <w:right w:type="dxa" w:w="160"/>
            </w:tcMar>
          </w:tcPr>
          <w:p>
            <w:pPr>
              <w:spacing w:after="80" w:before="60"/>
              <w:jc w:val="left"/>
            </w:pPr>
            <w:r>
              <w:rPr>
                <w:rFonts w:ascii="Arial" w:cs="Arial" w:eastAsia="Arial" w:hAnsi="Arial"/>
                <w:b/>
                <w:bCs/>
                <w:color w:val="1A3C5E"/>
                <w:sz w:val="20"/>
                <w:szCs w:val="20"/>
              </w:rPr>
              <w:t xml:space="preserve">Team Leader</w:t>
            </w:r>
          </w:p>
        </w:tc>
        <w:tc>
          <w:tcPr>
            <w:tcW w:type="dxa" w:w="37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80" w:before="60"/>
              <w:jc w:val="left"/>
            </w:pPr>
            <w:r>
              <w:rPr>
                <w:rFonts w:ascii="Arial" w:cs="Arial" w:eastAsia="Arial" w:hAnsi="Arial"/>
                <w:b/>
                <w:bCs/>
                <w:color w:val="1e293b"/>
                <w:sz w:val="20"/>
                <w:szCs w:val="20"/>
              </w:rPr>
              <w:t xml:space="preserve">MANISHA R</w:t>
            </w:r>
          </w:p>
        </w:tc>
        <w:tc>
          <w:tcPr>
            <w:tcW w:type="dxa" w:w="37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PS-5 — EV Financing &amp; Subsidy Complexity</w:t>
            </w:r>
          </w:p>
        </w:tc>
      </w:tr>
      <w:tr>
        <w:tc>
          <w:tcPr>
            <w:tcW w:type="dxa" w:w="1800"/>
            <w:tcBorders>
              <w:top w:val="single" w:color="2563EB" w:sz="4"/>
              <w:left w:val="single" w:color="2563EB" w:sz="4"/>
              <w:bottom w:val="single" w:color="2563EB" w:sz="4"/>
              <w:right w:val="single" w:color="2563EB" w:sz="4"/>
            </w:tcBorders>
            <w:shd w:fill="F8FAFC" w:val="clear"/>
            <w:tcMar>
              <w:top w:type="dxa" w:w="120"/>
              <w:left w:type="dxa" w:w="160"/>
              <w:bottom w:type="dxa" w:w="120"/>
              <w:right w:type="dxa" w:w="160"/>
            </w:tcMar>
          </w:tcPr>
          <w:p>
            <w:pPr>
              <w:spacing w:after="80" w:before="60"/>
              <w:jc w:val="left"/>
            </w:pPr>
            <w:r>
              <w:rPr>
                <w:rFonts w:ascii="Arial" w:cs="Arial" w:eastAsia="Arial" w:hAnsi="Arial"/>
                <w:b w:val="false"/>
                <w:bCs w:val="false"/>
                <w:color w:val="374151"/>
                <w:sz w:val="20"/>
                <w:szCs w:val="20"/>
              </w:rPr>
              <w:t xml:space="preserve">Developer</w:t>
            </w:r>
          </w:p>
        </w:tc>
        <w:tc>
          <w:tcPr>
            <w:tcW w:type="dxa" w:w="3780"/>
            <w:tcBorders>
              <w:top w:val="single" w:color="2563EB" w:sz="4"/>
              <w:left w:val="single" w:color="2563EB" w:sz="4"/>
              <w:bottom w:val="single" w:color="2563EB" w:sz="4"/>
              <w:right w:val="single" w:color="2563EB" w:sz="4"/>
            </w:tcBorders>
            <w:shd w:fill="F8FAFC"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RAJKUMAR L</w:t>
            </w:r>
          </w:p>
        </w:tc>
        <w:tc>
          <w:tcPr>
            <w:tcW w:type="dxa" w:w="3780"/>
            <w:tcBorders>
              <w:top w:val="single" w:color="2563EB" w:sz="4"/>
              <w:left w:val="single" w:color="2563EB" w:sz="4"/>
              <w:bottom w:val="single" w:color="2563EB" w:sz="4"/>
              <w:right w:val="single" w:color="2563EB" w:sz="4"/>
            </w:tcBorders>
            <w:shd w:fill="F8FAFC"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PS-2 — Overwhelming Vehicle Selection Process</w:t>
            </w:r>
          </w:p>
        </w:tc>
      </w:tr>
      <w:tr>
        <w:tc>
          <w:tcPr>
            <w:tcW w:type="dxa" w:w="180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80" w:before="60"/>
              <w:jc w:val="left"/>
            </w:pPr>
            <w:r>
              <w:rPr>
                <w:rFonts w:ascii="Arial" w:cs="Arial" w:eastAsia="Arial" w:hAnsi="Arial"/>
                <w:b w:val="false"/>
                <w:bCs w:val="false"/>
                <w:color w:val="374151"/>
                <w:sz w:val="20"/>
                <w:szCs w:val="20"/>
              </w:rPr>
              <w:t xml:space="preserve">Developer</w:t>
            </w:r>
          </w:p>
        </w:tc>
        <w:tc>
          <w:tcPr>
            <w:tcW w:type="dxa" w:w="37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TAMIZHKUMARAN M</w:t>
            </w:r>
          </w:p>
        </w:tc>
        <w:tc>
          <w:tcPr>
            <w:tcW w:type="dxa" w:w="37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PS-1 — EV Range Anxiety &amp; Charging Uncertainty</w:t>
            </w:r>
          </w:p>
        </w:tc>
      </w:tr>
      <w:tr>
        <w:tc>
          <w:tcPr>
            <w:tcW w:type="dxa" w:w="1800"/>
            <w:tcBorders>
              <w:top w:val="single" w:color="2563EB" w:sz="4"/>
              <w:left w:val="single" w:color="2563EB" w:sz="4"/>
              <w:bottom w:val="single" w:color="2563EB" w:sz="4"/>
              <w:right w:val="single" w:color="2563EB" w:sz="4"/>
            </w:tcBorders>
            <w:shd w:fill="F8FAFC" w:val="clear"/>
            <w:tcMar>
              <w:top w:type="dxa" w:w="120"/>
              <w:left w:type="dxa" w:w="160"/>
              <w:bottom w:type="dxa" w:w="120"/>
              <w:right w:type="dxa" w:w="160"/>
            </w:tcMar>
          </w:tcPr>
          <w:p>
            <w:pPr>
              <w:spacing w:after="80" w:before="60"/>
              <w:jc w:val="left"/>
            </w:pPr>
            <w:r>
              <w:rPr>
                <w:rFonts w:ascii="Arial" w:cs="Arial" w:eastAsia="Arial" w:hAnsi="Arial"/>
                <w:b w:val="false"/>
                <w:bCs w:val="false"/>
                <w:color w:val="374151"/>
                <w:sz w:val="20"/>
                <w:szCs w:val="20"/>
              </w:rPr>
              <w:t xml:space="preserve">Developer</w:t>
            </w:r>
          </w:p>
        </w:tc>
        <w:tc>
          <w:tcPr>
            <w:tcW w:type="dxa" w:w="3780"/>
            <w:tcBorders>
              <w:top w:val="single" w:color="2563EB" w:sz="4"/>
              <w:left w:val="single" w:color="2563EB" w:sz="4"/>
              <w:bottom w:val="single" w:color="2563EB" w:sz="4"/>
              <w:right w:val="single" w:color="2563EB" w:sz="4"/>
            </w:tcBorders>
            <w:shd w:fill="F8FAFC"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VINITH S</w:t>
            </w:r>
          </w:p>
        </w:tc>
        <w:tc>
          <w:tcPr>
            <w:tcW w:type="dxa" w:w="3780"/>
            <w:tcBorders>
              <w:top w:val="single" w:color="2563EB" w:sz="4"/>
              <w:left w:val="single" w:color="2563EB" w:sz="4"/>
              <w:bottom w:val="single" w:color="2563EB" w:sz="4"/>
              <w:right w:val="single" w:color="2563EB" w:sz="4"/>
            </w:tcBorders>
            <w:shd w:fill="F8FAFC"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PS-3 — Lack of Showroom Access in Tier-2 Cities</w:t>
            </w:r>
          </w:p>
        </w:tc>
      </w:tr>
      <w:tr>
        <w:tc>
          <w:tcPr>
            <w:tcW w:type="dxa" w:w="180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80" w:before="60"/>
              <w:jc w:val="left"/>
            </w:pPr>
            <w:r>
              <w:rPr>
                <w:rFonts w:ascii="Arial" w:cs="Arial" w:eastAsia="Arial" w:hAnsi="Arial"/>
                <w:b w:val="false"/>
                <w:bCs w:val="false"/>
                <w:color w:val="374151"/>
                <w:sz w:val="20"/>
                <w:szCs w:val="20"/>
              </w:rPr>
              <w:t xml:space="preserve">Developer</w:t>
            </w:r>
          </w:p>
        </w:tc>
        <w:tc>
          <w:tcPr>
            <w:tcW w:type="dxa" w:w="37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PORSELVAN A</w:t>
            </w:r>
          </w:p>
        </w:tc>
        <w:tc>
          <w:tcPr>
            <w:tcW w:type="dxa" w:w="3780"/>
            <w:tcBorders>
              <w:top w:val="single" w:color="2563EB" w:sz="4"/>
              <w:left w:val="single" w:color="2563EB" w:sz="4"/>
              <w:bottom w:val="single" w:color="2563EB" w:sz="4"/>
              <w:right w:val="single" w:color="2563EB" w:sz="4"/>
            </w:tcBorders>
            <w:shd w:fill="EFF6FF" w:val="clear"/>
            <w:tcMar>
              <w:top w:type="dxa" w:w="120"/>
              <w:left w:type="dxa" w:w="160"/>
              <w:bottom w:type="dxa" w:w="120"/>
              <w:right w:type="dxa" w:w="160"/>
            </w:tcMar>
          </w:tcPr>
          <w:p>
            <w:pPr>
              <w:spacing w:after="80" w:before="60"/>
              <w:jc w:val="left"/>
            </w:pPr>
            <w:r>
              <w:rPr>
                <w:rFonts w:ascii="Arial" w:cs="Arial" w:eastAsia="Arial" w:hAnsi="Arial"/>
                <w:b w:val="false"/>
                <w:bCs w:val="false"/>
                <w:color w:val="1e293b"/>
                <w:sz w:val="20"/>
                <w:szCs w:val="20"/>
              </w:rPr>
              <w:t xml:space="preserve">PS-4 — Reactive Vehicle Maintenance Experience</w:t>
            </w:r>
          </w:p>
        </w:tc>
      </w:tr>
    </w:tbl>
    <w:p>
      <w:pPr>
        <w:spacing w:after="200" w:before="0"/>
        <w:jc w:val="left"/>
      </w:pPr>
      <w:r>
        <w:rPr>
          <w:rFonts w:ascii="Arial" w:cs="Arial" w:eastAsia="Arial" w:hAnsi="Arial"/>
          <w:b w:val="false"/>
          <w:bCs w:val="false"/>
          <w:color w:val="1e293b"/>
          <w:sz w:val="20"/>
          <w:szCs w:val="20"/>
        </w:rPr>
        <w:t xml:space="preserve"/>
      </w:r>
    </w:p>
    <w:p>
      <w:pPr>
        <w:spacing w:after="0" w:before="0"/>
        <w:jc w:val="center"/>
      </w:pPr>
      <w:r>
        <w:rPr>
          <w:rFonts w:ascii="Arial" w:cs="Arial" w:eastAsia="Arial" w:hAnsi="Arial"/>
          <w:b w:val="false"/>
          <w:bCs w:val="false"/>
          <w:color w:val="6B7280"/>
          <w:sz w:val="19"/>
          <w:szCs w:val="19"/>
        </w:rPr>
        <w:t xml:space="preserve">WhatNext Vision Motors — Shaping the Future of Mobility with Innovation and Excellence</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2026-04-07T05:59:33.913Z</dcterms:created>
  <dcterms:modified xsi:type="dcterms:W3CDTF">2026-04-07T05:59:33.914Z</dcterms:modified>
</cp:coreProperties>
</file>

<file path=docProps/custom.xml><?xml version="1.0" encoding="utf-8"?>
<Properties xmlns="http://schemas.openxmlformats.org/officeDocument/2006/custom-properties" xmlns:vt="http://schemas.openxmlformats.org/officeDocument/2006/docPropsVTypes"/>
</file>