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52"/>
          <w:szCs w:val="52"/>
        </w:rPr>
        <w:t xml:space="preserve">WhatNext Vision Motors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4B5"/>
          <w:sz w:val="26"/>
          <w:szCs w:val="26"/>
        </w:rPr>
        <w:t xml:space="preserve">Shaping the Future of Mobility with Innovation and Excellence</w:t>
      </w:r>
    </w:p>
    <w:p>
      <w:pPr>
        <w:pBdr>
          <w:bottom w:val="single" w:color="2E75B6" w:sz="10" w:space="2"/>
        </w:pBdr>
        <w:spacing w:after="300" w:before="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Technology Stack Document  —  Project Design Phase II</w:t>
      </w: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120"/>
        <w:gridCol w:w="1560"/>
        <w:gridCol w:w="3120"/>
      </w:tblGrid>
      <w:tr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April 2025</w:t>
            </w:r>
          </w:p>
        </w:tc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ID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WNV-2025-001</w:t>
            </w:r>
          </w:p>
        </w:tc>
      </w:tr>
      <w:tr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80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4B5"/>
                <w:sz w:val="20"/>
                <w:szCs w:val="20"/>
              </w:rPr>
              <w:t xml:space="preserve">WhatNext Vision Motors: Shaping the Future of Mobility with Innovation and Excellence</w:t>
            </w:r>
          </w:p>
        </w:tc>
      </w:tr>
      <w:tr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Marks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 Marks</w:t>
            </w:r>
          </w:p>
        </w:tc>
        <w:tc>
          <w:tcPr>
            <w:tcW w:type="dxa" w:w="1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Team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Members</w:t>
            </w:r>
          </w:p>
        </w:tc>
      </w:tr>
    </w:tbl>
    <w:p>
      <w:pPr>
        <w:spacing w:after="160" w:before="28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2400"/>
        <w:gridCol w:w="300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S.No</w:t>
            </w:r>
          </w:p>
        </w:tc>
        <w:tc>
          <w:tcPr>
            <w:tcW w:type="dxa" w:w="33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MANISHA 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Team Leader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Project Coordination, Architecture Design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RAJKUMAR 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Backend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Development, Server &amp; Database Management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TAMIZHKUMARAN 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Frontend Developer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UI/UX Design, Web &amp; Mobile Interface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VINITH 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ML/AI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Predictive Analytics, AI Model Integration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PORSELVAN 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Cloud &amp; DevOps Engineer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Deployment, CI/CD, Cloud Infrastructure</w:t>
            </w:r>
          </w:p>
        </w:tc>
      </w:tr>
    </w:tbl>
    <w:p>
      <w:pPr>
        <w:spacing w:after="160" w:before="28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Technical Architecture</w:t>
      </w:r>
    </w:p>
    <w:p>
      <w:pPr>
        <w:spacing w:after="120" w:before="100"/>
      </w:pPr>
      <w:r>
        <w:rPr>
          <w:rFonts w:ascii="Calibri" w:cs="Calibri" w:eastAsia="Calibri" w:hAnsi="Calibri"/>
          <w:sz w:val="20"/>
          <w:szCs w:val="20"/>
        </w:rPr>
        <w:t xml:space="preserve">The WhatNext Vision Motors platform follows a cloud-native, microservices-based 3-tier architecture deployed on AWS. The system encompasses the following architectural layers and components: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Customer &amp; Dealer Portal (React.js Web App) and Mobile App (Flutter) communicate via HTTPS to an API Gateway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API Gateway (Kong) routes requests to microservices: Vehicle Management, User Auth, Booking &amp; CRM, and ML Engine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ML Service (Python/FastAPI) handles AI-based recommendations, predictive maintenance, and EV range forecasting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layer uses PostgreSQL (RDS) for structured data, MongoDB Atlas for telemetry/logs, and Redis for caching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AWS S3 stores all media assets; CloudFront CDN delivers them globally with low latency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services are containerized (Docker) and orchestrated on AWS EKS (Kubernetes) with auto-scaling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External integrations: Google Maps API, Razorpay Payment Gateway, VAHAN API for vehicle data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1F3864"/>
          <w:sz w:val="20"/>
          <w:szCs w:val="20"/>
        </w:rPr>
        <w:t xml:space="preserve">Architecture Reference Model: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Reference: https://aws.amazon.com/architecture — AWS Well-Architected Framework applied for automotive SaaS platforms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Reference: https://c4model.com — C4 Model used for system context, container, and component diagrams</w:t>
      </w:r>
    </w:p>
    <w:p>
      <w:pPr>
        <w:spacing w:after="160" w:before="20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Architectural Guidelines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All application business logic, vehicle data processing, and AI inference are represented as technology blocks in the architecture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Infrastructural demarcation: Customer devices (local), API Gateway &amp; backend services (AWS Cloud), ML models (AWS SageMaker / EKS)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External interfaces clearly identified: Google Maps API, Razorpay, VAHAN API, CarDekho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Data storage: PostgreSQL RDS (relational), MongoDB Atlas (document), Redis (cache), AWS S3 (file/media)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Machine learning model interface: REST API calls from backend services to ML FastAPI microservice via internal Kubernetes networking</w:t>
      </w:r>
    </w:p>
    <w:p>
      <w:pPr>
        <w:spacing w:after="160" w:before="28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Table-1: Components &amp;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3560"/>
        <w:gridCol w:w="300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S.No</w:t>
            </w:r>
          </w:p>
        </w:tc>
        <w:tc>
          <w:tcPr>
            <w:tcW w:type="dxa" w:w="22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30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Multi-platform interface for customers, dealers &amp; admins — web portal, mobile app &amp; dashboard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React.js, Tailwind CSS, Flutter (Mobile App)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Logic – Vehicle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vehicle listings, inventory tracking, EV fleet data and test drive scheduling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Node.js, Express.js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Logic – AI Recommendation Engine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Personalized vehicle recommendations using user behavior and preferences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FastAPI, Scikit-learn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Application Logic – Predictive Maintenance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AI-driven predictive analytics for vehicle health monitoring and alerts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Python, TensorFlow / PyTorch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Database (Relational)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structured data: user profiles, vehicle records, transactions, bookings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PostgreSQL (AWS RDS)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NoSQL Database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Stores unstructured data: user logs, session data, real-time telemetry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MongoDB Atlas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Cloud File Storage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Storage for vehicle images, documents, ML model artifacts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S3 Bucket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External API – Maps &amp; Navigation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route planning, charging station locator for EV users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Google Maps API / HERE Maps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External API – Payment Gateway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Secure online booking, EMI, and transaction processing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Razorpay / Stripe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External API – Vehicle Data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Real-time vehicle specs, pricing, and regulatory compliance data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VAHAN API / CarDekho API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Machine Learning Model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 range prediction, demand forecasting, personalized pricing &amp; recommendation model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TensorFlow, Scikit-learn, ONNX Runtime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Infrastructure (Cloud)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Full cloud deployment with auto-scaling, load balancing, container orchestration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EC2, AWS EKS (Kubernetes), Docker</w:t>
            </w:r>
          </w:p>
        </w:tc>
      </w:tr>
    </w:tbl>
    <w:p>
      <w:pPr>
        <w:spacing w:after="160" w:before="28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Table-2: Application Characteristics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3560"/>
        <w:gridCol w:w="2800"/>
      </w:tblGrid>
      <w:tr>
        <w:tc>
          <w:tcPr>
            <w:tcW w:type="dxa" w:w="6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S.No</w:t>
            </w:r>
          </w:p>
        </w:tc>
        <w:tc>
          <w:tcPr>
            <w:tcW w:type="dxa" w:w="24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56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Open-Source Frameworks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 for frontend, Node.js &amp; Express for backend, FastAPI &amp; Python for ML services, Flutter for mobile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React.js, Node.js, FastAPI, Flutter, TensorFlow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Security Implementations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JWT-based authentication, OAuth 2.0, AES-256 data encryption, HTTPS/TLS, OWASP Top 10 compliance, AWS IAM role-based access control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JWT, OAuth 2.0, AES-256, SSL/TLS, AWS IAM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Scalable Architecture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3-tier architecture with microservices decomposition — frontend, backend API gateway and ML services independently scalable via Kubernetes HPA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Microservices, Kubernetes HPA, API Gateway (Kong)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Multi-AZ deployment on AWS, Application Load Balancer, Route 53 DNS failover, target 99.9% uptime SLA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ALB, Route 53, Multi-AZ, Auto-Scaling Groups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CDN for static assets, Redis caching layer for frequent queries, async processing via message queues, target &lt;200ms API response time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AWS CloudFront CDN, Redis Cache, RabbitMQ / SQS</w:t>
            </w:r>
          </w:p>
        </w:tc>
      </w:tr>
    </w:tbl>
    <w:p>
      <w:pPr>
        <w:spacing w:after="160" w:before="280"/>
      </w:pPr>
    </w:p>
    <w:p>
      <w:pPr>
        <w:pBdr>
          <w:bottom w:val="single" w:color="2E74B5" w:sz="6" w:space="1"/>
        </w:pBdr>
        <w:spacing w:after="160" w:before="3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References</w:t>
      </w:r>
    </w:p>
    <w:p>
      <w:pPr>
        <w:spacing w:after="40" w:before="6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https://c4model.com/</w:t>
      </w:r>
    </w:p>
    <w:p>
      <w:pPr>
        <w:spacing w:after="40" w:before="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https://aws.amazon.com/architecture</w:t>
      </w:r>
    </w:p>
    <w:p>
      <w:pPr>
        <w:spacing w:after="40" w:before="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https://kubernetes.io/docs/</w:t>
      </w:r>
    </w:p>
    <w:p>
      <w:pPr>
        <w:spacing w:after="40" w:before="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https://reactjs.org/docs/</w:t>
      </w:r>
    </w:p>
    <w:p>
      <w:pPr>
        <w:spacing w:after="40" w:before="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https://developer.ibm.com/patterns/online-order-processing-system-during-pandemic/</w:t>
      </w:r>
    </w:p>
    <w:p>
      <w:pPr>
        <w:spacing w:after="40" w:before="0"/>
      </w:pPr>
      <w:r>
        <w:rPr>
          <w:rFonts w:ascii="Calibri" w:cs="Calibri" w:eastAsia="Calibri" w:hAnsi="Calibri"/>
          <w:color w:val="2E74B5"/>
          <w:sz w:val="20"/>
          <w:szCs w:val="20"/>
        </w:rPr>
        <w:t xml:space="preserve">https://medium.com/the-internal-startup/how-to-draw-useful-technical-architecture-diagrams-2d20c9fda90d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4" w:space="1"/>
      </w:pBdr>
      <w:spacing w:before="80"/>
    </w:pPr>
    <w:r>
      <w:rPr>
        <w:rFonts w:ascii="Calibri" w:cs="Calibri" w:eastAsia="Calibri" w:hAnsi="Calibri"/>
        <w:color w:val="888888"/>
        <w:sz w:val="16"/>
        <w:szCs w:val="16"/>
      </w:rPr>
      <w:t xml:space="preserve">WhatNext Vision Motors  |  Confidential  |  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8" w:space="2"/>
      </w:pBdr>
      <w:spacing w:after="80"/>
      <w:jc w:val="center"/>
    </w:pPr>
    <w:r>
      <w:rPr>
        <w:rFonts w:ascii="Calibri" w:cs="Calibri" w:eastAsia="Calibri" w:hAnsi="Calibri"/>
        <w:b/>
        <w:bCs/>
        <w:color w:val="1F3864"/>
        <w:sz w:val="18"/>
        <w:szCs w:val="18"/>
      </w:rPr>
      <w:t xml:space="preserve">Project Design Phase-II  |  </w:t>
    </w:r>
    <w:r>
      <w:rPr>
        <w:rFonts w:ascii="Calibri" w:cs="Calibri" w:eastAsia="Calibri" w:hAnsi="Calibri"/>
        <w:color w:val="2E74B5"/>
        <w:sz w:val="18"/>
        <w:szCs w:val="18"/>
      </w:rPr>
      <w:t xml:space="preserve">Technology Stack (Architecture &amp; Stack)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2026-04-07T06:33:02.254Z</dcterms:created>
  <dcterms:modified xsi:type="dcterms:W3CDTF">2026-04-07T06:33:02.255Z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