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Newton AI — Employee Handbook</w:t>
      </w:r>
    </w:p>
    <w:p>
      <w:pPr>
        <w:pStyle w:val="Heading1"/>
      </w:pPr>
      <w:r>
        <w:t>1. Company Overview</w:t>
      </w:r>
    </w:p>
    <w:p>
      <w:r>
        <w:t>Newton AI is an enterprise AI platform that enables organizations to deploy intelligent assistants powered by large language models. Founded in 2022, we serve over 500 enterprise customers across 30 countries.</w:t>
      </w:r>
    </w:p>
    <w:p>
      <w:pPr>
        <w:pStyle w:val="Heading1"/>
      </w:pPr>
      <w:r>
        <w:t>2. HR Policies</w:t>
      </w:r>
    </w:p>
    <w:p>
      <w:pPr>
        <w:pStyle w:val="Heading2"/>
      </w:pPr>
      <w:r>
        <w:t>2.1 Work Hours</w:t>
      </w:r>
    </w:p>
    <w:p>
      <w:r>
        <w:t>Standard work hours are 9:00 AM to 5:00 PM, Monday through Friday. Flexible arrangements are available with manager approval.</w:t>
      </w:r>
    </w:p>
    <w:p>
      <w:pPr>
        <w:pStyle w:val="Heading2"/>
      </w:pPr>
      <w:r>
        <w:t>2.2 Leave Policy</w:t>
      </w:r>
    </w:p>
    <w:tbl>
      <w:tblPr>
        <w:tblStyle w:val="TableGrid"/>
        <w:tblW w:type="auto" w:w="0"/>
        <w:tblLook w:firstColumn="1" w:firstRow="1" w:lastColumn="0" w:lastRow="0" w:noHBand="0" w:noVBand="1" w:val="04A0"/>
      </w:tblPr>
      <w:tblGrid>
        <w:gridCol w:w="2880"/>
        <w:gridCol w:w="2880"/>
        <w:gridCol w:w="2880"/>
      </w:tblGrid>
      <w:tr>
        <w:tc>
          <w:tcPr>
            <w:tcW w:type="dxa" w:w="2880"/>
          </w:tcPr>
          <w:p>
            <w:r>
              <w:t>Leave Type</w:t>
            </w:r>
          </w:p>
        </w:tc>
        <w:tc>
          <w:tcPr>
            <w:tcW w:type="dxa" w:w="2880"/>
          </w:tcPr>
          <w:p>
            <w:r>
              <w:t>Days Per Year</w:t>
            </w:r>
          </w:p>
        </w:tc>
        <w:tc>
          <w:tcPr>
            <w:tcW w:type="dxa" w:w="2880"/>
          </w:tcPr>
          <w:p>
            <w:r>
              <w:t>Notes</w:t>
            </w:r>
          </w:p>
        </w:tc>
      </w:tr>
      <w:tr>
        <w:tc>
          <w:tcPr>
            <w:tcW w:type="dxa" w:w="2880"/>
          </w:tcPr>
          <w:p>
            <w:r>
              <w:t>Annual Leave</w:t>
            </w:r>
          </w:p>
        </w:tc>
        <w:tc>
          <w:tcPr>
            <w:tcW w:type="dxa" w:w="2880"/>
          </w:tcPr>
          <w:p>
            <w:r>
              <w:t>20 days</w:t>
            </w:r>
          </w:p>
        </w:tc>
        <w:tc>
          <w:tcPr>
            <w:tcW w:type="dxa" w:w="2880"/>
          </w:tcPr>
          <w:p>
            <w:r>
              <w:t>Must be pre-approved</w:t>
            </w:r>
          </w:p>
        </w:tc>
      </w:tr>
      <w:tr>
        <w:tc>
          <w:tcPr>
            <w:tcW w:type="dxa" w:w="2880"/>
          </w:tcPr>
          <w:p>
            <w:r>
              <w:t>Sick Leave</w:t>
            </w:r>
          </w:p>
        </w:tc>
        <w:tc>
          <w:tcPr>
            <w:tcW w:type="dxa" w:w="2880"/>
          </w:tcPr>
          <w:p>
            <w:r>
              <w:t>10 days</w:t>
            </w:r>
          </w:p>
        </w:tc>
        <w:tc>
          <w:tcPr>
            <w:tcW w:type="dxa" w:w="2880"/>
          </w:tcPr>
          <w:p>
            <w:r>
              <w:t>Medical certificate required &gt; 3 days</w:t>
            </w:r>
          </w:p>
        </w:tc>
      </w:tr>
      <w:tr>
        <w:tc>
          <w:tcPr>
            <w:tcW w:type="dxa" w:w="2880"/>
          </w:tcPr>
          <w:p>
            <w:r>
              <w:t>Parental Leave</w:t>
            </w:r>
          </w:p>
        </w:tc>
        <w:tc>
          <w:tcPr>
            <w:tcW w:type="dxa" w:w="2880"/>
          </w:tcPr>
          <w:p>
            <w:r>
              <w:t>90 days</w:t>
            </w:r>
          </w:p>
        </w:tc>
        <w:tc>
          <w:tcPr>
            <w:tcW w:type="dxa" w:w="2880"/>
          </w:tcPr>
          <w:p>
            <w:r>
              <w:t>Primary caregiver</w:t>
            </w:r>
          </w:p>
        </w:tc>
      </w:tr>
      <w:tr>
        <w:tc>
          <w:tcPr>
            <w:tcW w:type="dxa" w:w="2880"/>
          </w:tcPr>
          <w:p>
            <w:r>
              <w:t>Public Holidays</w:t>
            </w:r>
          </w:p>
        </w:tc>
        <w:tc>
          <w:tcPr>
            <w:tcW w:type="dxa" w:w="2880"/>
          </w:tcPr>
          <w:p>
            <w:r>
              <w:t>12 days</w:t>
            </w:r>
          </w:p>
        </w:tc>
        <w:tc>
          <w:tcPr>
            <w:tcW w:type="dxa" w:w="2880"/>
          </w:tcPr>
          <w:p>
            <w:r>
              <w:t>As per local calendar</w:t>
            </w:r>
          </w:p>
        </w:tc>
      </w:tr>
    </w:tbl>
    <w:p>
      <w:pPr>
        <w:pStyle w:val="Heading1"/>
      </w:pPr>
      <w:r>
        <w:t>3. Benefits</w:t>
      </w:r>
    </w:p>
    <w:p>
      <w:pPr>
        <w:pStyle w:val="ListBullet"/>
      </w:pPr>
      <w:r>
        <w:t>Health insurance (medical, dental, vision)</w:t>
      </w:r>
    </w:p>
    <w:p>
      <w:pPr>
        <w:pStyle w:val="ListBullet"/>
      </w:pPr>
      <w:r>
        <w:t>401(k) with 4% employer match</w:t>
      </w:r>
    </w:p>
    <w:p>
      <w:pPr>
        <w:pStyle w:val="ListBullet"/>
      </w:pPr>
      <w:r>
        <w:t>Annual learning &amp; development budget: $2,000</w:t>
      </w:r>
    </w:p>
    <w:p>
      <w:pPr>
        <w:pStyle w:val="ListBullet"/>
      </w:pPr>
      <w:r>
        <w:t>Remote work allowance: $500/year</w:t>
      </w:r>
    </w:p>
    <w:p>
      <w:pPr>
        <w:pStyle w:val="ListBullet"/>
      </w:pPr>
      <w:r>
        <w:t>Employee stock options (ESOP)</w:t>
      </w:r>
    </w:p>
    <w:p>
      <w:pPr>
        <w:pStyle w:val="Heading1"/>
      </w:pPr>
      <w:r>
        <w:t>4. Code of Conduct</w:t>
      </w:r>
    </w:p>
    <w:p>
      <w:r>
        <w:t>All employees are expected to maintain the highest standards of professional conduct. This includes treating colleagues with respect, protecting confidential information, and complying with all applicable laws and regulations.</w:t>
      </w:r>
    </w:p>
    <w:p>
      <w:pPr>
        <w:pStyle w:val="Heading1"/>
      </w:pPr>
      <w:r>
        <w:t>5. Contact</w:t>
      </w:r>
    </w:p>
    <w:p>
      <w:r>
        <w:t>HR Department: hr@company.com | +1-800-555-0100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