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8"/>
          <w:sz w:val="28"/>
        </w:rPr>
        <w:t>ENTERPRISE IDENTITY SECURITY PLATFORM (EISP)</w:t>
      </w:r>
    </w:p>
    <w:p>
      <w:pPr>
        <w:jc w:val="center"/>
      </w:pPr>
      <w:r>
        <w:rPr>
          <w:b/>
          <w:color w:val="1F4E78"/>
          <w:sz w:val="52"/>
        </w:rPr>
        <w:t>Compliance Program Development</w:t>
      </w:r>
    </w:p>
    <w:p>
      <w:pPr>
        <w:jc w:val="center"/>
      </w:pPr>
      <w:r>
        <w:rPr>
          <w:color w:val="595659"/>
          <w:sz w:val="26"/>
        </w:rPr>
        <w:t>Program Governance, Policy, Procedures &amp; Training Plan</w:t>
      </w:r>
    </w:p>
    <w:p/>
    <w:p>
      <w:pPr>
        <w:jc w:val="center"/>
      </w:pPr>
      <w:r>
        <w:rPr>
          <w:b/>
          <w:sz w:val="22"/>
        </w:rPr>
        <w:t xml:space="preserve">Document ID: </w:t>
      </w:r>
      <w:r>
        <w:rPr>
          <w:sz w:val="22"/>
        </w:rPr>
        <w:t>CMP-EISP-02</w:t>
      </w:r>
    </w:p>
    <w:p>
      <w:pPr>
        <w:jc w:val="center"/>
      </w:pPr>
      <w:r>
        <w:rPr>
          <w:b/>
          <w:sz w:val="22"/>
        </w:rPr>
        <w:t xml:space="preserve">Version: </w:t>
      </w:r>
      <w:r>
        <w:rPr>
          <w:sz w:val="22"/>
        </w:rPr>
        <w:t>1.0</w:t>
      </w:r>
    </w:p>
    <w:p>
      <w:pPr>
        <w:jc w:val="center"/>
      </w:pPr>
      <w:r>
        <w:rPr>
          <w:b/>
          <w:sz w:val="22"/>
        </w:rPr>
        <w:t xml:space="preserve">Date: </w:t>
      </w:r>
      <w:r>
        <w:rPr>
          <w:sz w:val="22"/>
        </w:rPr>
        <w:t>October 2026</w:t>
      </w:r>
    </w:p>
    <w:p>
      <w:pPr>
        <w:jc w:val="center"/>
      </w:pPr>
      <w:r>
        <w:rPr>
          <w:b/>
          <w:sz w:val="22"/>
        </w:rPr>
        <w:t xml:space="preserve">Prepared by: </w:t>
      </w:r>
      <w:r>
        <w:rPr>
          <w:sz w:val="22"/>
        </w:rPr>
        <w:t>Manisha Gupta</w:t>
      </w:r>
    </w:p>
    <w:p>
      <w:pPr>
        <w:jc w:val="center"/>
      </w:pPr>
      <w:r>
        <w:rPr>
          <w:b/>
          <w:sz w:val="22"/>
        </w:rPr>
        <w:t xml:space="preserve">Classification: </w:t>
      </w:r>
      <w:r>
        <w:rPr>
          <w:sz w:val="22"/>
        </w:rPr>
        <w:t>Internal</w:t>
      </w:r>
    </w:p>
    <w:p>
      <w:r>
        <w:br w:type="page"/>
      </w:r>
    </w:p>
    <w:p>
      <w:pPr>
        <w:pStyle w:val="Heading1"/>
      </w:pPr>
      <w:r>
        <w:t>1. Executive Summary</w:t>
      </w:r>
    </w:p>
    <w:p>
      <w:r>
        <w:rPr>
          <w:sz w:val="22"/>
        </w:rPr>
        <w:t>This document defines the compliance program for the Enterprise Identity Security Platform (EISP), the identity and access management (IAM) platform built to demonstrate production-grade IAM engineering skills. EISP consists of an Authentik identity provider (IdP) deployed via Docker Compose — with PostgreSQL 16, Authentik server and worker nodes, an LDAP outpost, and a whoami test application — federated to AWS IAM through Terraform-managed roles, permission boundaries, and SAML-based single sign-on.</w:t>
      </w:r>
    </w:p>
    <w:p>
      <w:r>
        <w:rPr>
          <w:sz w:val="22"/>
        </w:rPr>
        <w:t>The program establishes how EISP meets its compliance obligations on an ongoing basis. It defines a three-lines-of-defense governance model, a stakeholder engagement and communication strategy, a comprehensive Access Control and Authentication Policy mapped to PCI DSS v4.0 and NIST SP 800-53 controls, a detailed user lifecycle management (joiner/mover/leaver) procedure, and a role-based training plan with measurable assessments.</w:t>
      </w:r>
    </w:p>
    <w:p>
      <w:r>
        <w:rPr>
          <w:sz w:val="22"/>
        </w:rPr>
        <w:t>Key outcomes this program delivers:</w:t>
      </w:r>
    </w:p>
    <w:p>
      <w:pPr>
        <w:pStyle w:val="ListBullet"/>
      </w:pPr>
      <w:r>
        <w:rPr>
          <w:b/>
        </w:rPr>
        <w:t xml:space="preserve">Governance: </w:t>
      </w:r>
      <w:r>
        <w:rPr>
          <w:sz w:val="22"/>
        </w:rPr>
        <w:t>Clear accountability for identity-related compliance through defined roles and a RACI matrix.</w:t>
      </w:r>
    </w:p>
    <w:p>
      <w:pPr>
        <w:pStyle w:val="ListBullet"/>
      </w:pPr>
      <w:r>
        <w:rPr>
          <w:b/>
        </w:rPr>
        <w:t xml:space="preserve">Policy: </w:t>
      </w:r>
      <w:r>
        <w:rPr>
          <w:sz w:val="22"/>
        </w:rPr>
        <w:t>Enforceable, version-controlled policy for access control and authentication across Authentik and AWS IAM.</w:t>
      </w:r>
    </w:p>
    <w:p>
      <w:pPr>
        <w:pStyle w:val="ListBullet"/>
      </w:pPr>
      <w:r>
        <w:rPr>
          <w:b/>
        </w:rPr>
        <w:t xml:space="preserve">Operations: </w:t>
      </w:r>
      <w:r>
        <w:rPr>
          <w:sz w:val="22"/>
        </w:rPr>
        <w:t>Repeatable, testable procedures for provisioning, modification, and deprovisioning of identities.</w:t>
      </w:r>
    </w:p>
    <w:p>
      <w:pPr>
        <w:pStyle w:val="ListBullet"/>
      </w:pPr>
      <w:r>
        <w:rPr>
          <w:b/>
        </w:rPr>
        <w:t xml:space="preserve">Assurance: </w:t>
      </w:r>
      <w:r>
        <w:rPr>
          <w:sz w:val="22"/>
        </w:rPr>
        <w:t>A trained workforce with demonstrated competence, verified through quizzes and hands-on lab assessments.</w:t>
      </w:r>
    </w:p>
    <w:p>
      <w:pPr>
        <w:pStyle w:val="Heading1"/>
      </w:pPr>
      <w:r>
        <w:t>2. Program Governance Model</w:t>
      </w:r>
    </w:p>
    <w:p>
      <w:pPr>
        <w:pStyle w:val="Heading2"/>
      </w:pPr>
      <w:r>
        <w:t>2.1 Three Lines of Defense</w:t>
      </w:r>
    </w:p>
    <w:p>
      <w:r>
        <w:rPr>
          <w:sz w:val="22"/>
        </w:rPr>
        <w:t>EISP adopts the Three Lines of Defense model, adapted to an identity platform:</w:t>
      </w:r>
    </w:p>
    <w:p>
      <w:pPr>
        <w:pStyle w:val="ListBullet"/>
      </w:pPr>
      <w:r>
        <w:rPr>
          <w:b/>
        </w:rPr>
        <w:t xml:space="preserve">1st line: </w:t>
      </w:r>
      <w:r>
        <w:rPr>
          <w:sz w:val="22"/>
        </w:rPr>
        <w:t>First line — IAM Engineering &amp; Operations. The IAM Engineer builds and operates the platform: Authentik configuration, Terraform-managed AWS roles and policies, group memberships, and day-to-day provisioning. Owns control operation.</w:t>
      </w:r>
    </w:p>
    <w:p>
      <w:pPr>
        <w:pStyle w:val="ListBullet"/>
      </w:pPr>
      <w:r>
        <w:rPr>
          <w:b/>
        </w:rPr>
        <w:t xml:space="preserve">2nd line: </w:t>
      </w:r>
      <w:r>
        <w:rPr>
          <w:sz w:val="22"/>
        </w:rPr>
        <w:t>Second line — Security &amp; Compliance Oversight. The Security Analyst and Compliance Lead define control requirements, monitor compliance (access reviews, configuration drift), manage policy, and report status. Owns control design oversight.</w:t>
      </w:r>
    </w:p>
    <w:p>
      <w:pPr>
        <w:pStyle w:val="ListBullet"/>
      </w:pPr>
      <w:r>
        <w:rPr>
          <w:b/>
        </w:rPr>
        <w:t xml:space="preserve">3rd line: </w:t>
      </w:r>
      <w:r>
        <w:rPr>
          <w:sz w:val="22"/>
        </w:rPr>
        <w:t>Third line — Independent Audit. The Independent Assessor independently tests control design and operating effectiveness and reports directly to the System Owner, free from operational influence.</w:t>
      </w:r>
    </w:p>
    <w:p>
      <w:r>
        <w:rPr>
          <w:sz w:val="22"/>
        </w:rPr>
        <w:t>Segregation between the lines is enforced structurally: the IAM Engineer cannot approve their own access changes, and the Independent Assessor has no operational responsibilities in EISP.</w:t>
      </w:r>
    </w:p>
    <w:p>
      <w:pPr>
        <w:pStyle w:val="Heading2"/>
      </w:pPr>
      <w:r>
        <w:t>2.2 Governance Bodies and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8"/>
          </w:tcPr>
          <w:p>
            <w:r>
              <w:rPr>
                <w:b/>
                <w:color w:val="FFFFFF"/>
                <w:sz w:val="20"/>
              </w:rPr>
            </w:r>
            <w:r>
              <w:rPr>
                <w:b/>
                <w:color w:val="FFFFFF"/>
                <w:sz w:val="20"/>
              </w:rPr>
              <w:t>Role</w:t>
            </w:r>
          </w:p>
        </w:tc>
        <w:tc>
          <w:tcPr>
            <w:tcW w:type="dxa" w:w="4320"/>
            <w:shd w:val="clear" w:fill="1F4E78"/>
          </w:tcPr>
          <w:p>
            <w:r>
              <w:rPr>
                <w:b/>
                <w:color w:val="FFFFFF"/>
                <w:sz w:val="20"/>
              </w:rPr>
            </w:r>
            <w:r>
              <w:rPr>
                <w:b/>
                <w:color w:val="FFFFFF"/>
                <w:sz w:val="20"/>
              </w:rPr>
              <w:t>Responsibilities</w:t>
            </w:r>
          </w:p>
        </w:tc>
      </w:tr>
      <w:tr>
        <w:tc>
          <w:tcPr>
            <w:tcW w:type="dxa" w:w="4320"/>
          </w:tcPr>
          <w:p>
            <w:r/>
            <w:r>
              <w:rPr>
                <w:sz w:val="20"/>
              </w:rPr>
              <w:t>System Owner</w:t>
            </w:r>
          </w:p>
        </w:tc>
        <w:tc>
          <w:tcPr>
            <w:tcW w:type="dxa" w:w="4320"/>
          </w:tcPr>
          <w:p>
            <w:r/>
            <w:r>
              <w:rPr>
                <w:sz w:val="20"/>
              </w:rPr>
              <w:t>Accountable for the EISP platform and its compliance posture. Approves policies, accepts residual risk, ensures resources. Final escalation point for incidents and audit findings.</w:t>
            </w:r>
          </w:p>
        </w:tc>
      </w:tr>
      <w:tr>
        <w:tc>
          <w:tcPr>
            <w:tcW w:type="dxa" w:w="4320"/>
          </w:tcPr>
          <w:p>
            <w:r/>
            <w:r>
              <w:rPr>
                <w:sz w:val="20"/>
              </w:rPr>
              <w:t>IAM Engineer</w:t>
            </w:r>
          </w:p>
        </w:tc>
        <w:tc>
          <w:tcPr>
            <w:tcW w:type="dxa" w:w="4320"/>
          </w:tcPr>
          <w:p>
            <w:r/>
            <w:r>
              <w:rPr>
                <w:sz w:val="20"/>
              </w:rPr>
              <w:t>Designs, builds, and operates identity controls: Authentik configuration (users, groups, providers, applications), Terraform AWS IAM roles/policies/permission boundaries, SAML federation, and user lifecycle execution.</w:t>
            </w:r>
          </w:p>
        </w:tc>
      </w:tr>
      <w:tr>
        <w:tc>
          <w:tcPr>
            <w:tcW w:type="dxa" w:w="4320"/>
          </w:tcPr>
          <w:p>
            <w:r/>
            <w:r>
              <w:rPr>
                <w:sz w:val="20"/>
              </w:rPr>
              <w:t>Security Analyst</w:t>
            </w:r>
          </w:p>
        </w:tc>
        <w:tc>
          <w:tcPr>
            <w:tcW w:type="dxa" w:w="4320"/>
          </w:tcPr>
          <w:p>
            <w:r/>
            <w:r>
              <w:rPr>
                <w:sz w:val="20"/>
              </w:rPr>
              <w:t>Monitors the platform: reviews access logs, validates configurations against baselines, triages anomalies, supports incident response, and verifies remediation of findings.</w:t>
            </w:r>
          </w:p>
        </w:tc>
      </w:tr>
      <w:tr>
        <w:tc>
          <w:tcPr>
            <w:tcW w:type="dxa" w:w="4320"/>
          </w:tcPr>
          <w:p>
            <w:r/>
            <w:r>
              <w:rPr>
                <w:sz w:val="20"/>
              </w:rPr>
              <w:t>Compliance Lead</w:t>
            </w:r>
          </w:p>
        </w:tc>
        <w:tc>
          <w:tcPr>
            <w:tcW w:type="dxa" w:w="4320"/>
          </w:tcPr>
          <w:p>
            <w:r/>
            <w:r>
              <w:rPr>
                <w:sz w:val="20"/>
              </w:rPr>
              <w:t>Owns the compliance program: maintains policies and procedures, schedules control testing and access reviews, tracks findings to closure, and reports compliance status to the System Owner.</w:t>
            </w:r>
          </w:p>
        </w:tc>
      </w:tr>
      <w:tr>
        <w:tc>
          <w:tcPr>
            <w:tcW w:type="dxa" w:w="4320"/>
          </w:tcPr>
          <w:p>
            <w:r/>
            <w:r>
              <w:rPr>
                <w:sz w:val="20"/>
              </w:rPr>
              <w:t>Independent Assessor</w:t>
            </w:r>
          </w:p>
        </w:tc>
        <w:tc>
          <w:tcPr>
            <w:tcW w:type="dxa" w:w="4320"/>
          </w:tcPr>
          <w:p>
            <w:r/>
            <w:r>
              <w:rPr>
                <w:sz w:val="20"/>
              </w:rPr>
              <w:t>Independently evaluates control design and operating effectiveness (no operational duties). Produces assessment reports with findings and recommendations.</w:t>
            </w:r>
          </w:p>
        </w:tc>
      </w:tr>
    </w:tbl>
    <w:p/>
    <w:p>
      <w:pPr>
        <w:pStyle w:val="Heading2"/>
      </w:pPr>
      <w:r>
        <w:t>2.3 RACI Matrix</w:t>
      </w:r>
    </w:p>
    <w:p>
      <w:r>
        <w:rPr>
          <w:sz w:val="22"/>
        </w:rPr>
        <w:t>R = Responsible (does the work), A = Accountable (owns the outcome), C = Consulted, I = Informed.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8"/>
          </w:tcPr>
          <w:p>
            <w:r>
              <w:rPr>
                <w:b/>
                <w:color w:val="FFFFFF"/>
                <w:sz w:val="20"/>
              </w:rPr>
            </w:r>
            <w:r>
              <w:rPr>
                <w:b/>
                <w:color w:val="FFFFFF"/>
                <w:sz w:val="20"/>
              </w:rPr>
              <w:t>Activity</w:t>
            </w:r>
          </w:p>
        </w:tc>
        <w:tc>
          <w:tcPr>
            <w:tcW w:type="dxa" w:w="1440"/>
            <w:shd w:val="clear" w:fill="1F4E78"/>
          </w:tcPr>
          <w:p>
            <w:r>
              <w:rPr>
                <w:b/>
                <w:color w:val="FFFFFF"/>
                <w:sz w:val="20"/>
              </w:rPr>
            </w:r>
            <w:r>
              <w:rPr>
                <w:b/>
                <w:color w:val="FFFFFF"/>
                <w:sz w:val="20"/>
              </w:rPr>
              <w:t>System Owner</w:t>
            </w:r>
          </w:p>
        </w:tc>
        <w:tc>
          <w:tcPr>
            <w:tcW w:type="dxa" w:w="1440"/>
            <w:shd w:val="clear" w:fill="1F4E78"/>
          </w:tcPr>
          <w:p>
            <w:r>
              <w:rPr>
                <w:b/>
                <w:color w:val="FFFFFF"/>
                <w:sz w:val="20"/>
              </w:rPr>
            </w:r>
            <w:r>
              <w:rPr>
                <w:b/>
                <w:color w:val="FFFFFF"/>
                <w:sz w:val="20"/>
              </w:rPr>
              <w:t>IAM Engineer</w:t>
            </w:r>
          </w:p>
        </w:tc>
        <w:tc>
          <w:tcPr>
            <w:tcW w:type="dxa" w:w="1440"/>
            <w:shd w:val="clear" w:fill="1F4E78"/>
          </w:tcPr>
          <w:p>
            <w:r>
              <w:rPr>
                <w:b/>
                <w:color w:val="FFFFFF"/>
                <w:sz w:val="20"/>
              </w:rPr>
            </w:r>
            <w:r>
              <w:rPr>
                <w:b/>
                <w:color w:val="FFFFFF"/>
                <w:sz w:val="20"/>
              </w:rPr>
              <w:t>Security Analyst</w:t>
            </w:r>
          </w:p>
        </w:tc>
        <w:tc>
          <w:tcPr>
            <w:tcW w:type="dxa" w:w="1440"/>
            <w:shd w:val="clear" w:fill="1F4E78"/>
          </w:tcPr>
          <w:p>
            <w:r>
              <w:rPr>
                <w:b/>
                <w:color w:val="FFFFFF"/>
                <w:sz w:val="20"/>
              </w:rPr>
            </w:r>
            <w:r>
              <w:rPr>
                <w:b/>
                <w:color w:val="FFFFFF"/>
                <w:sz w:val="20"/>
              </w:rPr>
              <w:t>Compliance Lead</w:t>
            </w:r>
          </w:p>
        </w:tc>
        <w:tc>
          <w:tcPr>
            <w:tcW w:type="dxa" w:w="1440"/>
            <w:shd w:val="clear" w:fill="1F4E78"/>
          </w:tcPr>
          <w:p>
            <w:r>
              <w:rPr>
                <w:b/>
                <w:color w:val="FFFFFF"/>
                <w:sz w:val="20"/>
              </w:rPr>
            </w:r>
            <w:r>
              <w:rPr>
                <w:b/>
                <w:color w:val="FFFFFF"/>
                <w:sz w:val="20"/>
              </w:rPr>
              <w:t>Independent Assessor</w:t>
            </w:r>
          </w:p>
        </w:tc>
      </w:tr>
      <w:tr>
        <w:tc>
          <w:tcPr>
            <w:tcW w:type="dxa" w:w="1440"/>
          </w:tcPr>
          <w:p>
            <w:r/>
            <w:r>
              <w:rPr>
                <w:sz w:val="20"/>
              </w:rPr>
              <w:t>Policy approval</w:t>
            </w:r>
          </w:p>
        </w:tc>
        <w:tc>
          <w:tcPr>
            <w:tcW w:type="dxa" w:w="1440"/>
          </w:tcPr>
          <w:p>
            <w:r/>
            <w:r>
              <w:rPr>
                <w:sz w:val="20"/>
              </w:rPr>
              <w:t>A</w:t>
            </w:r>
          </w:p>
        </w:tc>
        <w:tc>
          <w:tcPr>
            <w:tcW w:type="dxa" w:w="1440"/>
          </w:tcPr>
          <w:p>
            <w:r/>
            <w:r>
              <w:rPr>
                <w:sz w:val="20"/>
              </w:rPr>
              <w:t>R</w:t>
            </w:r>
          </w:p>
        </w:tc>
        <w:tc>
          <w:tcPr>
            <w:tcW w:type="dxa" w:w="1440"/>
          </w:tcPr>
          <w:p>
            <w:r/>
            <w:r>
              <w:rPr>
                <w:sz w:val="20"/>
              </w:rPr>
              <w:t>C</w:t>
            </w:r>
          </w:p>
        </w:tc>
        <w:tc>
          <w:tcPr>
            <w:tcW w:type="dxa" w:w="1440"/>
          </w:tcPr>
          <w:p>
            <w:r/>
            <w:r>
              <w:rPr>
                <w:sz w:val="20"/>
              </w:rPr>
              <w:t>R</w:t>
            </w:r>
          </w:p>
        </w:tc>
        <w:tc>
          <w:tcPr>
            <w:tcW w:type="dxa" w:w="1440"/>
          </w:tcPr>
          <w:p>
            <w:r/>
            <w:r>
              <w:rPr>
                <w:sz w:val="20"/>
              </w:rPr>
              <w:t>I</w:t>
            </w:r>
          </w:p>
        </w:tc>
      </w:tr>
      <w:tr>
        <w:tc>
          <w:tcPr>
            <w:tcW w:type="dxa" w:w="1440"/>
          </w:tcPr>
          <w:p>
            <w:r/>
            <w:r>
              <w:rPr>
                <w:sz w:val="20"/>
              </w:rPr>
              <w:t>Access provisioning (joiner)</w:t>
            </w:r>
          </w:p>
        </w:tc>
        <w:tc>
          <w:tcPr>
            <w:tcW w:type="dxa" w:w="1440"/>
          </w:tcPr>
          <w:p>
            <w:r/>
            <w:r>
              <w:rPr>
                <w:sz w:val="20"/>
              </w:rPr>
              <w:t>I</w:t>
            </w:r>
          </w:p>
        </w:tc>
        <w:tc>
          <w:tcPr>
            <w:tcW w:type="dxa" w:w="1440"/>
          </w:tcPr>
          <w:p>
            <w:r/>
            <w:r>
              <w:rPr>
                <w:sz w:val="20"/>
              </w:rPr>
              <w:t>R/A</w:t>
            </w:r>
          </w:p>
        </w:tc>
        <w:tc>
          <w:tcPr>
            <w:tcW w:type="dxa" w:w="1440"/>
          </w:tcPr>
          <w:p>
            <w:r/>
            <w:r>
              <w:rPr>
                <w:sz w:val="20"/>
              </w:rPr>
              <w:t>I</w:t>
            </w:r>
          </w:p>
        </w:tc>
        <w:tc>
          <w:tcPr>
            <w:tcW w:type="dxa" w:w="1440"/>
          </w:tcPr>
          <w:p>
            <w:r/>
            <w:r>
              <w:rPr>
                <w:sz w:val="20"/>
              </w:rPr>
              <w:t>I</w:t>
            </w:r>
          </w:p>
        </w:tc>
        <w:tc>
          <w:tcPr>
            <w:tcW w:type="dxa" w:w="1440"/>
          </w:tcPr>
          <w:p>
            <w:r/>
            <w:r>
              <w:rPr>
                <w:sz w:val="20"/>
              </w:rPr>
              <w:t>—</w:t>
            </w:r>
          </w:p>
        </w:tc>
      </w:tr>
      <w:tr>
        <w:tc>
          <w:tcPr>
            <w:tcW w:type="dxa" w:w="1440"/>
          </w:tcPr>
          <w:p>
            <w:r/>
            <w:r>
              <w:rPr>
                <w:sz w:val="20"/>
              </w:rPr>
              <w:t>Access modification (mover)</w:t>
            </w:r>
          </w:p>
        </w:tc>
        <w:tc>
          <w:tcPr>
            <w:tcW w:type="dxa" w:w="1440"/>
          </w:tcPr>
          <w:p>
            <w:r/>
            <w:r>
              <w:rPr>
                <w:sz w:val="20"/>
              </w:rPr>
              <w:t>I</w:t>
            </w:r>
          </w:p>
        </w:tc>
        <w:tc>
          <w:tcPr>
            <w:tcW w:type="dxa" w:w="1440"/>
          </w:tcPr>
          <w:p>
            <w:r/>
            <w:r>
              <w:rPr>
                <w:sz w:val="20"/>
              </w:rPr>
              <w:t>R/A</w:t>
            </w:r>
          </w:p>
        </w:tc>
        <w:tc>
          <w:tcPr>
            <w:tcW w:type="dxa" w:w="1440"/>
          </w:tcPr>
          <w:p>
            <w:r/>
            <w:r>
              <w:rPr>
                <w:sz w:val="20"/>
              </w:rPr>
              <w:t>I</w:t>
            </w:r>
          </w:p>
        </w:tc>
        <w:tc>
          <w:tcPr>
            <w:tcW w:type="dxa" w:w="1440"/>
          </w:tcPr>
          <w:p>
            <w:r/>
            <w:r>
              <w:rPr>
                <w:sz w:val="20"/>
              </w:rPr>
              <w:t>I</w:t>
            </w:r>
          </w:p>
        </w:tc>
        <w:tc>
          <w:tcPr>
            <w:tcW w:type="dxa" w:w="1440"/>
          </w:tcPr>
          <w:p>
            <w:r/>
            <w:r>
              <w:rPr>
                <w:sz w:val="20"/>
              </w:rPr>
              <w:t>—</w:t>
            </w:r>
          </w:p>
        </w:tc>
      </w:tr>
      <w:tr>
        <w:tc>
          <w:tcPr>
            <w:tcW w:type="dxa" w:w="1440"/>
          </w:tcPr>
          <w:p>
            <w:r/>
            <w:r>
              <w:rPr>
                <w:sz w:val="20"/>
              </w:rPr>
              <w:t>Access deprovisioning (leaver)</w:t>
            </w:r>
          </w:p>
        </w:tc>
        <w:tc>
          <w:tcPr>
            <w:tcW w:type="dxa" w:w="1440"/>
          </w:tcPr>
          <w:p>
            <w:r/>
            <w:r>
              <w:rPr>
                <w:sz w:val="20"/>
              </w:rPr>
              <w:t>I</w:t>
            </w:r>
          </w:p>
        </w:tc>
        <w:tc>
          <w:tcPr>
            <w:tcW w:type="dxa" w:w="1440"/>
          </w:tcPr>
          <w:p>
            <w:r/>
            <w:r>
              <w:rPr>
                <w:sz w:val="20"/>
              </w:rPr>
              <w:t>R/A</w:t>
            </w:r>
          </w:p>
        </w:tc>
        <w:tc>
          <w:tcPr>
            <w:tcW w:type="dxa" w:w="1440"/>
          </w:tcPr>
          <w:p>
            <w:r/>
            <w:r>
              <w:rPr>
                <w:sz w:val="20"/>
              </w:rPr>
              <w:t>C</w:t>
            </w:r>
          </w:p>
        </w:tc>
        <w:tc>
          <w:tcPr>
            <w:tcW w:type="dxa" w:w="1440"/>
          </w:tcPr>
          <w:p>
            <w:r/>
            <w:r>
              <w:rPr>
                <w:sz w:val="20"/>
              </w:rPr>
              <w:t>I</w:t>
            </w:r>
          </w:p>
        </w:tc>
        <w:tc>
          <w:tcPr>
            <w:tcW w:type="dxa" w:w="1440"/>
          </w:tcPr>
          <w:p>
            <w:r/>
            <w:r>
              <w:rPr>
                <w:sz w:val="20"/>
              </w:rPr>
              <w:t>—</w:t>
            </w:r>
          </w:p>
        </w:tc>
      </w:tr>
      <w:tr>
        <w:tc>
          <w:tcPr>
            <w:tcW w:type="dxa" w:w="1440"/>
          </w:tcPr>
          <w:p>
            <w:r/>
            <w:r>
              <w:rPr>
                <w:sz w:val="20"/>
              </w:rPr>
              <w:t>Quarterly access recertification</w:t>
            </w:r>
          </w:p>
        </w:tc>
        <w:tc>
          <w:tcPr>
            <w:tcW w:type="dxa" w:w="1440"/>
          </w:tcPr>
          <w:p>
            <w:r/>
            <w:r>
              <w:rPr>
                <w:sz w:val="20"/>
              </w:rPr>
              <w:t>I</w:t>
            </w:r>
          </w:p>
        </w:tc>
        <w:tc>
          <w:tcPr>
            <w:tcW w:type="dxa" w:w="1440"/>
          </w:tcPr>
          <w:p>
            <w:r/>
            <w:r>
              <w:rPr>
                <w:sz w:val="20"/>
              </w:rPr>
              <w:t>R</w:t>
            </w:r>
          </w:p>
        </w:tc>
        <w:tc>
          <w:tcPr>
            <w:tcW w:type="dxa" w:w="1440"/>
          </w:tcPr>
          <w:p>
            <w:r/>
            <w:r>
              <w:rPr>
                <w:sz w:val="20"/>
              </w:rPr>
              <w:t>C</w:t>
            </w:r>
          </w:p>
        </w:tc>
        <w:tc>
          <w:tcPr>
            <w:tcW w:type="dxa" w:w="1440"/>
          </w:tcPr>
          <w:p>
            <w:r/>
            <w:r>
              <w:rPr>
                <w:sz w:val="20"/>
              </w:rPr>
              <w:t>A</w:t>
            </w:r>
          </w:p>
        </w:tc>
        <w:tc>
          <w:tcPr>
            <w:tcW w:type="dxa" w:w="1440"/>
          </w:tcPr>
          <w:p>
            <w:r/>
            <w:r>
              <w:rPr>
                <w:sz w:val="20"/>
              </w:rPr>
              <w:t>I</w:t>
            </w:r>
          </w:p>
        </w:tc>
      </w:tr>
      <w:tr>
        <w:tc>
          <w:tcPr>
            <w:tcW w:type="dxa" w:w="1440"/>
          </w:tcPr>
          <w:p>
            <w:r/>
            <w:r>
              <w:rPr>
                <w:sz w:val="20"/>
              </w:rPr>
              <w:t>Control configuration changes</w:t>
            </w:r>
          </w:p>
        </w:tc>
        <w:tc>
          <w:tcPr>
            <w:tcW w:type="dxa" w:w="1440"/>
          </w:tcPr>
          <w:p>
            <w:r/>
            <w:r>
              <w:rPr>
                <w:sz w:val="20"/>
              </w:rPr>
              <w:t>A</w:t>
            </w:r>
          </w:p>
        </w:tc>
        <w:tc>
          <w:tcPr>
            <w:tcW w:type="dxa" w:w="1440"/>
          </w:tcPr>
          <w:p>
            <w:r/>
            <w:r>
              <w:rPr>
                <w:sz w:val="20"/>
              </w:rPr>
              <w:t>R</w:t>
            </w:r>
          </w:p>
        </w:tc>
        <w:tc>
          <w:tcPr>
            <w:tcW w:type="dxa" w:w="1440"/>
          </w:tcPr>
          <w:p>
            <w:r/>
            <w:r>
              <w:rPr>
                <w:sz w:val="20"/>
              </w:rPr>
              <w:t>C</w:t>
            </w:r>
          </w:p>
        </w:tc>
        <w:tc>
          <w:tcPr>
            <w:tcW w:type="dxa" w:w="1440"/>
          </w:tcPr>
          <w:p>
            <w:r/>
            <w:r>
              <w:rPr>
                <w:sz w:val="20"/>
              </w:rPr>
              <w:t>C</w:t>
            </w:r>
          </w:p>
        </w:tc>
        <w:tc>
          <w:tcPr>
            <w:tcW w:type="dxa" w:w="1440"/>
          </w:tcPr>
          <w:p>
            <w:r/>
            <w:r>
              <w:rPr>
                <w:sz w:val="20"/>
              </w:rPr>
              <w:t>I</w:t>
            </w:r>
          </w:p>
        </w:tc>
      </w:tr>
      <w:tr>
        <w:tc>
          <w:tcPr>
            <w:tcW w:type="dxa" w:w="1440"/>
          </w:tcPr>
          <w:p>
            <w:r/>
            <w:r>
              <w:rPr>
                <w:sz w:val="20"/>
              </w:rPr>
              <w:t>Incident response</w:t>
            </w:r>
          </w:p>
        </w:tc>
        <w:tc>
          <w:tcPr>
            <w:tcW w:type="dxa" w:w="1440"/>
          </w:tcPr>
          <w:p>
            <w:r/>
            <w:r>
              <w:rPr>
                <w:sz w:val="20"/>
              </w:rPr>
              <w:t>A</w:t>
            </w:r>
          </w:p>
        </w:tc>
        <w:tc>
          <w:tcPr>
            <w:tcW w:type="dxa" w:w="1440"/>
          </w:tcPr>
          <w:p>
            <w:r/>
            <w:r>
              <w:rPr>
                <w:sz w:val="20"/>
              </w:rPr>
              <w:t>R</w:t>
            </w:r>
          </w:p>
        </w:tc>
        <w:tc>
          <w:tcPr>
            <w:tcW w:type="dxa" w:w="1440"/>
          </w:tcPr>
          <w:p>
            <w:r/>
            <w:r>
              <w:rPr>
                <w:sz w:val="20"/>
              </w:rPr>
              <w:t>R</w:t>
            </w:r>
          </w:p>
        </w:tc>
        <w:tc>
          <w:tcPr>
            <w:tcW w:type="dxa" w:w="1440"/>
          </w:tcPr>
          <w:p>
            <w:r/>
            <w:r>
              <w:rPr>
                <w:sz w:val="20"/>
              </w:rPr>
              <w:t>C</w:t>
            </w:r>
          </w:p>
        </w:tc>
        <w:tc>
          <w:tcPr>
            <w:tcW w:type="dxa" w:w="1440"/>
          </w:tcPr>
          <w:p>
            <w:r/>
            <w:r>
              <w:rPr>
                <w:sz w:val="20"/>
              </w:rPr>
              <w:t>I</w:t>
            </w:r>
          </w:p>
        </w:tc>
      </w:tr>
      <w:tr>
        <w:tc>
          <w:tcPr>
            <w:tcW w:type="dxa" w:w="1440"/>
          </w:tcPr>
          <w:p>
            <w:r/>
            <w:r>
              <w:rPr>
                <w:sz w:val="20"/>
              </w:rPr>
              <w:t>Compliance status reporting</w:t>
            </w:r>
          </w:p>
        </w:tc>
        <w:tc>
          <w:tcPr>
            <w:tcW w:type="dxa" w:w="1440"/>
          </w:tcPr>
          <w:p>
            <w:r/>
            <w:r>
              <w:rPr>
                <w:sz w:val="20"/>
              </w:rPr>
              <w:t>I</w:t>
            </w:r>
          </w:p>
        </w:tc>
        <w:tc>
          <w:tcPr>
            <w:tcW w:type="dxa" w:w="1440"/>
          </w:tcPr>
          <w:p>
            <w:r/>
            <w:r>
              <w:rPr>
                <w:sz w:val="20"/>
              </w:rPr>
              <w:t>C</w:t>
            </w:r>
          </w:p>
        </w:tc>
        <w:tc>
          <w:tcPr>
            <w:tcW w:type="dxa" w:w="1440"/>
          </w:tcPr>
          <w:p>
            <w:r/>
            <w:r>
              <w:rPr>
                <w:sz w:val="20"/>
              </w:rPr>
              <w:t>C</w:t>
            </w:r>
          </w:p>
        </w:tc>
        <w:tc>
          <w:tcPr>
            <w:tcW w:type="dxa" w:w="1440"/>
          </w:tcPr>
          <w:p>
            <w:r/>
            <w:r>
              <w:rPr>
                <w:sz w:val="20"/>
              </w:rPr>
              <w:t>R/A</w:t>
            </w:r>
          </w:p>
        </w:tc>
        <w:tc>
          <w:tcPr>
            <w:tcW w:type="dxa" w:w="1440"/>
          </w:tcPr>
          <w:p>
            <w:r/>
            <w:r>
              <w:rPr>
                <w:sz w:val="20"/>
              </w:rPr>
              <w:t>I</w:t>
            </w:r>
          </w:p>
        </w:tc>
      </w:tr>
      <w:tr>
        <w:tc>
          <w:tcPr>
            <w:tcW w:type="dxa" w:w="1440"/>
          </w:tcPr>
          <w:p>
            <w:r/>
            <w:r>
              <w:rPr>
                <w:sz w:val="20"/>
              </w:rPr>
              <w:t>Independent control assessment</w:t>
            </w:r>
          </w:p>
        </w:tc>
        <w:tc>
          <w:tcPr>
            <w:tcW w:type="dxa" w:w="1440"/>
          </w:tcPr>
          <w:p>
            <w:r/>
            <w:r>
              <w:rPr>
                <w:sz w:val="20"/>
              </w:rPr>
              <w:t>I</w:t>
            </w:r>
          </w:p>
        </w:tc>
        <w:tc>
          <w:tcPr>
            <w:tcW w:type="dxa" w:w="1440"/>
          </w:tcPr>
          <w:p>
            <w:r/>
            <w:r>
              <w:rPr>
                <w:sz w:val="20"/>
              </w:rPr>
              <w:t>C</w:t>
            </w:r>
          </w:p>
        </w:tc>
        <w:tc>
          <w:tcPr>
            <w:tcW w:type="dxa" w:w="1440"/>
          </w:tcPr>
          <w:p>
            <w:r/>
            <w:r>
              <w:rPr>
                <w:sz w:val="20"/>
              </w:rPr>
              <w:t>C</w:t>
            </w:r>
          </w:p>
        </w:tc>
        <w:tc>
          <w:tcPr>
            <w:tcW w:type="dxa" w:w="1440"/>
          </w:tcPr>
          <w:p>
            <w:r/>
            <w:r>
              <w:rPr>
                <w:sz w:val="20"/>
              </w:rPr>
              <w:t>C</w:t>
            </w:r>
          </w:p>
        </w:tc>
        <w:tc>
          <w:tcPr>
            <w:tcW w:type="dxa" w:w="1440"/>
          </w:tcPr>
          <w:p>
            <w:r/>
            <w:r>
              <w:rPr>
                <w:sz w:val="20"/>
              </w:rPr>
              <w:t>R/A</w:t>
            </w:r>
          </w:p>
        </w:tc>
      </w:tr>
      <w:tr>
        <w:tc>
          <w:tcPr>
            <w:tcW w:type="dxa" w:w="1440"/>
          </w:tcPr>
          <w:p>
            <w:r/>
            <w:r>
              <w:rPr>
                <w:sz w:val="20"/>
              </w:rPr>
              <w:t>Training delivery</w:t>
            </w:r>
          </w:p>
        </w:tc>
        <w:tc>
          <w:tcPr>
            <w:tcW w:type="dxa" w:w="1440"/>
          </w:tcPr>
          <w:p>
            <w:r/>
            <w:r>
              <w:rPr>
                <w:sz w:val="20"/>
              </w:rPr>
              <w:t>I</w:t>
            </w:r>
          </w:p>
        </w:tc>
        <w:tc>
          <w:tcPr>
            <w:tcW w:type="dxa" w:w="1440"/>
          </w:tcPr>
          <w:p>
            <w:r/>
            <w:r>
              <w:rPr>
                <w:sz w:val="20"/>
              </w:rPr>
              <w:t>R</w:t>
            </w:r>
          </w:p>
        </w:tc>
        <w:tc>
          <w:tcPr>
            <w:tcW w:type="dxa" w:w="1440"/>
          </w:tcPr>
          <w:p>
            <w:r/>
            <w:r>
              <w:rPr>
                <w:sz w:val="20"/>
              </w:rPr>
              <w:t>C</w:t>
            </w:r>
          </w:p>
        </w:tc>
        <w:tc>
          <w:tcPr>
            <w:tcW w:type="dxa" w:w="1440"/>
          </w:tcPr>
          <w:p>
            <w:r/>
            <w:r>
              <w:rPr>
                <w:sz w:val="20"/>
              </w:rPr>
              <w:t>A</w:t>
            </w:r>
          </w:p>
        </w:tc>
        <w:tc>
          <w:tcPr>
            <w:tcW w:type="dxa" w:w="1440"/>
          </w:tcPr>
          <w:p>
            <w:r/>
            <w:r>
              <w:rPr>
                <w:sz w:val="20"/>
              </w:rPr>
              <w:t>—</w:t>
            </w:r>
          </w:p>
        </w:tc>
      </w:tr>
    </w:tbl>
    <w:p/>
    <w:p>
      <w:pPr>
        <w:pStyle w:val="Heading1"/>
      </w:pPr>
      <w:r>
        <w:t>3. Organizational Chart — EISP Compliance Function</w:t>
      </w:r>
    </w:p>
    <w:p>
      <w:r>
        <w:rPr>
          <w:sz w:val="22"/>
        </w:rPr>
        <w:t>The chart below shows reporting and oversight relationships. A solid line denotes direct reporting; a dotted line denotes independent oversight (the assessor reports findings directly to the System Owner and is organizationally independent of operations).</w:t>
      </w:r>
    </w:p>
    <w:p>
      <w:r>
        <w:rPr>
          <w:rFonts w:ascii="Consolas" w:hAnsi="Consolas"/>
          <w:sz w:val="21"/>
        </w:rPr>
        <w:t>System Owner</w:t>
      </w:r>
    </w:p>
    <w:p>
      <w:r>
        <w:rPr>
          <w:rFonts w:ascii="Consolas" w:hAnsi="Consolas"/>
          <w:sz w:val="21"/>
        </w:rPr>
        <w:t>├── Compliance Lead</w:t>
      </w:r>
    </w:p>
    <w:p>
      <w:r>
        <w:rPr>
          <w:rFonts w:ascii="Consolas" w:hAnsi="Consolas"/>
          <w:sz w:val="21"/>
        </w:rPr>
        <w:t>│   ├── IAM Engineer (1st line — build &amp; operate)</w:t>
      </w:r>
    </w:p>
    <w:p>
      <w:r>
        <w:rPr>
          <w:rFonts w:ascii="Consolas" w:hAnsi="Consolas"/>
          <w:sz w:val="21"/>
        </w:rPr>
        <w:t>│   └── Security Analyst (2nd line — monitor &amp; verify)</w:t>
      </w:r>
    </w:p>
    <w:p>
      <w:r>
        <w:rPr>
          <w:rFonts w:ascii="Consolas" w:hAnsi="Consolas"/>
          <w:sz w:val="21"/>
        </w:rPr>
        <w:t>└── Independent Assessor (3rd line — independent audit) ······ dotted-line reporting to System Owner</w:t>
      </w:r>
    </w:p>
    <w:p/>
    <w:p>
      <w:r>
        <w:rPr>
          <w:sz w:val="22"/>
        </w:rPr>
        <w:t>In a production deployment, the Independent Assessor would sit outside the technology organization entirely (e.g., internal audit or an external firm). For this project, the role is functionally segregated: the assessor performs no operational tasks in Authentik or AWS IAM.</w:t>
      </w:r>
    </w:p>
    <w:p>
      <w:pPr>
        <w:pStyle w:val="Heading1"/>
      </w:pPr>
      <w:r>
        <w:t>4. Stakeholder Identification</w:t>
      </w:r>
    </w:p>
    <w:p>
      <w:r>
        <w:rPr>
          <w:sz w:val="22"/>
        </w:rPr>
        <w:t>Effective compliance depends on engaging the right stakeholders with the right information at the right time. Stakeholders are assessed by interest (how much the program affects them) and influence (how much they affect the program).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8"/>
          </w:tcPr>
          <w:p>
            <w:r>
              <w:rPr>
                <w:b/>
                <w:color w:val="FFFFFF"/>
                <w:sz w:val="20"/>
              </w:rPr>
            </w:r>
            <w:r>
              <w:rPr>
                <w:b/>
                <w:color w:val="FFFFFF"/>
                <w:sz w:val="20"/>
              </w:rPr>
              <w:t>Stakeholder Group</w:t>
            </w:r>
          </w:p>
        </w:tc>
        <w:tc>
          <w:tcPr>
            <w:tcW w:type="dxa" w:w="2160"/>
            <w:shd w:val="clear" w:fill="1F4E78"/>
          </w:tcPr>
          <w:p>
            <w:r>
              <w:rPr>
                <w:b/>
                <w:color w:val="FFFFFF"/>
                <w:sz w:val="20"/>
              </w:rPr>
            </w:r>
            <w:r>
              <w:rPr>
                <w:b/>
                <w:color w:val="FFFFFF"/>
                <w:sz w:val="20"/>
              </w:rPr>
              <w:t>Interests</w:t>
            </w:r>
          </w:p>
        </w:tc>
        <w:tc>
          <w:tcPr>
            <w:tcW w:type="dxa" w:w="2160"/>
            <w:shd w:val="clear" w:fill="1F4E78"/>
          </w:tcPr>
          <w:p>
            <w:r>
              <w:rPr>
                <w:b/>
                <w:color w:val="FFFFFF"/>
                <w:sz w:val="20"/>
              </w:rPr>
            </w:r>
            <w:r>
              <w:rPr>
                <w:b/>
                <w:color w:val="FFFFFF"/>
                <w:sz w:val="20"/>
              </w:rPr>
              <w:t>Influence</w:t>
            </w:r>
          </w:p>
        </w:tc>
        <w:tc>
          <w:tcPr>
            <w:tcW w:type="dxa" w:w="2160"/>
            <w:shd w:val="clear" w:fill="1F4E78"/>
          </w:tcPr>
          <w:p>
            <w:r>
              <w:rPr>
                <w:b/>
                <w:color w:val="FFFFFF"/>
                <w:sz w:val="20"/>
              </w:rPr>
            </w:r>
            <w:r>
              <w:rPr>
                <w:b/>
                <w:color w:val="FFFFFF"/>
                <w:sz w:val="20"/>
              </w:rPr>
              <w:t>Engagement Approach</w:t>
            </w:r>
          </w:p>
        </w:tc>
      </w:tr>
      <w:tr>
        <w:tc>
          <w:tcPr>
            <w:tcW w:type="dxa" w:w="2160"/>
          </w:tcPr>
          <w:p>
            <w:r/>
            <w:r>
              <w:rPr>
                <w:sz w:val="20"/>
              </w:rPr>
              <w:t>Project Sponsor / Instructor</w:t>
            </w:r>
          </w:p>
        </w:tc>
        <w:tc>
          <w:tcPr>
            <w:tcW w:type="dxa" w:w="2160"/>
          </w:tcPr>
          <w:p>
            <w:r/>
            <w:r>
              <w:rPr>
                <w:sz w:val="20"/>
              </w:rPr>
              <w:t>Program meets learning and quality objectives; demonstrable IAM competence</w:t>
            </w:r>
          </w:p>
        </w:tc>
        <w:tc>
          <w:tcPr>
            <w:tcW w:type="dxa" w:w="2160"/>
          </w:tcPr>
          <w:p>
            <w:r/>
            <w:r>
              <w:rPr>
                <w:sz w:val="20"/>
              </w:rPr>
              <w:t>High</w:t>
            </w:r>
          </w:p>
        </w:tc>
        <w:tc>
          <w:tcPr>
            <w:tcW w:type="dxa" w:w="2160"/>
          </w:tcPr>
          <w:p>
            <w:r/>
            <w:r>
              <w:rPr>
                <w:sz w:val="20"/>
              </w:rPr>
              <w:t>Monthly status reviews; final assessment walkthrough; approval of major scope changes</w:t>
            </w:r>
          </w:p>
        </w:tc>
      </w:tr>
      <w:tr>
        <w:tc>
          <w:tcPr>
            <w:tcW w:type="dxa" w:w="2160"/>
          </w:tcPr>
          <w:p>
            <w:r/>
            <w:r>
              <w:rPr>
                <w:sz w:val="20"/>
              </w:rPr>
              <w:t>IAM Engineers (build team)</w:t>
            </w:r>
          </w:p>
        </w:tc>
        <w:tc>
          <w:tcPr>
            <w:tcW w:type="dxa" w:w="2160"/>
          </w:tcPr>
          <w:p>
            <w:r/>
            <w:r>
              <w:rPr>
                <w:sz w:val="20"/>
              </w:rPr>
              <w:t>Clear standards; workable procedures; tooling that supports delivery</w:t>
            </w:r>
          </w:p>
        </w:tc>
        <w:tc>
          <w:tcPr>
            <w:tcW w:type="dxa" w:w="2160"/>
          </w:tcPr>
          <w:p>
            <w:r/>
            <w:r>
              <w:rPr>
                <w:sz w:val="20"/>
              </w:rPr>
              <w:t>High</w:t>
            </w:r>
          </w:p>
        </w:tc>
        <w:tc>
          <w:tcPr>
            <w:tcW w:type="dxa" w:w="2160"/>
          </w:tcPr>
          <w:p>
            <w:r/>
            <w:r>
              <w:rPr>
                <w:sz w:val="20"/>
              </w:rPr>
              <w:t>Co-design of procedures; change notices before control changes; hands-on labs</w:t>
            </w:r>
          </w:p>
        </w:tc>
      </w:tr>
      <w:tr>
        <w:tc>
          <w:tcPr>
            <w:tcW w:type="dxa" w:w="2160"/>
          </w:tcPr>
          <w:p>
            <w:r/>
            <w:r>
              <w:rPr>
                <w:sz w:val="20"/>
              </w:rPr>
              <w:t>Security Analysts</w:t>
            </w:r>
          </w:p>
        </w:tc>
        <w:tc>
          <w:tcPr>
            <w:tcW w:type="dxa" w:w="2160"/>
          </w:tcPr>
          <w:p>
            <w:r/>
            <w:r>
              <w:rPr>
                <w:sz w:val="20"/>
              </w:rPr>
              <w:t>Detectable, monitorable controls; reliable logs and alerts</w:t>
            </w:r>
          </w:p>
        </w:tc>
        <w:tc>
          <w:tcPr>
            <w:tcW w:type="dxa" w:w="2160"/>
          </w:tcPr>
          <w:p>
            <w:r/>
            <w:r>
              <w:rPr>
                <w:sz w:val="20"/>
              </w:rPr>
              <w:t>Medium</w:t>
            </w:r>
          </w:p>
        </w:tc>
        <w:tc>
          <w:tcPr>
            <w:tcW w:type="dxa" w:w="2160"/>
          </w:tcPr>
          <w:p>
            <w:r/>
            <w:r>
              <w:rPr>
                <w:sz w:val="20"/>
              </w:rPr>
              <w:t>Control design reviews; access to Authentik event logs and AWS CloudTrail; incident drills</w:t>
            </w:r>
          </w:p>
        </w:tc>
      </w:tr>
      <w:tr>
        <w:tc>
          <w:tcPr>
            <w:tcW w:type="dxa" w:w="2160"/>
          </w:tcPr>
          <w:p>
            <w:r/>
            <w:r>
              <w:rPr>
                <w:sz w:val="20"/>
              </w:rPr>
              <w:t>Application Teams (SSO consumers)</w:t>
            </w:r>
          </w:p>
        </w:tc>
        <w:tc>
          <w:tcPr>
            <w:tcW w:type="dxa" w:w="2160"/>
          </w:tcPr>
          <w:p>
            <w:r/>
            <w:r>
              <w:rPr>
                <w:sz w:val="20"/>
              </w:rPr>
              <w:t>Reliable single sign-on; minimal integration friction; clear onboarding docs</w:t>
            </w:r>
          </w:p>
        </w:tc>
        <w:tc>
          <w:tcPr>
            <w:tcW w:type="dxa" w:w="2160"/>
          </w:tcPr>
          <w:p>
            <w:r/>
            <w:r>
              <w:rPr>
                <w:sz w:val="20"/>
              </w:rPr>
              <w:t>Medium</w:t>
            </w:r>
          </w:p>
        </w:tc>
        <w:tc>
          <w:tcPr>
            <w:tcW w:type="dxa" w:w="2160"/>
          </w:tcPr>
          <w:p>
            <w:r/>
            <w:r>
              <w:rPr>
                <w:sz w:val="20"/>
              </w:rPr>
              <w:t>SSO onboarding guide; provider/application registration procedure; change notifications</w:t>
            </w:r>
          </w:p>
        </w:tc>
      </w:tr>
      <w:tr>
        <w:tc>
          <w:tcPr>
            <w:tcW w:type="dxa" w:w="2160"/>
          </w:tcPr>
          <w:p>
            <w:r/>
            <w:r>
              <w:rPr>
                <w:sz w:val="20"/>
              </w:rPr>
              <w:t>End Users</w:t>
            </w:r>
          </w:p>
        </w:tc>
        <w:tc>
          <w:tcPr>
            <w:tcW w:type="dxa" w:w="2160"/>
          </w:tcPr>
          <w:p>
            <w:r/>
            <w:r>
              <w:rPr>
                <w:sz w:val="20"/>
              </w:rPr>
              <w:t>Simple, fast, secure login; working MFA; responsive support</w:t>
            </w:r>
          </w:p>
        </w:tc>
        <w:tc>
          <w:tcPr>
            <w:tcW w:type="dxa" w:w="2160"/>
          </w:tcPr>
          <w:p>
            <w:r/>
            <w:r>
              <w:rPr>
                <w:sz w:val="20"/>
              </w:rPr>
              <w:t>Low</w:t>
            </w:r>
          </w:p>
        </w:tc>
        <w:tc>
          <w:tcPr>
            <w:tcW w:type="dxa" w:w="2160"/>
          </w:tcPr>
          <w:p>
            <w:r/>
            <w:r>
              <w:rPr>
                <w:sz w:val="20"/>
              </w:rPr>
              <w:t>Plain-language login guides; MFA enrollment help; service announcements</w:t>
            </w:r>
          </w:p>
        </w:tc>
      </w:tr>
      <w:tr>
        <w:tc>
          <w:tcPr>
            <w:tcW w:type="dxa" w:w="2160"/>
          </w:tcPr>
          <w:p>
            <w:r/>
            <w:r>
              <w:rPr>
                <w:sz w:val="20"/>
              </w:rPr>
              <w:t>Auditors / Assessors</w:t>
            </w:r>
          </w:p>
        </w:tc>
        <w:tc>
          <w:tcPr>
            <w:tcW w:type="dxa" w:w="2160"/>
          </w:tcPr>
          <w:p>
            <w:r/>
            <w:r>
              <w:rPr>
                <w:sz w:val="20"/>
              </w:rPr>
              <w:t>Complete, accessible evidence; independent access to systems and records</w:t>
            </w:r>
          </w:p>
        </w:tc>
        <w:tc>
          <w:tcPr>
            <w:tcW w:type="dxa" w:w="2160"/>
          </w:tcPr>
          <w:p>
            <w:r/>
            <w:r>
              <w:rPr>
                <w:sz w:val="20"/>
              </w:rPr>
              <w:t>High</w:t>
            </w:r>
          </w:p>
        </w:tc>
        <w:tc>
          <w:tcPr>
            <w:tcW w:type="dxa" w:w="2160"/>
          </w:tcPr>
          <w:p>
            <w:r/>
            <w:r>
              <w:rPr>
                <w:sz w:val="20"/>
              </w:rPr>
              <w:t>Read-only evidence access; walkthrough sessions; formal finding and remediation tracking</w:t>
            </w:r>
          </w:p>
        </w:tc>
      </w:tr>
    </w:tbl>
    <w:p/>
    <w:p>
      <w:pPr>
        <w:pStyle w:val="Heading1"/>
      </w:pPr>
      <w:r>
        <w:t>5. Communication Strategy</w:t>
      </w:r>
    </w:p>
    <w:p>
      <w:pPr>
        <w:pStyle w:val="Heading2"/>
      </w:pPr>
      <w:r>
        <w:t>5.1 Objectives</w:t>
      </w:r>
    </w:p>
    <w:p>
      <w:pPr>
        <w:pStyle w:val="ListBullet"/>
      </w:pPr>
      <w:r>
        <w:rPr>
          <w:sz w:val="22"/>
        </w:rPr>
        <w:t>Ensure every stakeholder understands their compliance responsibilities.</w:t>
      </w:r>
    </w:p>
    <w:p>
      <w:pPr>
        <w:pStyle w:val="ListBullet"/>
      </w:pPr>
      <w:r>
        <w:rPr>
          <w:sz w:val="22"/>
        </w:rPr>
        <w:t>Provide timely notice of policy, control, and configuration changes before they take effect.</w:t>
      </w:r>
    </w:p>
    <w:p>
      <w:pPr>
        <w:pStyle w:val="ListBullet"/>
      </w:pPr>
      <w:r>
        <w:rPr>
          <w:sz w:val="22"/>
        </w:rPr>
        <w:t>Maintain a clear, always-available channel for reporting suspected incidents or control failures.</w:t>
      </w:r>
    </w:p>
    <w:p>
      <w:pPr>
        <w:pStyle w:val="ListBullet"/>
      </w:pPr>
      <w:r>
        <w:rPr>
          <w:sz w:val="22"/>
        </w:rPr>
        <w:t>Build a record of communications as evidence of a functioning program.</w:t>
      </w:r>
    </w:p>
    <w:p>
      <w:pPr>
        <w:pStyle w:val="Heading2"/>
      </w:pPr>
      <w:r>
        <w:t>5.2 Communication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8"/>
          </w:tcPr>
          <w:p>
            <w:r>
              <w:rPr>
                <w:b/>
                <w:color w:val="FFFFFF"/>
                <w:sz w:val="20"/>
              </w:rPr>
            </w:r>
            <w:r>
              <w:rPr>
                <w:b/>
                <w:color w:val="FFFFFF"/>
                <w:sz w:val="20"/>
              </w:rPr>
              <w:t>Audience</w:t>
            </w:r>
          </w:p>
        </w:tc>
        <w:tc>
          <w:tcPr>
            <w:tcW w:type="dxa" w:w="1728"/>
            <w:shd w:val="clear" w:fill="1F4E78"/>
          </w:tcPr>
          <w:p>
            <w:r>
              <w:rPr>
                <w:b/>
                <w:color w:val="FFFFFF"/>
                <w:sz w:val="20"/>
              </w:rPr>
            </w:r>
            <w:r>
              <w:rPr>
                <w:b/>
                <w:color w:val="FFFFFF"/>
                <w:sz w:val="20"/>
              </w:rPr>
              <w:t>Channel</w:t>
            </w:r>
          </w:p>
        </w:tc>
        <w:tc>
          <w:tcPr>
            <w:tcW w:type="dxa" w:w="1728"/>
            <w:shd w:val="clear" w:fill="1F4E78"/>
          </w:tcPr>
          <w:p>
            <w:r>
              <w:rPr>
                <w:b/>
                <w:color w:val="FFFFFF"/>
                <w:sz w:val="20"/>
              </w:rPr>
            </w:r>
            <w:r>
              <w:rPr>
                <w:b/>
                <w:color w:val="FFFFFF"/>
                <w:sz w:val="20"/>
              </w:rPr>
              <w:t>Cadence</w:t>
            </w:r>
          </w:p>
        </w:tc>
        <w:tc>
          <w:tcPr>
            <w:tcW w:type="dxa" w:w="1728"/>
            <w:shd w:val="clear" w:fill="1F4E78"/>
          </w:tcPr>
          <w:p>
            <w:r>
              <w:rPr>
                <w:b/>
                <w:color w:val="FFFFFF"/>
                <w:sz w:val="20"/>
              </w:rPr>
            </w:r>
            <w:r>
              <w:rPr>
                <w:b/>
                <w:color w:val="FFFFFF"/>
                <w:sz w:val="20"/>
              </w:rPr>
              <w:t>Message Content</w:t>
            </w:r>
          </w:p>
        </w:tc>
        <w:tc>
          <w:tcPr>
            <w:tcW w:type="dxa" w:w="1728"/>
            <w:shd w:val="clear" w:fill="1F4E78"/>
          </w:tcPr>
          <w:p>
            <w:r>
              <w:rPr>
                <w:b/>
                <w:color w:val="FFFFFF"/>
                <w:sz w:val="20"/>
              </w:rPr>
            </w:r>
            <w:r>
              <w:rPr>
                <w:b/>
                <w:color w:val="FFFFFF"/>
                <w:sz w:val="20"/>
              </w:rPr>
              <w:t>Owner</w:t>
            </w:r>
          </w:p>
        </w:tc>
      </w:tr>
      <w:tr>
        <w:tc>
          <w:tcPr>
            <w:tcW w:type="dxa" w:w="1728"/>
          </w:tcPr>
          <w:p>
            <w:r/>
            <w:r>
              <w:rPr>
                <w:sz w:val="20"/>
              </w:rPr>
              <w:t>All stakeholders</w:t>
            </w:r>
          </w:p>
        </w:tc>
        <w:tc>
          <w:tcPr>
            <w:tcW w:type="dxa" w:w="1728"/>
          </w:tcPr>
          <w:p>
            <w:r/>
            <w:r>
              <w:rPr>
                <w:sz w:val="20"/>
              </w:rPr>
              <w:t>Email / team channel announcement</w:t>
            </w:r>
          </w:p>
        </w:tc>
        <w:tc>
          <w:tcPr>
            <w:tcW w:type="dxa" w:w="1728"/>
          </w:tcPr>
          <w:p>
            <w:r/>
            <w:r>
              <w:rPr>
                <w:sz w:val="20"/>
              </w:rPr>
              <w:t>As needed</w:t>
            </w:r>
          </w:p>
        </w:tc>
        <w:tc>
          <w:tcPr>
            <w:tcW w:type="dxa" w:w="1728"/>
          </w:tcPr>
          <w:p>
            <w:r/>
            <w:r>
              <w:rPr>
                <w:sz w:val="20"/>
              </w:rPr>
              <w:t>Policy updates and new control requirements</w:t>
            </w:r>
          </w:p>
        </w:tc>
        <w:tc>
          <w:tcPr>
            <w:tcW w:type="dxa" w:w="1728"/>
          </w:tcPr>
          <w:p>
            <w:r/>
            <w:r>
              <w:rPr>
                <w:sz w:val="20"/>
              </w:rPr>
              <w:t>Compliance Lead</w:t>
            </w:r>
          </w:p>
        </w:tc>
      </w:tr>
      <w:tr>
        <w:tc>
          <w:tcPr>
            <w:tcW w:type="dxa" w:w="1728"/>
          </w:tcPr>
          <w:p>
            <w:r/>
            <w:r>
              <w:rPr>
                <w:sz w:val="20"/>
              </w:rPr>
              <w:t>IAM Engineers</w:t>
            </w:r>
          </w:p>
        </w:tc>
        <w:tc>
          <w:tcPr>
            <w:tcW w:type="dxa" w:w="1728"/>
          </w:tcPr>
          <w:p>
            <w:r/>
            <w:r>
              <w:rPr>
                <w:sz w:val="20"/>
              </w:rPr>
              <w:t>Change notice (ticket + chat)</w:t>
            </w:r>
          </w:p>
        </w:tc>
        <w:tc>
          <w:tcPr>
            <w:tcW w:type="dxa" w:w="1728"/>
          </w:tcPr>
          <w:p>
            <w:r/>
            <w:r>
              <w:rPr>
                <w:sz w:val="20"/>
              </w:rPr>
              <w:t>Before each change</w:t>
            </w:r>
          </w:p>
        </w:tc>
        <w:tc>
          <w:tcPr>
            <w:tcW w:type="dxa" w:w="1728"/>
          </w:tcPr>
          <w:p>
            <w:r/>
            <w:r>
              <w:rPr>
                <w:sz w:val="20"/>
              </w:rPr>
              <w:t>Planned Authentik/Terraform changes, maintenance windows, rollback plan</w:t>
            </w:r>
          </w:p>
        </w:tc>
        <w:tc>
          <w:tcPr>
            <w:tcW w:type="dxa" w:w="1728"/>
          </w:tcPr>
          <w:p>
            <w:r/>
            <w:r>
              <w:rPr>
                <w:sz w:val="20"/>
              </w:rPr>
              <w:t>IAM Engineer</w:t>
            </w:r>
          </w:p>
        </w:tc>
      </w:tr>
      <w:tr>
        <w:tc>
          <w:tcPr>
            <w:tcW w:type="dxa" w:w="1728"/>
          </w:tcPr>
          <w:p>
            <w:r/>
            <w:r>
              <w:rPr>
                <w:sz w:val="20"/>
              </w:rPr>
              <w:t>Security Analysts</w:t>
            </w:r>
          </w:p>
        </w:tc>
        <w:tc>
          <w:tcPr>
            <w:tcW w:type="dxa" w:w="1728"/>
          </w:tcPr>
          <w:p>
            <w:r/>
            <w:r>
              <w:rPr>
                <w:sz w:val="20"/>
              </w:rPr>
              <w:t>SIEM/log review summary</w:t>
            </w:r>
          </w:p>
        </w:tc>
        <w:tc>
          <w:tcPr>
            <w:tcW w:type="dxa" w:w="1728"/>
          </w:tcPr>
          <w:p>
            <w:r/>
            <w:r>
              <w:rPr>
                <w:sz w:val="20"/>
              </w:rPr>
              <w:t>Weekly</w:t>
            </w:r>
          </w:p>
        </w:tc>
        <w:tc>
          <w:tcPr>
            <w:tcW w:type="dxa" w:w="1728"/>
          </w:tcPr>
          <w:p>
            <w:r/>
            <w:r>
              <w:rPr>
                <w:sz w:val="20"/>
              </w:rPr>
              <w:t>Anomalous authentications, failed MFA, privilege changes</w:t>
            </w:r>
          </w:p>
        </w:tc>
        <w:tc>
          <w:tcPr>
            <w:tcW w:type="dxa" w:w="1728"/>
          </w:tcPr>
          <w:p>
            <w:r/>
            <w:r>
              <w:rPr>
                <w:sz w:val="20"/>
              </w:rPr>
              <w:t>Security Analyst</w:t>
            </w:r>
          </w:p>
        </w:tc>
      </w:tr>
      <w:tr>
        <w:tc>
          <w:tcPr>
            <w:tcW w:type="dxa" w:w="1728"/>
          </w:tcPr>
          <w:p>
            <w:r/>
            <w:r>
              <w:rPr>
                <w:sz w:val="20"/>
              </w:rPr>
              <w:t>Application Teams</w:t>
            </w:r>
          </w:p>
        </w:tc>
        <w:tc>
          <w:tcPr>
            <w:tcW w:type="dxa" w:w="1728"/>
          </w:tcPr>
          <w:p>
            <w:r/>
            <w:r>
              <w:rPr>
                <w:sz w:val="20"/>
              </w:rPr>
              <w:t>SSO onboarding guide (wiki)</w:t>
            </w:r>
          </w:p>
        </w:tc>
        <w:tc>
          <w:tcPr>
            <w:tcW w:type="dxa" w:w="1728"/>
          </w:tcPr>
          <w:p>
            <w:r/>
            <w:r>
              <w:rPr>
                <w:sz w:val="20"/>
              </w:rPr>
              <w:t>On registration + on change</w:t>
            </w:r>
          </w:p>
        </w:tc>
        <w:tc>
          <w:tcPr>
            <w:tcW w:type="dxa" w:w="1728"/>
          </w:tcPr>
          <w:p>
            <w:r/>
            <w:r>
              <w:rPr>
                <w:sz w:val="20"/>
              </w:rPr>
              <w:t>How to register an application/provider in Authentik; certificate rotation notices</w:t>
            </w:r>
          </w:p>
        </w:tc>
        <w:tc>
          <w:tcPr>
            <w:tcW w:type="dxa" w:w="1728"/>
          </w:tcPr>
          <w:p>
            <w:r/>
            <w:r>
              <w:rPr>
                <w:sz w:val="20"/>
              </w:rPr>
              <w:t>IAM Engineer</w:t>
            </w:r>
          </w:p>
        </w:tc>
      </w:tr>
      <w:tr>
        <w:tc>
          <w:tcPr>
            <w:tcW w:type="dxa" w:w="1728"/>
          </w:tcPr>
          <w:p>
            <w:r/>
            <w:r>
              <w:rPr>
                <w:sz w:val="20"/>
              </w:rPr>
              <w:t>End Users</w:t>
            </w:r>
          </w:p>
        </w:tc>
        <w:tc>
          <w:tcPr>
            <w:tcW w:type="dxa" w:w="1728"/>
          </w:tcPr>
          <w:p>
            <w:r/>
            <w:r>
              <w:rPr>
                <w:sz w:val="20"/>
              </w:rPr>
              <w:t>Plain-language guides + announcements</w:t>
            </w:r>
          </w:p>
        </w:tc>
        <w:tc>
          <w:tcPr>
            <w:tcW w:type="dxa" w:w="1728"/>
          </w:tcPr>
          <w:p>
            <w:r/>
            <w:r>
              <w:rPr>
                <w:sz w:val="20"/>
              </w:rPr>
              <w:t>Onboarding + as needed</w:t>
            </w:r>
          </w:p>
        </w:tc>
        <w:tc>
          <w:tcPr>
            <w:tcW w:type="dxa" w:w="1728"/>
          </w:tcPr>
          <w:p>
            <w:r/>
            <w:r>
              <w:rPr>
                <w:sz w:val="20"/>
              </w:rPr>
              <w:t>How to log in, enroll MFA, reset passwords, get help</w:t>
            </w:r>
          </w:p>
        </w:tc>
        <w:tc>
          <w:tcPr>
            <w:tcW w:type="dxa" w:w="1728"/>
          </w:tcPr>
          <w:p>
            <w:r/>
            <w:r>
              <w:rPr>
                <w:sz w:val="20"/>
              </w:rPr>
              <w:t>Compliance Lead</w:t>
            </w:r>
          </w:p>
        </w:tc>
      </w:tr>
      <w:tr>
        <w:tc>
          <w:tcPr>
            <w:tcW w:type="dxa" w:w="1728"/>
          </w:tcPr>
          <w:p>
            <w:r/>
            <w:r>
              <w:rPr>
                <w:sz w:val="20"/>
              </w:rPr>
              <w:t>System Owner</w:t>
            </w:r>
          </w:p>
        </w:tc>
        <w:tc>
          <w:tcPr>
            <w:tcW w:type="dxa" w:w="1728"/>
          </w:tcPr>
          <w:p>
            <w:r/>
            <w:r>
              <w:rPr>
                <w:sz w:val="20"/>
              </w:rPr>
              <w:t>Compliance status report</w:t>
            </w:r>
          </w:p>
        </w:tc>
        <w:tc>
          <w:tcPr>
            <w:tcW w:type="dxa" w:w="1728"/>
          </w:tcPr>
          <w:p>
            <w:r/>
            <w:r>
              <w:rPr>
                <w:sz w:val="20"/>
              </w:rPr>
              <w:t>Quarterly</w:t>
            </w:r>
          </w:p>
        </w:tc>
        <w:tc>
          <w:tcPr>
            <w:tcW w:type="dxa" w:w="1728"/>
          </w:tcPr>
          <w:p>
            <w:r/>
            <w:r>
              <w:rPr>
                <w:sz w:val="20"/>
              </w:rPr>
              <w:t>Control effectiveness, findings, remediation progress, risk posture</w:t>
            </w:r>
          </w:p>
        </w:tc>
        <w:tc>
          <w:tcPr>
            <w:tcW w:type="dxa" w:w="1728"/>
          </w:tcPr>
          <w:p>
            <w:r/>
            <w:r>
              <w:rPr>
                <w:sz w:val="20"/>
              </w:rPr>
              <w:t>Compliance Lead</w:t>
            </w:r>
          </w:p>
        </w:tc>
      </w:tr>
      <w:tr>
        <w:tc>
          <w:tcPr>
            <w:tcW w:type="dxa" w:w="1728"/>
          </w:tcPr>
          <w:p>
            <w:r/>
            <w:r>
              <w:rPr>
                <w:sz w:val="20"/>
              </w:rPr>
              <w:t>Auditors</w:t>
            </w:r>
          </w:p>
        </w:tc>
        <w:tc>
          <w:tcPr>
            <w:tcW w:type="dxa" w:w="1728"/>
          </w:tcPr>
          <w:p>
            <w:r/>
            <w:r>
              <w:rPr>
                <w:sz w:val="20"/>
              </w:rPr>
              <w:t>Evidence package</w:t>
            </w:r>
          </w:p>
        </w:tc>
        <w:tc>
          <w:tcPr>
            <w:tcW w:type="dxa" w:w="1728"/>
          </w:tcPr>
          <w:p>
            <w:r/>
            <w:r>
              <w:rPr>
                <w:sz w:val="20"/>
              </w:rPr>
              <w:t>Per assessment</w:t>
            </w:r>
          </w:p>
        </w:tc>
        <w:tc>
          <w:tcPr>
            <w:tcW w:type="dxa" w:w="1728"/>
          </w:tcPr>
          <w:p>
            <w:r/>
            <w:r>
              <w:rPr>
                <w:sz w:val="20"/>
              </w:rPr>
              <w:t>Policies, procedures, logs, tickets, training records</w:t>
            </w:r>
          </w:p>
        </w:tc>
        <w:tc>
          <w:tcPr>
            <w:tcW w:type="dxa" w:w="1728"/>
          </w:tcPr>
          <w:p>
            <w:r/>
            <w:r>
              <w:rPr>
                <w:sz w:val="20"/>
              </w:rPr>
              <w:t>Compliance Lead</w:t>
            </w:r>
          </w:p>
        </w:tc>
      </w:tr>
      <w:tr>
        <w:tc>
          <w:tcPr>
            <w:tcW w:type="dxa" w:w="1728"/>
          </w:tcPr>
          <w:p>
            <w:r/>
            <w:r>
              <w:rPr>
                <w:sz w:val="20"/>
              </w:rPr>
              <w:t>All (incidents)</w:t>
            </w:r>
          </w:p>
        </w:tc>
        <w:tc>
          <w:tcPr>
            <w:tcW w:type="dxa" w:w="1728"/>
          </w:tcPr>
          <w:p>
            <w:r/>
            <w:r>
              <w:rPr>
                <w:sz w:val="20"/>
              </w:rPr>
              <w:t>Incident alert</w:t>
            </w:r>
          </w:p>
        </w:tc>
        <w:tc>
          <w:tcPr>
            <w:tcW w:type="dxa" w:w="1728"/>
          </w:tcPr>
          <w:p>
            <w:r/>
            <w:r>
              <w:rPr>
                <w:sz w:val="20"/>
              </w:rPr>
              <w:t>Immediate</w:t>
            </w:r>
          </w:p>
        </w:tc>
        <w:tc>
          <w:tcPr>
            <w:tcW w:type="dxa" w:w="1728"/>
          </w:tcPr>
          <w:p>
            <w:r/>
            <w:r>
              <w:rPr>
                <w:sz w:val="20"/>
              </w:rPr>
              <w:t>What happened, impact, what to do, who to contact</w:t>
            </w:r>
          </w:p>
        </w:tc>
        <w:tc>
          <w:tcPr>
            <w:tcW w:type="dxa" w:w="1728"/>
          </w:tcPr>
          <w:p>
            <w:r/>
            <w:r>
              <w:rPr>
                <w:sz w:val="20"/>
              </w:rPr>
              <w:t>Security Analyst</w:t>
            </w:r>
          </w:p>
        </w:tc>
      </w:tr>
    </w:tbl>
    <w:p/>
    <w:p>
      <w:pPr>
        <w:pStyle w:val="Heading2"/>
      </w:pPr>
      <w:r>
        <w:t>5.3 Feedback Mechanisms</w:t>
      </w:r>
    </w:p>
    <w:p>
      <w:pPr>
        <w:pStyle w:val="ListBullet"/>
      </w:pPr>
      <w:r>
        <w:rPr>
          <w:sz w:val="22"/>
        </w:rPr>
        <w:t>Anonymous/attributed feedback channel for policy clarity issues (reviewed monthly by the Compliance Lead).</w:t>
      </w:r>
    </w:p>
    <w:p>
      <w:pPr>
        <w:pStyle w:val="ListBullet"/>
      </w:pPr>
      <w:r>
        <w:rPr>
          <w:sz w:val="22"/>
        </w:rPr>
        <w:t>Post-training surveys measuring comprehension and identifying weak topics for retraining.</w:t>
      </w:r>
    </w:p>
    <w:p>
      <w:pPr>
        <w:pStyle w:val="ListBullet"/>
      </w:pPr>
      <w:r>
        <w:rPr>
          <w:sz w:val="22"/>
        </w:rPr>
        <w:t>Quarterly stakeholder review meeting: program metrics, upcoming changes, open questions.</w:t>
      </w:r>
    </w:p>
    <w:p>
      <w:pPr>
        <w:pStyle w:val="ListBullet"/>
      </w:pPr>
      <w:r>
        <w:rPr>
          <w:sz w:val="22"/>
        </w:rPr>
        <w:t>All feedback is logged, triaged, and dispositioned; dispositions are communicated back to the reporter where possible.</w:t>
      </w:r>
    </w:p>
    <w:p>
      <w:pPr>
        <w:pStyle w:val="Heading1"/>
      </w:pPr>
      <w:r>
        <w:t>6. EISP Access Control and Authentication Policy</w:t>
      </w:r>
    </w:p>
    <w:p>
      <w:r>
        <w:rPr>
          <w:sz w:val="22"/>
        </w:rPr>
        <w:t>Policy ID: EISP-POL-001  |  Version: 1.0  |  Effective: October 2026  |  Owner: Compliance Lead  |  Approver: System Owner</w:t>
      </w:r>
    </w:p>
    <w:p>
      <w:pPr>
        <w:pStyle w:val="Heading2"/>
      </w:pPr>
      <w:r>
        <w:t>6.1 Purpose</w:t>
      </w:r>
    </w:p>
    <w:p>
      <w:r>
        <w:rPr>
          <w:sz w:val="22"/>
        </w:rPr>
        <w:t>This policy establishes mandatory requirements for identification, authentication, authorization, and accountability across the Enterprise Identity Security Platform (EISP), ensuring that only authorized identities access EISP-managed resources, that access is limited to what each identity needs, and that all access is attributable to a single identity.</w:t>
      </w:r>
    </w:p>
    <w:p>
      <w:pPr>
        <w:pStyle w:val="Heading2"/>
      </w:pPr>
      <w:r>
        <w:t>6.2 Scope</w:t>
      </w:r>
    </w:p>
    <w:p>
      <w:r>
        <w:rPr>
          <w:sz w:val="22"/>
        </w:rPr>
        <w:t>This policy applies to:</w:t>
      </w:r>
    </w:p>
    <w:p>
      <w:pPr>
        <w:pStyle w:val="ListBullet"/>
      </w:pPr>
      <w:r>
        <w:rPr>
          <w:sz w:val="22"/>
        </w:rPr>
        <w:t>The Authentik identity provider (server, worker, and PostgreSQL 16 database) deployed via Docker Compose.</w:t>
      </w:r>
    </w:p>
    <w:p>
      <w:pPr>
        <w:pStyle w:val="ListBullet"/>
      </w:pPr>
      <w:r>
        <w:rPr>
          <w:sz w:val="22"/>
        </w:rPr>
        <w:t>The Authentik LDAP outpost (LDAP on port 389, LDAPS on port 636).</w:t>
      </w:r>
    </w:p>
    <w:p>
      <w:pPr>
        <w:pStyle w:val="ListBullet"/>
      </w:pPr>
      <w:r>
        <w:rPr>
          <w:sz w:val="22"/>
        </w:rPr>
        <w:t>AWS IAM as managed by Terraform, including all EISP roles, policies, permission boundaries, and the authentik-saml federation provider.</w:t>
      </w:r>
    </w:p>
    <w:p>
      <w:pPr>
        <w:pStyle w:val="ListBullet"/>
      </w:pPr>
      <w:r>
        <w:rPr>
          <w:sz w:val="22"/>
        </w:rPr>
        <w:t>All human users (engineers, analysts, end users) and non-person identities (service accounts, automation) interacting with EISP.</w:t>
      </w:r>
    </w:p>
    <w:p>
      <w:pPr>
        <w:pStyle w:val="ListBullet"/>
      </w:pPr>
      <w:r>
        <w:rPr>
          <w:sz w:val="22"/>
        </w:rPr>
        <w:t>The whoami test application and any application registered as an Authentik provider/application.</w:t>
      </w:r>
    </w:p>
    <w:p>
      <w:pPr>
        <w:pStyle w:val="Heading2"/>
      </w:pPr>
      <w:r>
        <w:t>6.3 Definitions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8"/>
          </w:tcPr>
          <w:p>
            <w:r>
              <w:rPr>
                <w:b/>
                <w:color w:val="FFFFFF"/>
                <w:sz w:val="20"/>
              </w:rPr>
            </w:r>
            <w:r>
              <w:rPr>
                <w:b/>
                <w:color w:val="FFFFFF"/>
                <w:sz w:val="20"/>
              </w:rPr>
              <w:t>Term</w:t>
            </w:r>
          </w:p>
        </w:tc>
        <w:tc>
          <w:tcPr>
            <w:tcW w:type="dxa" w:w="4320"/>
            <w:shd w:val="clear" w:fill="1F4E78"/>
          </w:tcPr>
          <w:p>
            <w:r>
              <w:rPr>
                <w:b/>
                <w:color w:val="FFFFFF"/>
                <w:sz w:val="20"/>
              </w:rPr>
            </w:r>
            <w:r>
              <w:rPr>
                <w:b/>
                <w:color w:val="FFFFFF"/>
                <w:sz w:val="20"/>
              </w:rPr>
              <w:t>Definition</w:t>
            </w:r>
          </w:p>
        </w:tc>
      </w:tr>
      <w:tr>
        <w:tc>
          <w:tcPr>
            <w:tcW w:type="dxa" w:w="4320"/>
          </w:tcPr>
          <w:p>
            <w:r/>
            <w:r>
              <w:rPr>
                <w:sz w:val="20"/>
              </w:rPr>
              <w:t>Identity Provider (IdP)</w:t>
            </w:r>
          </w:p>
        </w:tc>
        <w:tc>
          <w:tcPr>
            <w:tcW w:type="dxa" w:w="4320"/>
          </w:tcPr>
          <w:p>
            <w:r/>
            <w:r>
              <w:rPr>
                <w:sz w:val="20"/>
              </w:rPr>
              <w:t>The Authentik system that authenticates users and issues identity assertions to connected applications.</w:t>
            </w:r>
          </w:p>
        </w:tc>
      </w:tr>
      <w:tr>
        <w:tc>
          <w:tcPr>
            <w:tcW w:type="dxa" w:w="4320"/>
          </w:tcPr>
          <w:p>
            <w:r/>
            <w:r>
              <w:rPr>
                <w:sz w:val="20"/>
              </w:rPr>
              <w:t>Single Sign-On (SSO)</w:t>
            </w:r>
          </w:p>
        </w:tc>
        <w:tc>
          <w:tcPr>
            <w:tcW w:type="dxa" w:w="4320"/>
          </w:tcPr>
          <w:p>
            <w:r/>
            <w:r>
              <w:rPr>
                <w:sz w:val="20"/>
              </w:rPr>
              <w:t>Authentication mechanism allowing one set of credentials to access multiple applications via the IdP.</w:t>
            </w:r>
          </w:p>
        </w:tc>
      </w:tr>
      <w:tr>
        <w:tc>
          <w:tcPr>
            <w:tcW w:type="dxa" w:w="4320"/>
          </w:tcPr>
          <w:p>
            <w:r/>
            <w:r>
              <w:rPr>
                <w:sz w:val="20"/>
              </w:rPr>
              <w:t>SAML / OIDC</w:t>
            </w:r>
          </w:p>
        </w:tc>
        <w:tc>
          <w:tcPr>
            <w:tcW w:type="dxa" w:w="4320"/>
          </w:tcPr>
          <w:p>
            <w:r/>
            <w:r>
              <w:rPr>
                <w:sz w:val="20"/>
              </w:rPr>
              <w:t>Federation protocols used by Authentik to assert identity to service providers such as AWS (SAML) and web apps (OIDC).</w:t>
            </w:r>
          </w:p>
        </w:tc>
      </w:tr>
      <w:tr>
        <w:tc>
          <w:tcPr>
            <w:tcW w:type="dxa" w:w="4320"/>
          </w:tcPr>
          <w:p>
            <w:r/>
            <w:r>
              <w:rPr>
                <w:sz w:val="20"/>
              </w:rPr>
              <w:t>LDAP / LDAPS</w:t>
            </w:r>
          </w:p>
        </w:tc>
        <w:tc>
          <w:tcPr>
            <w:tcW w:type="dxa" w:w="4320"/>
          </w:tcPr>
          <w:p>
            <w:r/>
            <w:r>
              <w:rPr>
                <w:sz w:val="20"/>
              </w:rPr>
              <w:t>Directory access protocol exposed by the Authentik LDAP outpost; LDAPS adds TLS encryption.</w:t>
            </w:r>
          </w:p>
        </w:tc>
      </w:tr>
      <w:tr>
        <w:tc>
          <w:tcPr>
            <w:tcW w:type="dxa" w:w="4320"/>
          </w:tcPr>
          <w:p>
            <w:r/>
            <w:r>
              <w:rPr>
                <w:sz w:val="20"/>
              </w:rPr>
              <w:t>RBAC</w:t>
            </w:r>
          </w:p>
        </w:tc>
        <w:tc>
          <w:tcPr>
            <w:tcW w:type="dxa" w:w="4320"/>
          </w:tcPr>
          <w:p>
            <w:r/>
            <w:r>
              <w:rPr>
                <w:sz w:val="20"/>
              </w:rPr>
              <w:t>Role-Based Access Control: permissions assigned to roles, users assigned to roles — never directly to users.</w:t>
            </w:r>
          </w:p>
        </w:tc>
      </w:tr>
      <w:tr>
        <w:tc>
          <w:tcPr>
            <w:tcW w:type="dxa" w:w="4320"/>
          </w:tcPr>
          <w:p>
            <w:r/>
            <w:r>
              <w:rPr>
                <w:sz w:val="20"/>
              </w:rPr>
              <w:t>Permission Boundary</w:t>
            </w:r>
          </w:p>
        </w:tc>
        <w:tc>
          <w:tcPr>
            <w:tcW w:type="dxa" w:w="4320"/>
          </w:tcPr>
          <w:p>
            <w:r/>
            <w:r>
              <w:rPr>
                <w:sz w:val="20"/>
              </w:rPr>
              <w:t>An AWS IAM managed policy (EISP-PermissionBoundary) attached to every EISP role that sets a hard ceiling on maximum permissions.</w:t>
            </w:r>
          </w:p>
        </w:tc>
      </w:tr>
      <w:tr>
        <w:tc>
          <w:tcPr>
            <w:tcW w:type="dxa" w:w="4320"/>
          </w:tcPr>
          <w:p>
            <w:r/>
            <w:r>
              <w:rPr>
                <w:sz w:val="20"/>
              </w:rPr>
              <w:t>STS</w:t>
            </w:r>
          </w:p>
        </w:tc>
        <w:tc>
          <w:tcPr>
            <w:tcW w:type="dxa" w:w="4320"/>
          </w:tcPr>
          <w:p>
            <w:r/>
            <w:r>
              <w:rPr>
                <w:sz w:val="20"/>
              </w:rPr>
              <w:t>AWS Security Token Service: issues short-lived credentials for federated sessions (EISP maximum: 4 hours).</w:t>
            </w:r>
          </w:p>
        </w:tc>
      </w:tr>
      <w:tr>
        <w:tc>
          <w:tcPr>
            <w:tcW w:type="dxa" w:w="4320"/>
          </w:tcPr>
          <w:p>
            <w:r/>
            <w:r>
              <w:rPr>
                <w:sz w:val="20"/>
              </w:rPr>
              <w:t>JML</w:t>
            </w:r>
          </w:p>
        </w:tc>
        <w:tc>
          <w:tcPr>
            <w:tcW w:type="dxa" w:w="4320"/>
          </w:tcPr>
          <w:p>
            <w:r/>
            <w:r>
              <w:rPr>
                <w:sz w:val="20"/>
              </w:rPr>
              <w:t>Joiner/Mover/Leaver: the user lifecycle process (provisioning, modification, deprovisioning).</w:t>
            </w:r>
          </w:p>
        </w:tc>
      </w:tr>
      <w:tr>
        <w:tc>
          <w:tcPr>
            <w:tcW w:type="dxa" w:w="4320"/>
          </w:tcPr>
          <w:p>
            <w:r/>
            <w:r>
              <w:rPr>
                <w:sz w:val="20"/>
              </w:rPr>
              <w:t>MFA</w:t>
            </w:r>
          </w:p>
        </w:tc>
        <w:tc>
          <w:tcPr>
            <w:tcW w:type="dxa" w:w="4320"/>
          </w:tcPr>
          <w:p>
            <w:r/>
            <w:r>
              <w:rPr>
                <w:sz w:val="20"/>
              </w:rPr>
              <w:t>Multi-Factor Authentication: two or more independent authentication factors.</w:t>
            </w:r>
          </w:p>
        </w:tc>
      </w:tr>
    </w:tbl>
    <w:p/>
    <w:p>
      <w:pPr>
        <w:pStyle w:val="Heading2"/>
      </w:pPr>
      <w:r>
        <w:t>6.4 Policy Statements</w:t>
      </w:r>
    </w:p>
    <w:p>
      <w:r>
        <w:rPr>
          <w:sz w:val="22"/>
        </w:rPr>
        <w:t>Each statement is mapped to PCI DSS v4.0 and NIST SP 800-53 (Rev. 5) controls. PCI DSS Requirements 7 and 8 are applied as the access-control baseline for the identity platform; NIST SP 800-53 provides the broader control catalog.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8"/>
          </w:tcPr>
          <w:p>
            <w:r>
              <w:rPr>
                <w:b/>
                <w:color w:val="FFFFFF"/>
                <w:sz w:val="20"/>
              </w:rPr>
            </w:r>
            <w:r>
              <w:rPr>
                <w:b/>
                <w:color w:val="FFFFFF"/>
                <w:sz w:val="20"/>
              </w:rPr>
              <w:t>#</w:t>
            </w:r>
          </w:p>
        </w:tc>
        <w:tc>
          <w:tcPr>
            <w:tcW w:type="dxa" w:w="2160"/>
            <w:shd w:val="clear" w:fill="1F4E78"/>
          </w:tcPr>
          <w:p>
            <w:r>
              <w:rPr>
                <w:b/>
                <w:color w:val="FFFFFF"/>
                <w:sz w:val="20"/>
              </w:rPr>
            </w:r>
            <w:r>
              <w:rPr>
                <w:b/>
                <w:color w:val="FFFFFF"/>
                <w:sz w:val="20"/>
              </w:rPr>
              <w:t>Policy Statement</w:t>
            </w:r>
          </w:p>
        </w:tc>
        <w:tc>
          <w:tcPr>
            <w:tcW w:type="dxa" w:w="2160"/>
            <w:shd w:val="clear" w:fill="1F4E78"/>
          </w:tcPr>
          <w:p>
            <w:r>
              <w:rPr>
                <w:b/>
                <w:color w:val="FFFFFF"/>
                <w:sz w:val="20"/>
              </w:rPr>
            </w:r>
            <w:r>
              <w:rPr>
                <w:b/>
                <w:color w:val="FFFFFF"/>
                <w:sz w:val="20"/>
              </w:rPr>
              <w:t>PCI DSS v4.0</w:t>
            </w:r>
          </w:p>
        </w:tc>
        <w:tc>
          <w:tcPr>
            <w:tcW w:type="dxa" w:w="2160"/>
            <w:shd w:val="clear" w:fill="1F4E78"/>
          </w:tcPr>
          <w:p>
            <w:r>
              <w:rPr>
                <w:b/>
                <w:color w:val="FFFFFF"/>
                <w:sz w:val="20"/>
              </w:rPr>
            </w:r>
            <w:r>
              <w:rPr>
                <w:b/>
                <w:color w:val="FFFFFF"/>
                <w:sz w:val="20"/>
              </w:rPr>
              <w:t>NIST SP 800-53</w:t>
            </w:r>
          </w:p>
        </w:tc>
      </w:tr>
      <w:tr>
        <w:tc>
          <w:tcPr>
            <w:tcW w:type="dxa" w:w="2160"/>
          </w:tcPr>
          <w:p>
            <w:r/>
            <w:r>
              <w:rPr>
                <w:sz w:val="20"/>
              </w:rPr>
              <w:t>P-01</w:t>
            </w:r>
          </w:p>
        </w:tc>
        <w:tc>
          <w:tcPr>
            <w:tcW w:type="dxa" w:w="2160"/>
          </w:tcPr>
          <w:p>
            <w:r/>
            <w:r>
              <w:rPr>
                <w:sz w:val="20"/>
              </w:rPr>
              <w:t>Every person accessing EISP shall be assigned a unique user ID. Shared or generic accounts are prohibited except for documented break-glass administrator accounts, which require dual control.</w:t>
            </w:r>
          </w:p>
        </w:tc>
        <w:tc>
          <w:tcPr>
            <w:tcW w:type="dxa" w:w="2160"/>
          </w:tcPr>
          <w:p>
            <w:r/>
            <w:r>
              <w:rPr>
                <w:sz w:val="20"/>
              </w:rPr>
              <w:t>Req 8.2.1</w:t>
            </w:r>
          </w:p>
        </w:tc>
        <w:tc>
          <w:tcPr>
            <w:tcW w:type="dxa" w:w="2160"/>
          </w:tcPr>
          <w:p>
            <w:r/>
            <w:r>
              <w:rPr>
                <w:sz w:val="20"/>
              </w:rPr>
              <w:t>IA-2</w:t>
            </w:r>
          </w:p>
        </w:tc>
      </w:tr>
      <w:tr>
        <w:tc>
          <w:tcPr>
            <w:tcW w:type="dxa" w:w="2160"/>
          </w:tcPr>
          <w:p>
            <w:r/>
            <w:r>
              <w:rPr>
                <w:sz w:val="20"/>
              </w:rPr>
              <w:t>P-02</w:t>
            </w:r>
          </w:p>
        </w:tc>
        <w:tc>
          <w:tcPr>
            <w:tcW w:type="dxa" w:w="2160"/>
          </w:tcPr>
          <w:p>
            <w:r/>
            <w:r>
              <w:rPr>
                <w:sz w:val="20"/>
              </w:rPr>
              <w:t>Multi-factor authentication is required for: (a) all access to the Authentik administration interface, (b) all AWS console access via SAML federation, and (c) all remote/privileged access. MFA methods must be phishing-resistant where technically feasible.</w:t>
            </w:r>
          </w:p>
        </w:tc>
        <w:tc>
          <w:tcPr>
            <w:tcW w:type="dxa" w:w="2160"/>
          </w:tcPr>
          <w:p>
            <w:r/>
            <w:r>
              <w:rPr>
                <w:sz w:val="20"/>
              </w:rPr>
              <w:t>Req 8.4</w:t>
            </w:r>
          </w:p>
        </w:tc>
        <w:tc>
          <w:tcPr>
            <w:tcW w:type="dxa" w:w="2160"/>
          </w:tcPr>
          <w:p>
            <w:r/>
            <w:r>
              <w:rPr>
                <w:sz w:val="20"/>
              </w:rPr>
              <w:t>IA-2(1), IA-2(8)</w:t>
            </w:r>
          </w:p>
        </w:tc>
      </w:tr>
      <w:tr>
        <w:tc>
          <w:tcPr>
            <w:tcW w:type="dxa" w:w="2160"/>
          </w:tcPr>
          <w:p>
            <w:r/>
            <w:r>
              <w:rPr>
                <w:sz w:val="20"/>
              </w:rPr>
              <w:t>P-03</w:t>
            </w:r>
          </w:p>
        </w:tc>
        <w:tc>
          <w:tcPr>
            <w:tcW w:type="dxa" w:w="2160"/>
          </w:tcPr>
          <w:p>
            <w:r/>
            <w:r>
              <w:rPr>
                <w:sz w:val="20"/>
              </w:rPr>
              <w:t>Access shall follow least-privilege RBAC using only the three approved policies — EISP-Developer-Policy (EC2/S3 scoped), EISP-SecurityAnalyst-Policy (read-only), and EISP-IAMEngineer-Policy (identity provisioning, no data access). Permissions shall never be assigned directly to users.</w:t>
            </w:r>
          </w:p>
        </w:tc>
        <w:tc>
          <w:tcPr>
            <w:tcW w:type="dxa" w:w="2160"/>
          </w:tcPr>
          <w:p>
            <w:r/>
            <w:r>
              <w:rPr>
                <w:sz w:val="20"/>
              </w:rPr>
              <w:t>Req 7.2</w:t>
            </w:r>
          </w:p>
        </w:tc>
        <w:tc>
          <w:tcPr>
            <w:tcW w:type="dxa" w:w="2160"/>
          </w:tcPr>
          <w:p>
            <w:r/>
            <w:r>
              <w:rPr>
                <w:sz w:val="20"/>
              </w:rPr>
              <w:t>AC-2, AC-6</w:t>
            </w:r>
          </w:p>
        </w:tc>
      </w:tr>
      <w:tr>
        <w:tc>
          <w:tcPr>
            <w:tcW w:type="dxa" w:w="2160"/>
          </w:tcPr>
          <w:p>
            <w:r/>
            <w:r>
              <w:rPr>
                <w:sz w:val="20"/>
              </w:rPr>
              <w:t>P-04</w:t>
            </w:r>
          </w:p>
        </w:tc>
        <w:tc>
          <w:tcPr>
            <w:tcW w:type="dxa" w:w="2160"/>
          </w:tcPr>
          <w:p>
            <w:r/>
            <w:r>
              <w:rPr>
                <w:sz w:val="20"/>
              </w:rPr>
              <w:t>The EISP-PermissionBoundary managed policy shall be attached to every EISP IAM role as a non-removable hard ceiling. It restricts actions to us-east-1 (aws:RequestedRegion condition) and explicitly denies billing, organizations, and account-management actions.</w:t>
            </w:r>
          </w:p>
        </w:tc>
        <w:tc>
          <w:tcPr>
            <w:tcW w:type="dxa" w:w="2160"/>
          </w:tcPr>
          <w:p>
            <w:r/>
            <w:r>
              <w:rPr>
                <w:sz w:val="20"/>
              </w:rPr>
              <w:t>Req 7.2.4</w:t>
            </w:r>
          </w:p>
        </w:tc>
        <w:tc>
          <w:tcPr>
            <w:tcW w:type="dxa" w:w="2160"/>
          </w:tcPr>
          <w:p>
            <w:r/>
            <w:r>
              <w:rPr>
                <w:sz w:val="20"/>
              </w:rPr>
              <w:t>AC-3, AC-6</w:t>
            </w:r>
          </w:p>
        </w:tc>
      </w:tr>
      <w:tr>
        <w:tc>
          <w:tcPr>
            <w:tcW w:type="dxa" w:w="2160"/>
          </w:tcPr>
          <w:p>
            <w:r/>
            <w:r>
              <w:rPr>
                <w:sz w:val="20"/>
              </w:rPr>
              <w:t>P-05</w:t>
            </w:r>
          </w:p>
        </w:tc>
        <w:tc>
          <w:tcPr>
            <w:tcW w:type="dxa" w:w="2160"/>
          </w:tcPr>
          <w:p>
            <w:r/>
            <w:r>
              <w:rPr>
                <w:sz w:val="20"/>
              </w:rPr>
              <w:t>AWS access by humans shall occur only through SAML federation via the authentik-saml provider. The trust policy must validate the SAML:aud condition (https://signin.aws.amazon.com/saml) to prevent assertion replay. Long-lived IAM user access keys are prohibited for human users.</w:t>
            </w:r>
          </w:p>
        </w:tc>
        <w:tc>
          <w:tcPr>
            <w:tcW w:type="dxa" w:w="2160"/>
          </w:tcPr>
          <w:p>
            <w:r/>
            <w:r>
              <w:rPr>
                <w:sz w:val="20"/>
              </w:rPr>
              <w:t>Req 8.3</w:t>
            </w:r>
          </w:p>
        </w:tc>
        <w:tc>
          <w:tcPr>
            <w:tcW w:type="dxa" w:w="2160"/>
          </w:tcPr>
          <w:p>
            <w:r/>
            <w:r>
              <w:rPr>
                <w:sz w:val="20"/>
              </w:rPr>
              <w:t>IA-2(8), SC-23</w:t>
            </w:r>
          </w:p>
        </w:tc>
      </w:tr>
      <w:tr>
        <w:tc>
          <w:tcPr>
            <w:tcW w:type="dxa" w:w="2160"/>
          </w:tcPr>
          <w:p>
            <w:r/>
            <w:r>
              <w:rPr>
                <w:sz w:val="20"/>
              </w:rPr>
              <w:t>P-06</w:t>
            </w:r>
          </w:p>
        </w:tc>
        <w:tc>
          <w:tcPr>
            <w:tcW w:type="dxa" w:w="2160"/>
          </w:tcPr>
          <w:p>
            <w:r/>
            <w:r>
              <w:rPr>
                <w:sz w:val="20"/>
              </w:rPr>
              <w:t>Sessions shall be time-limited: AWS federated sessions expire after a maximum of 4 hours (max_session_duration = 14400s); Authentik user sessions and idle timeouts shall be configured to re-authenticate inactive sessions.</w:t>
            </w:r>
          </w:p>
        </w:tc>
        <w:tc>
          <w:tcPr>
            <w:tcW w:type="dxa" w:w="2160"/>
          </w:tcPr>
          <w:p>
            <w:r/>
            <w:r>
              <w:rPr>
                <w:sz w:val="20"/>
              </w:rPr>
              <w:t>Req 8.3.10</w:t>
            </w:r>
          </w:p>
        </w:tc>
        <w:tc>
          <w:tcPr>
            <w:tcW w:type="dxa" w:w="2160"/>
          </w:tcPr>
          <w:p>
            <w:r/>
            <w:r>
              <w:rPr>
                <w:sz w:val="20"/>
              </w:rPr>
              <w:t>AC-12, SC-10</w:t>
            </w:r>
          </w:p>
        </w:tc>
      </w:tr>
      <w:tr>
        <w:tc>
          <w:tcPr>
            <w:tcW w:type="dxa" w:w="2160"/>
          </w:tcPr>
          <w:p>
            <w:r/>
            <w:r>
              <w:rPr>
                <w:sz w:val="20"/>
              </w:rPr>
              <w:t>P-07</w:t>
            </w:r>
          </w:p>
        </w:tc>
        <w:tc>
          <w:tcPr>
            <w:tcW w:type="dxa" w:w="2160"/>
          </w:tcPr>
          <w:p>
            <w:r/>
            <w:r>
              <w:rPr>
                <w:sz w:val="20"/>
              </w:rPr>
              <w:t>Access rights shall be recertified quarterly. Managers and the Compliance Lead review user-to-role assignments in Authentik and AWS IAM; unjustified access is revoked within 5 business days and evidenced.</w:t>
            </w:r>
          </w:p>
        </w:tc>
        <w:tc>
          <w:tcPr>
            <w:tcW w:type="dxa" w:w="2160"/>
          </w:tcPr>
          <w:p>
            <w:r/>
            <w:r>
              <w:rPr>
                <w:sz w:val="20"/>
              </w:rPr>
              <w:t>Req 7.3</w:t>
            </w:r>
          </w:p>
        </w:tc>
        <w:tc>
          <w:tcPr>
            <w:tcW w:type="dxa" w:w="2160"/>
          </w:tcPr>
          <w:p>
            <w:r/>
            <w:r>
              <w:rPr>
                <w:sz w:val="20"/>
              </w:rPr>
              <w:t>AC-2(3)</w:t>
            </w:r>
          </w:p>
        </w:tc>
      </w:tr>
      <w:tr>
        <w:tc>
          <w:tcPr>
            <w:tcW w:type="dxa" w:w="2160"/>
          </w:tcPr>
          <w:p>
            <w:r/>
            <w:r>
              <w:rPr>
                <w:sz w:val="20"/>
              </w:rPr>
              <w:t>P-08</w:t>
            </w:r>
          </w:p>
        </w:tc>
        <w:tc>
          <w:tcPr>
            <w:tcW w:type="dxa" w:w="2160"/>
          </w:tcPr>
          <w:p>
            <w:r/>
            <w:r>
              <w:rPr>
                <w:sz w:val="20"/>
              </w:rPr>
              <w:t>Deprovisioning: upon termination or role change, access shall be disabled within 24 hours — Authentik user disabled immediately, AWS role assignments removed, active sessions revoked.</w:t>
            </w:r>
          </w:p>
        </w:tc>
        <w:tc>
          <w:tcPr>
            <w:tcW w:type="dxa" w:w="2160"/>
          </w:tcPr>
          <w:p>
            <w:r/>
            <w:r>
              <w:rPr>
                <w:sz w:val="20"/>
              </w:rPr>
              <w:t>Req 8.2</w:t>
            </w:r>
          </w:p>
        </w:tc>
        <w:tc>
          <w:tcPr>
            <w:tcW w:type="dxa" w:w="2160"/>
          </w:tcPr>
          <w:p>
            <w:r/>
            <w:r>
              <w:rPr>
                <w:sz w:val="20"/>
              </w:rPr>
              <w:t>AC-2</w:t>
            </w:r>
          </w:p>
        </w:tc>
      </w:tr>
      <w:tr>
        <w:tc>
          <w:tcPr>
            <w:tcW w:type="dxa" w:w="2160"/>
          </w:tcPr>
          <w:p>
            <w:r/>
            <w:r>
              <w:rPr>
                <w:sz w:val="20"/>
              </w:rPr>
              <w:t>P-09</w:t>
            </w:r>
          </w:p>
        </w:tc>
        <w:tc>
          <w:tcPr>
            <w:tcW w:type="dxa" w:w="2160"/>
          </w:tcPr>
          <w:p>
            <w:r/>
            <w:r>
              <w:rPr>
                <w:sz w:val="20"/>
              </w:rPr>
              <w:t>Secrets (database passwords, AUTHENTIK_SECRET_KEY, LDAP tokens) shall be stored only in the .env file, never hardcoded or committed to version control (.env is git-ignored). Secrets are rotated at least annually and immediately upon suspected compromise or personnel change.</w:t>
            </w:r>
          </w:p>
        </w:tc>
        <w:tc>
          <w:tcPr>
            <w:tcW w:type="dxa" w:w="2160"/>
          </w:tcPr>
          <w:p>
            <w:r/>
            <w:r>
              <w:rPr>
                <w:sz w:val="20"/>
              </w:rPr>
              <w:t>Req 8.3.9</w:t>
            </w:r>
          </w:p>
        </w:tc>
        <w:tc>
          <w:tcPr>
            <w:tcW w:type="dxa" w:w="2160"/>
          </w:tcPr>
          <w:p>
            <w:r/>
            <w:r>
              <w:rPr>
                <w:sz w:val="20"/>
              </w:rPr>
              <w:t>IA-5, SC-12</w:t>
            </w:r>
          </w:p>
        </w:tc>
      </w:tr>
      <w:tr>
        <w:tc>
          <w:tcPr>
            <w:tcW w:type="dxa" w:w="2160"/>
          </w:tcPr>
          <w:p>
            <w:r/>
            <w:r>
              <w:rPr>
                <w:sz w:val="20"/>
              </w:rPr>
              <w:t>P-10</w:t>
            </w:r>
          </w:p>
        </w:tc>
        <w:tc>
          <w:tcPr>
            <w:tcW w:type="dxa" w:w="2160"/>
          </w:tcPr>
          <w:p>
            <w:r/>
            <w:r>
              <w:rPr>
                <w:sz w:val="20"/>
              </w:rPr>
              <w:t>Directory binds in production shall use LDAPS (port 636) with TLS. Plain LDAP (port 389) is permitted only in isolated lab environments and never for production authentication traffic.</w:t>
            </w:r>
          </w:p>
        </w:tc>
        <w:tc>
          <w:tcPr>
            <w:tcW w:type="dxa" w:w="2160"/>
          </w:tcPr>
          <w:p>
            <w:r/>
            <w:r>
              <w:rPr>
                <w:sz w:val="20"/>
              </w:rPr>
              <w:t>Req 4.2</w:t>
            </w:r>
          </w:p>
        </w:tc>
        <w:tc>
          <w:tcPr>
            <w:tcW w:type="dxa" w:w="2160"/>
          </w:tcPr>
          <w:p>
            <w:r/>
            <w:r>
              <w:rPr>
                <w:sz w:val="20"/>
              </w:rPr>
              <w:t>SC-8, SC-12</w:t>
            </w:r>
          </w:p>
        </w:tc>
      </w:tr>
    </w:tbl>
    <w:p/>
    <w:p>
      <w:pPr>
        <w:pStyle w:val="Heading2"/>
      </w:pPr>
      <w:r>
        <w:t>6.5 Roles and Responsibilities</w:t>
      </w:r>
    </w:p>
    <w:p>
      <w:pPr>
        <w:pStyle w:val="ListBullet"/>
      </w:pPr>
      <w:r>
        <w:rPr>
          <w:b/>
        </w:rPr>
        <w:t xml:space="preserve">System Owner — </w:t>
      </w:r>
      <w:r>
        <w:rPr>
          <w:sz w:val="22"/>
        </w:rPr>
        <w:t>System Owner: approves this policy; accepts residual risk; ensures resourcing.</w:t>
      </w:r>
    </w:p>
    <w:p>
      <w:pPr>
        <w:pStyle w:val="ListBullet"/>
      </w:pPr>
      <w:r>
        <w:rPr>
          <w:b/>
        </w:rPr>
        <w:t xml:space="preserve">IAM Engineer — </w:t>
      </w:r>
      <w:r>
        <w:rPr>
          <w:sz w:val="22"/>
        </w:rPr>
        <w:t>IAM Engineer: implements technical controls (Authentik configuration, Terraform IAM); executes JML.</w:t>
      </w:r>
    </w:p>
    <w:p>
      <w:pPr>
        <w:pStyle w:val="ListBullet"/>
      </w:pPr>
      <w:r>
        <w:rPr>
          <w:b/>
        </w:rPr>
        <w:t xml:space="preserve">Security Analyst — </w:t>
      </w:r>
      <w:r>
        <w:rPr>
          <w:sz w:val="22"/>
        </w:rPr>
        <w:t>Security Analyst: monitors authentication logs; investigates anomalies; validates configurations.</w:t>
      </w:r>
    </w:p>
    <w:p>
      <w:pPr>
        <w:pStyle w:val="ListBullet"/>
      </w:pPr>
      <w:r>
        <w:rPr>
          <w:b/>
        </w:rPr>
        <w:t xml:space="preserve">Compliance Lead — </w:t>
      </w:r>
      <w:r>
        <w:rPr>
          <w:sz w:val="22"/>
        </w:rPr>
        <w:t>Compliance Lead: maintains this policy; schedules access reviews; tracks exceptions; reports status.</w:t>
      </w:r>
    </w:p>
    <w:p>
      <w:pPr>
        <w:pStyle w:val="ListBullet"/>
      </w:pPr>
      <w:r>
        <w:rPr>
          <w:b/>
        </w:rPr>
        <w:t xml:space="preserve">All Users — </w:t>
      </w:r>
      <w:r>
        <w:rPr>
          <w:sz w:val="22"/>
        </w:rPr>
        <w:t>All Users: use unique credentials; enroll in MFA; report suspected compromise immediately.</w:t>
      </w:r>
    </w:p>
    <w:p>
      <w:pPr>
        <w:pStyle w:val="Heading2"/>
      </w:pPr>
      <w:r>
        <w:t>6.6 Enforcement and Exception Process</w:t>
      </w:r>
    </w:p>
    <w:p>
      <w:r>
        <w:rPr>
          <w:sz w:val="22"/>
        </w:rPr>
        <w:t>Violations of this policy may result in suspension of access and, for personnel, disciplinary action up to and including removal from the program. Exceptions to any policy statement require:</w:t>
      </w:r>
    </w:p>
    <w:p>
      <w:pPr>
        <w:pStyle w:val="ListBullet"/>
      </w:pPr>
      <w:r>
        <w:rPr>
          <w:sz w:val="22"/>
        </w:rPr>
        <w:t>A written exception request stating the statement, business justification, compensating controls, and expiry date (maximum 90 days).</w:t>
      </w:r>
    </w:p>
    <w:p>
      <w:pPr>
        <w:pStyle w:val="ListBullet"/>
      </w:pPr>
      <w:r>
        <w:rPr>
          <w:sz w:val="22"/>
        </w:rPr>
        <w:t>Review by the Compliance Lead and Security Analyst.</w:t>
      </w:r>
    </w:p>
    <w:p>
      <w:pPr>
        <w:pStyle w:val="ListBullet"/>
      </w:pPr>
      <w:r>
        <w:rPr>
          <w:sz w:val="22"/>
        </w:rPr>
        <w:t>Approval by the System Owner. Emergency exceptions may be granted verbally and must be documented within 24 hours.</w:t>
      </w:r>
    </w:p>
    <w:p>
      <w:pPr>
        <w:pStyle w:val="ListBullet"/>
      </w:pPr>
      <w:r>
        <w:rPr>
          <w:sz w:val="22"/>
        </w:rPr>
        <w:t>All approved exceptions are entered in the exception register and reviewed at each quarterly access recertification.</w:t>
      </w:r>
    </w:p>
    <w:p>
      <w:pPr>
        <w:pStyle w:val="Heading2"/>
      </w:pPr>
      <w:r>
        <w:t>6.7 Approval Workflow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8"/>
          </w:tcPr>
          <w:p>
            <w:r>
              <w:rPr>
                <w:b/>
                <w:color w:val="FFFFFF"/>
                <w:sz w:val="20"/>
              </w:rPr>
            </w:r>
            <w:r>
              <w:rPr>
                <w:b/>
                <w:color w:val="FFFFFF"/>
                <w:sz w:val="20"/>
              </w:rPr>
              <w:t>Step</w:t>
            </w:r>
          </w:p>
        </w:tc>
        <w:tc>
          <w:tcPr>
            <w:tcW w:type="dxa" w:w="2160"/>
            <w:shd w:val="clear" w:fill="1F4E78"/>
          </w:tcPr>
          <w:p>
            <w:r>
              <w:rPr>
                <w:b/>
                <w:color w:val="FFFFFF"/>
                <w:sz w:val="20"/>
              </w:rPr>
            </w:r>
            <w:r>
              <w:rPr>
                <w:b/>
                <w:color w:val="FFFFFF"/>
                <w:sz w:val="20"/>
              </w:rPr>
              <w:t>Activity</w:t>
            </w:r>
          </w:p>
        </w:tc>
        <w:tc>
          <w:tcPr>
            <w:tcW w:type="dxa" w:w="2160"/>
            <w:shd w:val="clear" w:fill="1F4E78"/>
          </w:tcPr>
          <w:p>
            <w:r>
              <w:rPr>
                <w:b/>
                <w:color w:val="FFFFFF"/>
                <w:sz w:val="20"/>
              </w:rPr>
            </w:r>
            <w:r>
              <w:rPr>
                <w:b/>
                <w:color w:val="FFFFFF"/>
                <w:sz w:val="20"/>
              </w:rPr>
              <w:t>Owner</w:t>
            </w:r>
          </w:p>
        </w:tc>
        <w:tc>
          <w:tcPr>
            <w:tcW w:type="dxa" w:w="2160"/>
            <w:shd w:val="clear" w:fill="1F4E78"/>
          </w:tcPr>
          <w:p>
            <w:r>
              <w:rPr>
                <w:b/>
                <w:color w:val="FFFFFF"/>
                <w:sz w:val="20"/>
              </w:rPr>
            </w:r>
            <w:r>
              <w:rPr>
                <w:b/>
                <w:color w:val="FFFFFF"/>
                <w:sz w:val="20"/>
              </w:rPr>
              <w:t>Output</w:t>
            </w:r>
          </w:p>
        </w:tc>
      </w:tr>
      <w:tr>
        <w:tc>
          <w:tcPr>
            <w:tcW w:type="dxa" w:w="2160"/>
          </w:tcPr>
          <w:p>
            <w:r/>
            <w:r>
              <w:rPr>
                <w:sz w:val="20"/>
              </w:rPr>
              <w:t>1. Draft</w:t>
            </w:r>
          </w:p>
        </w:tc>
        <w:tc>
          <w:tcPr>
            <w:tcW w:type="dxa" w:w="2160"/>
          </w:tcPr>
          <w:p>
            <w:r/>
            <w:r>
              <w:rPr>
                <w:sz w:val="20"/>
              </w:rPr>
              <w:t>Author or revise the policy; map statements to PCI DSS / NIST controls</w:t>
            </w:r>
          </w:p>
        </w:tc>
        <w:tc>
          <w:tcPr>
            <w:tcW w:type="dxa" w:w="2160"/>
          </w:tcPr>
          <w:p>
            <w:r/>
            <w:r>
              <w:rPr>
                <w:sz w:val="20"/>
              </w:rPr>
              <w:t>IAM Engineer / Compliance Lead</w:t>
            </w:r>
          </w:p>
        </w:tc>
        <w:tc>
          <w:tcPr>
            <w:tcW w:type="dxa" w:w="2160"/>
          </w:tcPr>
          <w:p>
            <w:r/>
            <w:r>
              <w:rPr>
                <w:sz w:val="20"/>
              </w:rPr>
              <w:t>Draft document</w:t>
            </w:r>
          </w:p>
        </w:tc>
      </w:tr>
      <w:tr>
        <w:tc>
          <w:tcPr>
            <w:tcW w:type="dxa" w:w="2160"/>
          </w:tcPr>
          <w:p>
            <w:r/>
            <w:r>
              <w:rPr>
                <w:sz w:val="20"/>
              </w:rPr>
              <w:t>2. Technical Review</w:t>
            </w:r>
          </w:p>
        </w:tc>
        <w:tc>
          <w:tcPr>
            <w:tcW w:type="dxa" w:w="2160"/>
          </w:tcPr>
          <w:p>
            <w:r/>
            <w:r>
              <w:rPr>
                <w:sz w:val="20"/>
              </w:rPr>
              <w:t>Verify statements are implementable in Authentik and AWS IAM as built</w:t>
            </w:r>
          </w:p>
        </w:tc>
        <w:tc>
          <w:tcPr>
            <w:tcW w:type="dxa" w:w="2160"/>
          </w:tcPr>
          <w:p>
            <w:r/>
            <w:r>
              <w:rPr>
                <w:sz w:val="20"/>
              </w:rPr>
              <w:t>Security Analyst</w:t>
            </w:r>
          </w:p>
        </w:tc>
        <w:tc>
          <w:tcPr>
            <w:tcW w:type="dxa" w:w="2160"/>
          </w:tcPr>
          <w:p>
            <w:r/>
            <w:r>
              <w:rPr>
                <w:sz w:val="20"/>
              </w:rPr>
              <w:t>Review comments</w:t>
            </w:r>
          </w:p>
        </w:tc>
      </w:tr>
      <w:tr>
        <w:tc>
          <w:tcPr>
            <w:tcW w:type="dxa" w:w="2160"/>
          </w:tcPr>
          <w:p>
            <w:r/>
            <w:r>
              <w:rPr>
                <w:sz w:val="20"/>
              </w:rPr>
              <w:t>3. Compliance Review</w:t>
            </w:r>
          </w:p>
        </w:tc>
        <w:tc>
          <w:tcPr>
            <w:tcW w:type="dxa" w:w="2160"/>
          </w:tcPr>
          <w:p>
            <w:r/>
            <w:r>
              <w:rPr>
                <w:sz w:val="20"/>
              </w:rPr>
              <w:t>Verify regulatory mapping, completeness, and consistency with other EISP documents</w:t>
            </w:r>
          </w:p>
        </w:tc>
        <w:tc>
          <w:tcPr>
            <w:tcW w:type="dxa" w:w="2160"/>
          </w:tcPr>
          <w:p>
            <w:r/>
            <w:r>
              <w:rPr>
                <w:sz w:val="20"/>
              </w:rPr>
              <w:t>Compliance Lead</w:t>
            </w:r>
          </w:p>
        </w:tc>
        <w:tc>
          <w:tcPr>
            <w:tcW w:type="dxa" w:w="2160"/>
          </w:tcPr>
          <w:p>
            <w:r/>
            <w:r>
              <w:rPr>
                <w:sz w:val="20"/>
              </w:rPr>
              <w:t>Review sign-off</w:t>
            </w:r>
          </w:p>
        </w:tc>
      </w:tr>
      <w:tr>
        <w:tc>
          <w:tcPr>
            <w:tcW w:type="dxa" w:w="2160"/>
          </w:tcPr>
          <w:p>
            <w:r/>
            <w:r>
              <w:rPr>
                <w:sz w:val="20"/>
              </w:rPr>
              <w:t>4. Approval</w:t>
            </w:r>
          </w:p>
        </w:tc>
        <w:tc>
          <w:tcPr>
            <w:tcW w:type="dxa" w:w="2160"/>
          </w:tcPr>
          <w:p>
            <w:r/>
            <w:r>
              <w:rPr>
                <w:sz w:val="20"/>
              </w:rPr>
              <w:t>Approve for publication; accept residual risk</w:t>
            </w:r>
          </w:p>
        </w:tc>
        <w:tc>
          <w:tcPr>
            <w:tcW w:type="dxa" w:w="2160"/>
          </w:tcPr>
          <w:p>
            <w:r/>
            <w:r>
              <w:rPr>
                <w:sz w:val="20"/>
              </w:rPr>
              <w:t>System Owner</w:t>
            </w:r>
          </w:p>
        </w:tc>
        <w:tc>
          <w:tcPr>
            <w:tcW w:type="dxa" w:w="2160"/>
          </w:tcPr>
          <w:p>
            <w:r/>
            <w:r>
              <w:rPr>
                <w:sz w:val="20"/>
              </w:rPr>
              <w:t>Signed approval</w:t>
            </w:r>
          </w:p>
        </w:tc>
      </w:tr>
      <w:tr>
        <w:tc>
          <w:tcPr>
            <w:tcW w:type="dxa" w:w="2160"/>
          </w:tcPr>
          <w:p>
            <w:r/>
            <w:r>
              <w:rPr>
                <w:sz w:val="20"/>
              </w:rPr>
              <w:t>5. Publish &amp; Communicate</w:t>
            </w:r>
          </w:p>
        </w:tc>
        <w:tc>
          <w:tcPr>
            <w:tcW w:type="dxa" w:w="2160"/>
          </w:tcPr>
          <w:p>
            <w:r/>
            <w:r>
              <w:rPr>
                <w:sz w:val="20"/>
              </w:rPr>
              <w:t>Publish to the controlled repository; notify stakeholders per the communication matrix</w:t>
            </w:r>
          </w:p>
        </w:tc>
        <w:tc>
          <w:tcPr>
            <w:tcW w:type="dxa" w:w="2160"/>
          </w:tcPr>
          <w:p>
            <w:r/>
            <w:r>
              <w:rPr>
                <w:sz w:val="20"/>
              </w:rPr>
              <w:t>Compliance Lead</w:t>
            </w:r>
          </w:p>
        </w:tc>
        <w:tc>
          <w:tcPr>
            <w:tcW w:type="dxa" w:w="2160"/>
          </w:tcPr>
          <w:p>
            <w:r/>
            <w:r>
              <w:rPr>
                <w:sz w:val="20"/>
              </w:rPr>
              <w:t>Publication notice</w:t>
            </w:r>
          </w:p>
        </w:tc>
      </w:tr>
      <w:tr>
        <w:tc>
          <w:tcPr>
            <w:tcW w:type="dxa" w:w="2160"/>
          </w:tcPr>
          <w:p>
            <w:r/>
            <w:r>
              <w:rPr>
                <w:sz w:val="20"/>
              </w:rPr>
              <w:t>6. Acknowledgment</w:t>
            </w:r>
          </w:p>
        </w:tc>
        <w:tc>
          <w:tcPr>
            <w:tcW w:type="dxa" w:w="2160"/>
          </w:tcPr>
          <w:p>
            <w:r/>
            <w:r>
              <w:rPr>
                <w:sz w:val="20"/>
              </w:rPr>
              <w:t>All in-scope personnel acknowledge the policy; acknowledgments filed as training records</w:t>
            </w:r>
          </w:p>
        </w:tc>
        <w:tc>
          <w:tcPr>
            <w:tcW w:type="dxa" w:w="2160"/>
          </w:tcPr>
          <w:p>
            <w:r/>
            <w:r>
              <w:rPr>
                <w:sz w:val="20"/>
              </w:rPr>
              <w:t>All Users</w:t>
            </w:r>
          </w:p>
        </w:tc>
        <w:tc>
          <w:tcPr>
            <w:tcW w:type="dxa" w:w="2160"/>
          </w:tcPr>
          <w:p>
            <w:r/>
            <w:r>
              <w:rPr>
                <w:sz w:val="20"/>
              </w:rPr>
              <w:t>Acknowledgment log</w:t>
            </w:r>
          </w:p>
        </w:tc>
      </w:tr>
    </w:tbl>
    <w:p/>
    <w:p>
      <w:pPr>
        <w:pStyle w:val="Heading2"/>
      </w:pPr>
      <w:r>
        <w:t>6.8 Version Control Procedures</w:t>
      </w:r>
    </w:p>
    <w:p>
      <w:pPr>
        <w:pStyle w:val="ListBullet"/>
      </w:pPr>
      <w:r>
        <w:rPr>
          <w:sz w:val="22"/>
        </w:rPr>
        <w:t>Numbering scheme MAJOR.MINOR (e.g., 1.0, 1.1, 2.0). MAJOR increments for new/removed policy statements; MINOR for clarifications and corrections.</w:t>
      </w:r>
    </w:p>
    <w:p>
      <w:pPr>
        <w:pStyle w:val="ListBullet"/>
      </w:pPr>
      <w:r>
        <w:rPr>
          <w:sz w:val="22"/>
        </w:rPr>
        <w:t>Every change is recorded in the version history table below (version, date, author, description of change).</w:t>
      </w:r>
    </w:p>
    <w:p>
      <w:pPr>
        <w:pStyle w:val="ListBullet"/>
      </w:pPr>
      <w:r>
        <w:rPr>
          <w:sz w:val="22"/>
        </w:rPr>
        <w:t>Superseded versions are retained as read-only records; only the current version is marked 'Effective'.</w:t>
      </w:r>
    </w:p>
    <w:p>
      <w:pPr>
        <w:pStyle w:val="ListBullet"/>
      </w:pPr>
      <w:r>
        <w:rPr>
          <w:sz w:val="22"/>
        </w:rPr>
        <w:t>The policy is stored in the version-controlled EISP repository; the Compliance Lead is the sole publisher of new versions.</w:t>
      </w:r>
    </w:p>
    <w:p>
      <w:pPr>
        <w:pStyle w:val="Heading2"/>
      </w:pPr>
      <w:r>
        <w:t>6.9 Review Cycle</w:t>
      </w:r>
    </w:p>
    <w:p>
      <w:r>
        <w:rPr>
          <w:sz w:val="22"/>
        </w:rPr>
        <w:t>This policy is reviewed at least annually and additionally whenever: a significant EISP architecture change occurs (e.g., new IdP version, new federation), a control failure or incident reveals a gap, or an applicable regulation changes. Reviews are documented even when no changes result ('reviewed — no change').</w:t>
      </w:r>
    </w:p>
    <w:p>
      <w:pPr>
        <w:pStyle w:val="Heading2"/>
      </w:pPr>
      <w:r>
        <w:t>6.10 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8"/>
          </w:tcPr>
          <w:p>
            <w:r>
              <w:rPr>
                <w:b/>
                <w:color w:val="FFFFFF"/>
                <w:sz w:val="20"/>
              </w:rPr>
            </w:r>
            <w:r>
              <w:rPr>
                <w:b/>
                <w:color w:val="FFFFFF"/>
                <w:sz w:val="20"/>
              </w:rPr>
              <w:t>Version</w:t>
            </w:r>
          </w:p>
        </w:tc>
        <w:tc>
          <w:tcPr>
            <w:tcW w:type="dxa" w:w="2160"/>
            <w:shd w:val="clear" w:fill="1F4E78"/>
          </w:tcPr>
          <w:p>
            <w:r>
              <w:rPr>
                <w:b/>
                <w:color w:val="FFFFFF"/>
                <w:sz w:val="20"/>
              </w:rPr>
            </w:r>
            <w:r>
              <w:rPr>
                <w:b/>
                <w:color w:val="FFFFFF"/>
                <w:sz w:val="20"/>
              </w:rPr>
              <w:t>Date</w:t>
            </w:r>
          </w:p>
        </w:tc>
        <w:tc>
          <w:tcPr>
            <w:tcW w:type="dxa" w:w="2160"/>
            <w:shd w:val="clear" w:fill="1F4E78"/>
          </w:tcPr>
          <w:p>
            <w:r>
              <w:rPr>
                <w:b/>
                <w:color w:val="FFFFFF"/>
                <w:sz w:val="20"/>
              </w:rPr>
            </w:r>
            <w:r>
              <w:rPr>
                <w:b/>
                <w:color w:val="FFFFFF"/>
                <w:sz w:val="20"/>
              </w:rPr>
              <w:t>Author</w:t>
            </w:r>
          </w:p>
        </w:tc>
        <w:tc>
          <w:tcPr>
            <w:tcW w:type="dxa" w:w="2160"/>
            <w:shd w:val="clear" w:fill="1F4E78"/>
          </w:tcPr>
          <w:p>
            <w:r>
              <w:rPr>
                <w:b/>
                <w:color w:val="FFFFFF"/>
                <w:sz w:val="20"/>
              </w:rPr>
            </w:r>
            <w:r>
              <w:rPr>
                <w:b/>
                <w:color w:val="FFFFFF"/>
                <w:sz w:val="20"/>
              </w:rPr>
              <w:t>Description of Change</w:t>
            </w:r>
          </w:p>
        </w:tc>
      </w:tr>
      <w:tr>
        <w:tc>
          <w:tcPr>
            <w:tcW w:type="dxa" w:w="2160"/>
          </w:tcPr>
          <w:p>
            <w:r/>
            <w:r>
              <w:rPr>
                <w:sz w:val="20"/>
              </w:rPr>
              <w:t>0.1</w:t>
            </w:r>
          </w:p>
        </w:tc>
        <w:tc>
          <w:tcPr>
            <w:tcW w:type="dxa" w:w="2160"/>
          </w:tcPr>
          <w:p>
            <w:r/>
            <w:r>
              <w:rPr>
                <w:sz w:val="20"/>
              </w:rPr>
              <w:t>September 2026</w:t>
            </w:r>
          </w:p>
        </w:tc>
        <w:tc>
          <w:tcPr>
            <w:tcW w:type="dxa" w:w="2160"/>
          </w:tcPr>
          <w:p>
            <w:r/>
            <w:r>
              <w:rPr>
                <w:sz w:val="20"/>
              </w:rPr>
              <w:t>Manisha Gupta</w:t>
            </w:r>
          </w:p>
        </w:tc>
        <w:tc>
          <w:tcPr>
            <w:tcW w:type="dxa" w:w="2160"/>
          </w:tcPr>
          <w:p>
            <w:r/>
            <w:r>
              <w:rPr>
                <w:sz w:val="20"/>
              </w:rPr>
              <w:t>Initial draft for internal review</w:t>
            </w:r>
          </w:p>
        </w:tc>
      </w:tr>
      <w:tr>
        <w:tc>
          <w:tcPr>
            <w:tcW w:type="dxa" w:w="2160"/>
          </w:tcPr>
          <w:p>
            <w:r/>
            <w:r>
              <w:rPr>
                <w:sz w:val="20"/>
              </w:rPr>
              <w:t>1.0</w:t>
            </w:r>
          </w:p>
        </w:tc>
        <w:tc>
          <w:tcPr>
            <w:tcW w:type="dxa" w:w="2160"/>
          </w:tcPr>
          <w:p>
            <w:r/>
            <w:r>
              <w:rPr>
                <w:sz w:val="20"/>
              </w:rPr>
              <w:t>October 2026</w:t>
            </w:r>
          </w:p>
        </w:tc>
        <w:tc>
          <w:tcPr>
            <w:tcW w:type="dxa" w:w="2160"/>
          </w:tcPr>
          <w:p>
            <w:r/>
            <w:r>
              <w:rPr>
                <w:sz w:val="20"/>
              </w:rPr>
              <w:t>Manisha Gupta</w:t>
            </w:r>
          </w:p>
        </w:tc>
        <w:tc>
          <w:tcPr>
            <w:tcW w:type="dxa" w:w="2160"/>
          </w:tcPr>
          <w:p>
            <w:r/>
            <w:r>
              <w:rPr>
                <w:sz w:val="20"/>
              </w:rPr>
              <w:t>Approved release: 10 policy statements mapped to PCI DSS v4.0 and NIST SP 800-53</w:t>
            </w:r>
          </w:p>
        </w:tc>
      </w:tr>
    </w:tbl>
    <w:p/>
    <w:p>
      <w:pPr>
        <w:pStyle w:val="Heading2"/>
      </w:pPr>
      <w:r>
        <w:t>6.11 Approval Signatures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8"/>
          </w:tcPr>
          <w:p>
            <w:r>
              <w:rPr>
                <w:b/>
                <w:color w:val="FFFFFF"/>
                <w:sz w:val="20"/>
              </w:rPr>
            </w:r>
            <w:r>
              <w:rPr>
                <w:b/>
                <w:color w:val="FFFFFF"/>
                <w:sz w:val="20"/>
              </w:rPr>
              <w:t>Role</w:t>
            </w:r>
          </w:p>
        </w:tc>
        <w:tc>
          <w:tcPr>
            <w:tcW w:type="dxa" w:w="2160"/>
            <w:shd w:val="clear" w:fill="1F4E78"/>
          </w:tcPr>
          <w:p>
            <w:r>
              <w:rPr>
                <w:b/>
                <w:color w:val="FFFFFF"/>
                <w:sz w:val="20"/>
              </w:rPr>
            </w:r>
            <w:r>
              <w:rPr>
                <w:b/>
                <w:color w:val="FFFFFF"/>
                <w:sz w:val="20"/>
              </w:rPr>
              <w:t>Name</w:t>
            </w:r>
          </w:p>
        </w:tc>
        <w:tc>
          <w:tcPr>
            <w:tcW w:type="dxa" w:w="2160"/>
            <w:shd w:val="clear" w:fill="1F4E78"/>
          </w:tcPr>
          <w:p>
            <w:r>
              <w:rPr>
                <w:b/>
                <w:color w:val="FFFFFF"/>
                <w:sz w:val="20"/>
              </w:rPr>
            </w:r>
            <w:r>
              <w:rPr>
                <w:b/>
                <w:color w:val="FFFFFF"/>
                <w:sz w:val="20"/>
              </w:rPr>
              <w:t>Signature</w:t>
            </w:r>
          </w:p>
        </w:tc>
        <w:tc>
          <w:tcPr>
            <w:tcW w:type="dxa" w:w="2160"/>
            <w:shd w:val="clear" w:fill="1F4E78"/>
          </w:tcPr>
          <w:p>
            <w:r>
              <w:rPr>
                <w:b/>
                <w:color w:val="FFFFFF"/>
                <w:sz w:val="20"/>
              </w:rPr>
            </w:r>
            <w:r>
              <w:rPr>
                <w:b/>
                <w:color w:val="FFFFFF"/>
                <w:sz w:val="20"/>
              </w:rPr>
              <w:t>Date</w:t>
            </w:r>
          </w:p>
        </w:tc>
      </w:tr>
      <w:tr>
        <w:tc>
          <w:tcPr>
            <w:tcW w:type="dxa" w:w="2160"/>
          </w:tcPr>
          <w:p>
            <w:r/>
            <w:r>
              <w:rPr>
                <w:sz w:val="20"/>
              </w:rPr>
              <w:t>System Owner</w:t>
            </w:r>
          </w:p>
        </w:tc>
        <w:tc>
          <w:tcPr>
            <w:tcW w:type="dxa" w:w="2160"/>
          </w:tcPr>
          <w:p>
            <w:r/>
            <w:r>
              <w:rPr>
                <w:sz w:val="20"/>
              </w:rPr>
            </w:r>
          </w:p>
        </w:tc>
        <w:tc>
          <w:tcPr>
            <w:tcW w:type="dxa" w:w="2160"/>
          </w:tcPr>
          <w:p>
            <w:r/>
            <w:r>
              <w:rPr>
                <w:sz w:val="20"/>
              </w:rPr>
            </w:r>
          </w:p>
        </w:tc>
        <w:tc>
          <w:tcPr>
            <w:tcW w:type="dxa" w:w="2160"/>
          </w:tcPr>
          <w:p>
            <w:r/>
            <w:r>
              <w:rPr>
                <w:sz w:val="20"/>
              </w:rPr>
            </w:r>
          </w:p>
        </w:tc>
      </w:tr>
      <w:tr>
        <w:tc>
          <w:tcPr>
            <w:tcW w:type="dxa" w:w="2160"/>
          </w:tcPr>
          <w:p>
            <w:r/>
            <w:r>
              <w:rPr>
                <w:sz w:val="20"/>
              </w:rPr>
              <w:t>Compliance Lead</w:t>
            </w:r>
          </w:p>
        </w:tc>
        <w:tc>
          <w:tcPr>
            <w:tcW w:type="dxa" w:w="2160"/>
          </w:tcPr>
          <w:p>
            <w:r/>
            <w:r>
              <w:rPr>
                <w:sz w:val="20"/>
              </w:rPr>
            </w:r>
          </w:p>
        </w:tc>
        <w:tc>
          <w:tcPr>
            <w:tcW w:type="dxa" w:w="2160"/>
          </w:tcPr>
          <w:p>
            <w:r/>
            <w:r>
              <w:rPr>
                <w:sz w:val="20"/>
              </w:rPr>
            </w:r>
          </w:p>
        </w:tc>
        <w:tc>
          <w:tcPr>
            <w:tcW w:type="dxa" w:w="2160"/>
          </w:tcPr>
          <w:p>
            <w:r/>
            <w:r>
              <w:rPr>
                <w:sz w:val="20"/>
              </w:rPr>
            </w:r>
          </w:p>
        </w:tc>
      </w:tr>
      <w:tr>
        <w:tc>
          <w:tcPr>
            <w:tcW w:type="dxa" w:w="2160"/>
          </w:tcPr>
          <w:p>
            <w:r/>
            <w:r>
              <w:rPr>
                <w:sz w:val="20"/>
              </w:rPr>
              <w:t>IAM Engineer</w:t>
            </w:r>
          </w:p>
        </w:tc>
        <w:tc>
          <w:tcPr>
            <w:tcW w:type="dxa" w:w="2160"/>
          </w:tcPr>
          <w:p>
            <w:r/>
            <w:r>
              <w:rPr>
                <w:sz w:val="20"/>
              </w:rPr>
            </w:r>
          </w:p>
        </w:tc>
        <w:tc>
          <w:tcPr>
            <w:tcW w:type="dxa" w:w="2160"/>
          </w:tcPr>
          <w:p>
            <w:r/>
            <w:r>
              <w:rPr>
                <w:sz w:val="20"/>
              </w:rPr>
            </w:r>
          </w:p>
        </w:tc>
        <w:tc>
          <w:tcPr>
            <w:tcW w:type="dxa" w:w="2160"/>
          </w:tcPr>
          <w:p>
            <w:r/>
            <w:r>
              <w:rPr>
                <w:sz w:val="20"/>
              </w:rPr>
            </w:r>
          </w:p>
        </w:tc>
      </w:tr>
      <w:tr>
        <w:tc>
          <w:tcPr>
            <w:tcW w:type="dxa" w:w="2160"/>
          </w:tcPr>
          <w:p>
            <w:r/>
            <w:r>
              <w:rPr>
                <w:sz w:val="20"/>
              </w:rPr>
              <w:t>Security Analyst</w:t>
            </w:r>
          </w:p>
        </w:tc>
        <w:tc>
          <w:tcPr>
            <w:tcW w:type="dxa" w:w="2160"/>
          </w:tcPr>
          <w:p>
            <w:r/>
            <w:r>
              <w:rPr>
                <w:sz w:val="20"/>
              </w:rPr>
            </w:r>
          </w:p>
        </w:tc>
        <w:tc>
          <w:tcPr>
            <w:tcW w:type="dxa" w:w="2160"/>
          </w:tcPr>
          <w:p>
            <w:r/>
            <w:r>
              <w:rPr>
                <w:sz w:val="20"/>
              </w:rPr>
            </w:r>
          </w:p>
        </w:tc>
        <w:tc>
          <w:tcPr>
            <w:tcW w:type="dxa" w:w="2160"/>
          </w:tcPr>
          <w:p>
            <w:r/>
            <w:r>
              <w:rPr>
                <w:sz w:val="20"/>
              </w:rPr>
            </w:r>
          </w:p>
        </w:tc>
      </w:tr>
    </w:tbl>
    <w:p/>
    <w:p>
      <w:pPr>
        <w:pStyle w:val="Heading1"/>
      </w:pPr>
      <w:r>
        <w:t>7. EISP User Lifecycle Management Procedure</w:t>
      </w:r>
    </w:p>
    <w:p>
      <w:r>
        <w:rPr>
          <w:sz w:val="22"/>
        </w:rPr>
        <w:t>Procedure ID: EISP-PROC-001  |  Version: 1.0  |  Parent Policy: EISP-POL-001 (Access Control and Authentication Policy)</w:t>
      </w:r>
    </w:p>
    <w:p>
      <w:pPr>
        <w:pStyle w:val="Heading2"/>
      </w:pPr>
      <w:r>
        <w:t>7.1 Purpose</w:t>
      </w:r>
    </w:p>
    <w:p>
      <w:r>
        <w:rPr>
          <w:sz w:val="22"/>
        </w:rPr>
        <w:t>To ensure identities are provisioned with correct least-privilege access when joining or changing roles, and fully deprovisioned promptly when leaving, across both Authentik (IdP/LDAP) and AWS IAM (federated roles).</w:t>
      </w:r>
    </w:p>
    <w:p>
      <w:pPr>
        <w:pStyle w:val="Heading2"/>
      </w:pPr>
      <w:r>
        <w:t>7.2 Scope</w:t>
      </w:r>
    </w:p>
    <w:p>
      <w:r>
        <w:rPr>
          <w:sz w:val="22"/>
        </w:rPr>
        <w:t>Covers all human identities in EISP: joiner (new), mover (role transfer), and leaver (termination) flows. Service accounts are covered by a separate service-account procedure and are out of scope here.</w:t>
      </w:r>
    </w:p>
    <w:p>
      <w:pPr>
        <w:pStyle w:val="Heading2"/>
      </w:pPr>
      <w:r>
        <w:t>7.3 Prerequisites</w:t>
      </w:r>
    </w:p>
    <w:p>
      <w:pPr>
        <w:pStyle w:val="ListBullet"/>
      </w:pPr>
      <w:r>
        <w:rPr>
          <w:sz w:val="22"/>
        </w:rPr>
        <w:t>An approved access request ticket from the requestor's manager (joiner/mover) or HR notification (leaver).</w:t>
      </w:r>
    </w:p>
    <w:p>
      <w:pPr>
        <w:pStyle w:val="ListBullet"/>
      </w:pPr>
      <w:r>
        <w:rPr>
          <w:sz w:val="22"/>
        </w:rPr>
        <w:t>IAM Engineer holds Authentik administrator access and Terraform execution rights for the EISP AWS account.</w:t>
      </w:r>
    </w:p>
    <w:p>
      <w:pPr>
        <w:pStyle w:val="ListBullet"/>
      </w:pPr>
      <w:r>
        <w:rPr>
          <w:sz w:val="22"/>
        </w:rPr>
        <w:t>The three approved RBAC policies and the EISP-PermissionBoundary are deployed and current.</w:t>
      </w:r>
    </w:p>
    <w:p>
      <w:pPr>
        <w:pStyle w:val="ListBullet"/>
      </w:pPr>
      <w:r>
        <w:rPr>
          <w:sz w:val="22"/>
        </w:rPr>
        <w:t>A tracking ticket exists for the lifecycle event (all evidence is attached to the ticket).</w:t>
      </w:r>
    </w:p>
    <w:p>
      <w:pPr>
        <w:pStyle w:val="Heading2"/>
      </w:pPr>
      <w:r>
        <w:t>7.4 Joiner Flow — Provisioning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8"/>
          </w:tcPr>
          <w:p>
            <w:r>
              <w:rPr>
                <w:b/>
                <w:color w:val="FFFFFF"/>
                <w:sz w:val="20"/>
              </w:rPr>
            </w:r>
            <w:r>
              <w:rPr>
                <w:b/>
                <w:color w:val="FFFFFF"/>
                <w:sz w:val="20"/>
              </w:rPr>
              <w:t>Step</w:t>
            </w:r>
          </w:p>
        </w:tc>
        <w:tc>
          <w:tcPr>
            <w:tcW w:type="dxa" w:w="1728"/>
            <w:shd w:val="clear" w:fill="1F4E78"/>
          </w:tcPr>
          <w:p>
            <w:r>
              <w:rPr>
                <w:b/>
                <w:color w:val="FFFFFF"/>
                <w:sz w:val="20"/>
              </w:rPr>
            </w:r>
            <w:r>
              <w:rPr>
                <w:b/>
                <w:color w:val="FFFFFF"/>
                <w:sz w:val="20"/>
              </w:rPr>
              <w:t>Activity</w:t>
            </w:r>
          </w:p>
        </w:tc>
        <w:tc>
          <w:tcPr>
            <w:tcW w:type="dxa" w:w="1728"/>
            <w:shd w:val="clear" w:fill="1F4E78"/>
          </w:tcPr>
          <w:p>
            <w:r>
              <w:rPr>
                <w:b/>
                <w:color w:val="FFFFFF"/>
                <w:sz w:val="20"/>
              </w:rPr>
            </w:r>
            <w:r>
              <w:rPr>
                <w:b/>
                <w:color w:val="FFFFFF"/>
                <w:sz w:val="20"/>
              </w:rPr>
              <w:t>Owner</w:t>
            </w:r>
          </w:p>
        </w:tc>
        <w:tc>
          <w:tcPr>
            <w:tcW w:type="dxa" w:w="1728"/>
            <w:shd w:val="clear" w:fill="1F4E78"/>
          </w:tcPr>
          <w:p>
            <w:r>
              <w:rPr>
                <w:b/>
                <w:color w:val="FFFFFF"/>
                <w:sz w:val="20"/>
              </w:rPr>
            </w:r>
            <w:r>
              <w:rPr>
                <w:b/>
                <w:color w:val="FFFFFF"/>
                <w:sz w:val="20"/>
              </w:rPr>
              <w:t>Inputs</w:t>
            </w:r>
          </w:p>
        </w:tc>
        <w:tc>
          <w:tcPr>
            <w:tcW w:type="dxa" w:w="1728"/>
            <w:shd w:val="clear" w:fill="1F4E78"/>
          </w:tcPr>
          <w:p>
            <w:r>
              <w:rPr>
                <w:b/>
                <w:color w:val="FFFFFF"/>
                <w:sz w:val="20"/>
              </w:rPr>
            </w:r>
            <w:r>
              <w:rPr>
                <w:b/>
                <w:color w:val="FFFFFF"/>
                <w:sz w:val="20"/>
              </w:rPr>
              <w:t>Outputs</w:t>
            </w:r>
          </w:p>
        </w:tc>
      </w:tr>
      <w:tr>
        <w:tc>
          <w:tcPr>
            <w:tcW w:type="dxa" w:w="1728"/>
          </w:tcPr>
          <w:p>
            <w:r/>
            <w:r>
              <w:rPr>
                <w:sz w:val="20"/>
              </w:rPr>
              <w:t>J-1</w:t>
            </w:r>
          </w:p>
        </w:tc>
        <w:tc>
          <w:tcPr>
            <w:tcW w:type="dxa" w:w="1728"/>
          </w:tcPr>
          <w:p>
            <w:r/>
            <w:r>
              <w:rPr>
                <w:sz w:val="20"/>
              </w:rPr>
              <w:t>Receive and validate the approved access request (role, manager approval, start date)</w:t>
            </w:r>
          </w:p>
        </w:tc>
        <w:tc>
          <w:tcPr>
            <w:tcW w:type="dxa" w:w="1728"/>
          </w:tcPr>
          <w:p>
            <w:r/>
            <w:r>
              <w:rPr>
                <w:sz w:val="20"/>
              </w:rPr>
              <w:t>IAM Engineer</w:t>
            </w:r>
          </w:p>
        </w:tc>
        <w:tc>
          <w:tcPr>
            <w:tcW w:type="dxa" w:w="1728"/>
          </w:tcPr>
          <w:p>
            <w:r/>
            <w:r>
              <w:rPr>
                <w:sz w:val="20"/>
              </w:rPr>
              <w:t>Approved request ticket</w:t>
            </w:r>
          </w:p>
        </w:tc>
        <w:tc>
          <w:tcPr>
            <w:tcW w:type="dxa" w:w="1728"/>
          </w:tcPr>
          <w:p>
            <w:r/>
            <w:r>
              <w:rPr>
                <w:sz w:val="20"/>
              </w:rPr>
              <w:t>Validated ticket</w:t>
            </w:r>
          </w:p>
        </w:tc>
      </w:tr>
      <w:tr>
        <w:tc>
          <w:tcPr>
            <w:tcW w:type="dxa" w:w="1728"/>
          </w:tcPr>
          <w:p>
            <w:r/>
            <w:r>
              <w:rPr>
                <w:sz w:val="20"/>
              </w:rPr>
              <w:t>J-2</w:t>
            </w:r>
          </w:p>
        </w:tc>
        <w:tc>
          <w:tcPr>
            <w:tcW w:type="dxa" w:w="1728"/>
          </w:tcPr>
          <w:p>
            <w:r/>
            <w:r>
              <w:rPr>
                <w:sz w:val="20"/>
              </w:rPr>
              <w:t>Create the user in Authentik with a unique user ID; assign to the RBAC group matching the approved role (Developers / Security Analysts / IAM Engineers)</w:t>
            </w:r>
          </w:p>
        </w:tc>
        <w:tc>
          <w:tcPr>
            <w:tcW w:type="dxa" w:w="1728"/>
          </w:tcPr>
          <w:p>
            <w:r/>
            <w:r>
              <w:rPr>
                <w:sz w:val="20"/>
              </w:rPr>
              <w:t>IAM Engineer</w:t>
            </w:r>
          </w:p>
        </w:tc>
        <w:tc>
          <w:tcPr>
            <w:tcW w:type="dxa" w:w="1728"/>
          </w:tcPr>
          <w:p>
            <w:r/>
            <w:r>
              <w:rPr>
                <w:sz w:val="20"/>
              </w:rPr>
              <w:t>Validated ticket</w:t>
            </w:r>
          </w:p>
        </w:tc>
        <w:tc>
          <w:tcPr>
            <w:tcW w:type="dxa" w:w="1728"/>
          </w:tcPr>
          <w:p>
            <w:r/>
            <w:r>
              <w:rPr>
                <w:sz w:val="20"/>
              </w:rPr>
              <w:t>Authentik user + group membership</w:t>
            </w:r>
          </w:p>
        </w:tc>
      </w:tr>
      <w:tr>
        <w:tc>
          <w:tcPr>
            <w:tcW w:type="dxa" w:w="1728"/>
          </w:tcPr>
          <w:p>
            <w:r/>
            <w:r>
              <w:rPr>
                <w:sz w:val="20"/>
              </w:rPr>
              <w:t>J-3</w:t>
            </w:r>
          </w:p>
        </w:tc>
        <w:tc>
          <w:tcPr>
            <w:tcW w:type="dxa" w:w="1728"/>
          </w:tcPr>
          <w:p>
            <w:r/>
            <w:r>
              <w:rPr>
                <w:sz w:val="20"/>
              </w:rPr>
              <w:t>Verify SAML federation mapping: confirm the Authentik group maps to the correct AWS role (EISP-Developer-Role / EISP-SecurityAnalyst-Role / EISP-IAMEngineer-Role) via the authentik-saml provider</w:t>
            </w:r>
          </w:p>
        </w:tc>
        <w:tc>
          <w:tcPr>
            <w:tcW w:type="dxa" w:w="1728"/>
          </w:tcPr>
          <w:p>
            <w:r/>
            <w:r>
              <w:rPr>
                <w:sz w:val="20"/>
              </w:rPr>
              <w:t>IAM Engineer</w:t>
            </w:r>
          </w:p>
        </w:tc>
        <w:tc>
          <w:tcPr>
            <w:tcW w:type="dxa" w:w="1728"/>
          </w:tcPr>
          <w:p>
            <w:r/>
            <w:r>
              <w:rPr>
                <w:sz w:val="20"/>
              </w:rPr>
              <w:t>Authentik group; Terraform role definitions</w:t>
            </w:r>
          </w:p>
        </w:tc>
        <w:tc>
          <w:tcPr>
            <w:tcW w:type="dxa" w:w="1728"/>
          </w:tcPr>
          <w:p>
            <w:r/>
            <w:r>
              <w:rPr>
                <w:sz w:val="20"/>
              </w:rPr>
              <w:t>Verified federation mapping</w:t>
            </w:r>
          </w:p>
        </w:tc>
      </w:tr>
      <w:tr>
        <w:tc>
          <w:tcPr>
            <w:tcW w:type="dxa" w:w="1728"/>
          </w:tcPr>
          <w:p>
            <w:r/>
            <w:r>
              <w:rPr>
                <w:sz w:val="20"/>
              </w:rPr>
              <w:t>J-4</w:t>
            </w:r>
          </w:p>
        </w:tc>
        <w:tc>
          <w:tcPr>
            <w:tcW w:type="dxa" w:w="1728"/>
          </w:tcPr>
          <w:p>
            <w:r/>
            <w:r>
              <w:rPr>
                <w:sz w:val="20"/>
              </w:rPr>
              <w:t>Require MFA enrollment before first privileged action; verify enrollment in Authentik</w:t>
            </w:r>
          </w:p>
        </w:tc>
        <w:tc>
          <w:tcPr>
            <w:tcW w:type="dxa" w:w="1728"/>
          </w:tcPr>
          <w:p>
            <w:r/>
            <w:r>
              <w:rPr>
                <w:sz w:val="20"/>
              </w:rPr>
              <w:t>End User (verified by IAM Engineer)</w:t>
            </w:r>
          </w:p>
        </w:tc>
        <w:tc>
          <w:tcPr>
            <w:tcW w:type="dxa" w:w="1728"/>
          </w:tcPr>
          <w:p>
            <w:r/>
            <w:r>
              <w:rPr>
                <w:sz w:val="20"/>
              </w:rPr>
              <w:t>Authentik user</w:t>
            </w:r>
          </w:p>
        </w:tc>
        <w:tc>
          <w:tcPr>
            <w:tcW w:type="dxa" w:w="1728"/>
          </w:tcPr>
          <w:p>
            <w:r/>
            <w:r>
              <w:rPr>
                <w:sz w:val="20"/>
              </w:rPr>
              <w:t>MFA enrolled</w:t>
            </w:r>
          </w:p>
        </w:tc>
      </w:tr>
      <w:tr>
        <w:tc>
          <w:tcPr>
            <w:tcW w:type="dxa" w:w="1728"/>
          </w:tcPr>
          <w:p>
            <w:r/>
            <w:r>
              <w:rPr>
                <w:sz w:val="20"/>
              </w:rPr>
              <w:t>J-5</w:t>
            </w:r>
          </w:p>
        </w:tc>
        <w:tc>
          <w:tcPr>
            <w:tcW w:type="dxa" w:w="1728"/>
          </w:tcPr>
          <w:p>
            <w:r/>
            <w:r>
              <w:rPr>
                <w:sz w:val="20"/>
              </w:rPr>
              <w:t>Notify the user (SSO portal URL, login guide) and the manager; attach evidence to the ticket</w:t>
            </w:r>
          </w:p>
        </w:tc>
        <w:tc>
          <w:tcPr>
            <w:tcW w:type="dxa" w:w="1728"/>
          </w:tcPr>
          <w:p>
            <w:r/>
            <w:r>
              <w:rPr>
                <w:sz w:val="20"/>
              </w:rPr>
              <w:t>IAM Engineer</w:t>
            </w:r>
          </w:p>
        </w:tc>
        <w:tc>
          <w:tcPr>
            <w:tcW w:type="dxa" w:w="1728"/>
          </w:tcPr>
          <w:p>
            <w:r/>
            <w:r>
              <w:rPr>
                <w:sz w:val="20"/>
              </w:rPr>
              <w:t>Completed provisioning</w:t>
            </w:r>
          </w:p>
        </w:tc>
        <w:tc>
          <w:tcPr>
            <w:tcW w:type="dxa" w:w="1728"/>
          </w:tcPr>
          <w:p>
            <w:r/>
            <w:r>
              <w:rPr>
                <w:sz w:val="20"/>
              </w:rPr>
              <w:t>Notification sent; ticket closed with evidence</w:t>
            </w:r>
          </w:p>
        </w:tc>
      </w:tr>
    </w:tbl>
    <w:p/>
    <w:p>
      <w:pPr>
        <w:pStyle w:val="Heading2"/>
      </w:pPr>
      <w:r>
        <w:t>7.5 Mover Flow — Modification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8"/>
          </w:tcPr>
          <w:p>
            <w:r>
              <w:rPr>
                <w:b/>
                <w:color w:val="FFFFFF"/>
                <w:sz w:val="20"/>
              </w:rPr>
            </w:r>
            <w:r>
              <w:rPr>
                <w:b/>
                <w:color w:val="FFFFFF"/>
                <w:sz w:val="20"/>
              </w:rPr>
              <w:t>Step</w:t>
            </w:r>
          </w:p>
        </w:tc>
        <w:tc>
          <w:tcPr>
            <w:tcW w:type="dxa" w:w="1728"/>
            <w:shd w:val="clear" w:fill="1F4E78"/>
          </w:tcPr>
          <w:p>
            <w:r>
              <w:rPr>
                <w:b/>
                <w:color w:val="FFFFFF"/>
                <w:sz w:val="20"/>
              </w:rPr>
            </w:r>
            <w:r>
              <w:rPr>
                <w:b/>
                <w:color w:val="FFFFFF"/>
                <w:sz w:val="20"/>
              </w:rPr>
              <w:t>Activity</w:t>
            </w:r>
          </w:p>
        </w:tc>
        <w:tc>
          <w:tcPr>
            <w:tcW w:type="dxa" w:w="1728"/>
            <w:shd w:val="clear" w:fill="1F4E78"/>
          </w:tcPr>
          <w:p>
            <w:r>
              <w:rPr>
                <w:b/>
                <w:color w:val="FFFFFF"/>
                <w:sz w:val="20"/>
              </w:rPr>
            </w:r>
            <w:r>
              <w:rPr>
                <w:b/>
                <w:color w:val="FFFFFF"/>
                <w:sz w:val="20"/>
              </w:rPr>
              <w:t>Owner</w:t>
            </w:r>
          </w:p>
        </w:tc>
        <w:tc>
          <w:tcPr>
            <w:tcW w:type="dxa" w:w="1728"/>
            <w:shd w:val="clear" w:fill="1F4E78"/>
          </w:tcPr>
          <w:p>
            <w:r>
              <w:rPr>
                <w:b/>
                <w:color w:val="FFFFFF"/>
                <w:sz w:val="20"/>
              </w:rPr>
            </w:r>
            <w:r>
              <w:rPr>
                <w:b/>
                <w:color w:val="FFFFFF"/>
                <w:sz w:val="20"/>
              </w:rPr>
              <w:t>Inputs</w:t>
            </w:r>
          </w:p>
        </w:tc>
        <w:tc>
          <w:tcPr>
            <w:tcW w:type="dxa" w:w="1728"/>
            <w:shd w:val="clear" w:fill="1F4E78"/>
          </w:tcPr>
          <w:p>
            <w:r>
              <w:rPr>
                <w:b/>
                <w:color w:val="FFFFFF"/>
                <w:sz w:val="20"/>
              </w:rPr>
            </w:r>
            <w:r>
              <w:rPr>
                <w:b/>
                <w:color w:val="FFFFFF"/>
                <w:sz w:val="20"/>
              </w:rPr>
              <w:t>Outputs</w:t>
            </w:r>
          </w:p>
        </w:tc>
      </w:tr>
      <w:tr>
        <w:tc>
          <w:tcPr>
            <w:tcW w:type="dxa" w:w="1728"/>
          </w:tcPr>
          <w:p>
            <w:r/>
            <w:r>
              <w:rPr>
                <w:sz w:val="20"/>
              </w:rPr>
              <w:t>M-1</w:t>
            </w:r>
          </w:p>
        </w:tc>
        <w:tc>
          <w:tcPr>
            <w:tcW w:type="dxa" w:w="1728"/>
          </w:tcPr>
          <w:p>
            <w:r/>
            <w:r>
              <w:rPr>
                <w:sz w:val="20"/>
              </w:rPr>
              <w:t>Receive approved transfer request specifying old role, new role, effective date</w:t>
            </w:r>
          </w:p>
        </w:tc>
        <w:tc>
          <w:tcPr>
            <w:tcW w:type="dxa" w:w="1728"/>
          </w:tcPr>
          <w:p>
            <w:r/>
            <w:r>
              <w:rPr>
                <w:sz w:val="20"/>
              </w:rPr>
              <w:t>IAM Engineer</w:t>
            </w:r>
          </w:p>
        </w:tc>
        <w:tc>
          <w:tcPr>
            <w:tcW w:type="dxa" w:w="1728"/>
          </w:tcPr>
          <w:p>
            <w:r/>
            <w:r>
              <w:rPr>
                <w:sz w:val="20"/>
              </w:rPr>
              <w:t>Approved transfer ticket</w:t>
            </w:r>
          </w:p>
        </w:tc>
        <w:tc>
          <w:tcPr>
            <w:tcW w:type="dxa" w:w="1728"/>
          </w:tcPr>
          <w:p>
            <w:r/>
            <w:r>
              <w:rPr>
                <w:sz w:val="20"/>
              </w:rPr>
              <w:t>Validated ticket</w:t>
            </w:r>
          </w:p>
        </w:tc>
      </w:tr>
      <w:tr>
        <w:tc>
          <w:tcPr>
            <w:tcW w:type="dxa" w:w="1728"/>
          </w:tcPr>
          <w:p>
            <w:r/>
            <w:r>
              <w:rPr>
                <w:sz w:val="20"/>
              </w:rPr>
              <w:t>M-2</w:t>
            </w:r>
          </w:p>
        </w:tc>
        <w:tc>
          <w:tcPr>
            <w:tcW w:type="dxa" w:w="1728"/>
          </w:tcPr>
          <w:p>
            <w:r/>
            <w:r>
              <w:rPr>
                <w:sz w:val="20"/>
              </w:rPr>
              <w:t>Remove the user from the old Authentik RBAC group and add to the new group (same day as effective date)</w:t>
            </w:r>
          </w:p>
        </w:tc>
        <w:tc>
          <w:tcPr>
            <w:tcW w:type="dxa" w:w="1728"/>
          </w:tcPr>
          <w:p>
            <w:r/>
            <w:r>
              <w:rPr>
                <w:sz w:val="20"/>
              </w:rPr>
              <w:t>IAM Engineer</w:t>
            </w:r>
          </w:p>
        </w:tc>
        <w:tc>
          <w:tcPr>
            <w:tcW w:type="dxa" w:w="1728"/>
          </w:tcPr>
          <w:p>
            <w:r/>
            <w:r>
              <w:rPr>
                <w:sz w:val="20"/>
              </w:rPr>
              <w:t>Validated ticket</w:t>
            </w:r>
          </w:p>
        </w:tc>
        <w:tc>
          <w:tcPr>
            <w:tcW w:type="dxa" w:w="1728"/>
          </w:tcPr>
          <w:p>
            <w:r/>
            <w:r>
              <w:rPr>
                <w:sz w:val="20"/>
              </w:rPr>
              <w:t>Updated group memberships</w:t>
            </w:r>
          </w:p>
        </w:tc>
      </w:tr>
      <w:tr>
        <w:tc>
          <w:tcPr>
            <w:tcW w:type="dxa" w:w="1728"/>
          </w:tcPr>
          <w:p>
            <w:r/>
            <w:r>
              <w:rPr>
                <w:sz w:val="20"/>
              </w:rPr>
              <w:t>M-3</w:t>
            </w:r>
          </w:p>
        </w:tc>
        <w:tc>
          <w:tcPr>
            <w:tcW w:type="dxa" w:w="1728"/>
          </w:tcPr>
          <w:p>
            <w:r/>
            <w:r>
              <w:rPr>
                <w:sz w:val="20"/>
              </w:rPr>
              <w:t>Revoke active sessions (Authentik sessions; AWS STS sessions expire within 4 hours by design) so old permissions stop applying immediately</w:t>
            </w:r>
          </w:p>
        </w:tc>
        <w:tc>
          <w:tcPr>
            <w:tcW w:type="dxa" w:w="1728"/>
          </w:tcPr>
          <w:p>
            <w:r/>
            <w:r>
              <w:rPr>
                <w:sz w:val="20"/>
              </w:rPr>
              <w:t>IAM Engineer</w:t>
            </w:r>
          </w:p>
        </w:tc>
        <w:tc>
          <w:tcPr>
            <w:tcW w:type="dxa" w:w="1728"/>
          </w:tcPr>
          <w:p>
            <w:r/>
            <w:r>
              <w:rPr>
                <w:sz w:val="20"/>
              </w:rPr>
              <w:t>Updated memberships</w:t>
            </w:r>
          </w:p>
        </w:tc>
        <w:tc>
          <w:tcPr>
            <w:tcW w:type="dxa" w:w="1728"/>
          </w:tcPr>
          <w:p>
            <w:r/>
            <w:r>
              <w:rPr>
                <w:sz w:val="20"/>
              </w:rPr>
              <w:t>Sessions revoked</w:t>
            </w:r>
          </w:p>
        </w:tc>
      </w:tr>
      <w:tr>
        <w:tc>
          <w:tcPr>
            <w:tcW w:type="dxa" w:w="1728"/>
          </w:tcPr>
          <w:p>
            <w:r/>
            <w:r>
              <w:rPr>
                <w:sz w:val="20"/>
              </w:rPr>
              <w:t>M-4</w:t>
            </w:r>
          </w:p>
        </w:tc>
        <w:tc>
          <w:tcPr>
            <w:tcW w:type="dxa" w:w="1728"/>
          </w:tcPr>
          <w:p>
            <w:r/>
            <w:r>
              <w:rPr>
                <w:sz w:val="20"/>
              </w:rPr>
              <w:t>Verify effective permissions: test-assume the new role, confirm old role is no longer assumable</w:t>
            </w:r>
          </w:p>
        </w:tc>
        <w:tc>
          <w:tcPr>
            <w:tcW w:type="dxa" w:w="1728"/>
          </w:tcPr>
          <w:p>
            <w:r/>
            <w:r>
              <w:rPr>
                <w:sz w:val="20"/>
              </w:rPr>
              <w:t>Security Analyst</w:t>
            </w:r>
          </w:p>
        </w:tc>
        <w:tc>
          <w:tcPr>
            <w:tcW w:type="dxa" w:w="1728"/>
          </w:tcPr>
          <w:p>
            <w:r/>
            <w:r>
              <w:rPr>
                <w:sz w:val="20"/>
              </w:rPr>
              <w:t>Updated memberships</w:t>
            </w:r>
          </w:p>
        </w:tc>
        <w:tc>
          <w:tcPr>
            <w:tcW w:type="dxa" w:w="1728"/>
          </w:tcPr>
          <w:p>
            <w:r/>
            <w:r>
              <w:rPr>
                <w:sz w:val="20"/>
              </w:rPr>
              <w:t>Verification record</w:t>
            </w:r>
          </w:p>
        </w:tc>
      </w:tr>
      <w:tr>
        <w:tc>
          <w:tcPr>
            <w:tcW w:type="dxa" w:w="1728"/>
          </w:tcPr>
          <w:p>
            <w:r/>
            <w:r>
              <w:rPr>
                <w:sz w:val="20"/>
              </w:rPr>
              <w:t>M-5</w:t>
            </w:r>
          </w:p>
        </w:tc>
        <w:tc>
          <w:tcPr>
            <w:tcW w:type="dxa" w:w="1728"/>
          </w:tcPr>
          <w:p>
            <w:r/>
            <w:r>
              <w:rPr>
                <w:sz w:val="20"/>
              </w:rPr>
              <w:t>Close ticket with evidence attached</w:t>
            </w:r>
          </w:p>
        </w:tc>
        <w:tc>
          <w:tcPr>
            <w:tcW w:type="dxa" w:w="1728"/>
          </w:tcPr>
          <w:p>
            <w:r/>
            <w:r>
              <w:rPr>
                <w:sz w:val="20"/>
              </w:rPr>
              <w:t>IAM Engineer</w:t>
            </w:r>
          </w:p>
        </w:tc>
        <w:tc>
          <w:tcPr>
            <w:tcW w:type="dxa" w:w="1728"/>
          </w:tcPr>
          <w:p>
            <w:r/>
            <w:r>
              <w:rPr>
                <w:sz w:val="20"/>
              </w:rPr>
              <w:t>Verification record</w:t>
            </w:r>
          </w:p>
        </w:tc>
        <w:tc>
          <w:tcPr>
            <w:tcW w:type="dxa" w:w="1728"/>
          </w:tcPr>
          <w:p>
            <w:r/>
            <w:r>
              <w:rPr>
                <w:sz w:val="20"/>
              </w:rPr>
              <w:t>Closed ticket</w:t>
            </w:r>
          </w:p>
        </w:tc>
      </w:tr>
    </w:tbl>
    <w:p/>
    <w:p>
      <w:pPr>
        <w:pStyle w:val="Heading2"/>
      </w:pPr>
      <w:r>
        <w:t>7.6 Leaver Flow — Deprovisioning (24-hour SLA)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8"/>
          </w:tcPr>
          <w:p>
            <w:r>
              <w:rPr>
                <w:b/>
                <w:color w:val="FFFFFF"/>
                <w:sz w:val="20"/>
              </w:rPr>
            </w:r>
            <w:r>
              <w:rPr>
                <w:b/>
                <w:color w:val="FFFFFF"/>
                <w:sz w:val="20"/>
              </w:rPr>
              <w:t>Step</w:t>
            </w:r>
          </w:p>
        </w:tc>
        <w:tc>
          <w:tcPr>
            <w:tcW w:type="dxa" w:w="1728"/>
            <w:shd w:val="clear" w:fill="1F4E78"/>
          </w:tcPr>
          <w:p>
            <w:r>
              <w:rPr>
                <w:b/>
                <w:color w:val="FFFFFF"/>
                <w:sz w:val="20"/>
              </w:rPr>
            </w:r>
            <w:r>
              <w:rPr>
                <w:b/>
                <w:color w:val="FFFFFF"/>
                <w:sz w:val="20"/>
              </w:rPr>
              <w:t>Activity</w:t>
            </w:r>
          </w:p>
        </w:tc>
        <w:tc>
          <w:tcPr>
            <w:tcW w:type="dxa" w:w="1728"/>
            <w:shd w:val="clear" w:fill="1F4E78"/>
          </w:tcPr>
          <w:p>
            <w:r>
              <w:rPr>
                <w:b/>
                <w:color w:val="FFFFFF"/>
                <w:sz w:val="20"/>
              </w:rPr>
            </w:r>
            <w:r>
              <w:rPr>
                <w:b/>
                <w:color w:val="FFFFFF"/>
                <w:sz w:val="20"/>
              </w:rPr>
              <w:t>Owner</w:t>
            </w:r>
          </w:p>
        </w:tc>
        <w:tc>
          <w:tcPr>
            <w:tcW w:type="dxa" w:w="1728"/>
            <w:shd w:val="clear" w:fill="1F4E78"/>
          </w:tcPr>
          <w:p>
            <w:r>
              <w:rPr>
                <w:b/>
                <w:color w:val="FFFFFF"/>
                <w:sz w:val="20"/>
              </w:rPr>
            </w:r>
            <w:r>
              <w:rPr>
                <w:b/>
                <w:color w:val="FFFFFF"/>
                <w:sz w:val="20"/>
              </w:rPr>
              <w:t>Inputs</w:t>
            </w:r>
          </w:p>
        </w:tc>
        <w:tc>
          <w:tcPr>
            <w:tcW w:type="dxa" w:w="1728"/>
            <w:shd w:val="clear" w:fill="1F4E78"/>
          </w:tcPr>
          <w:p>
            <w:r>
              <w:rPr>
                <w:b/>
                <w:color w:val="FFFFFF"/>
                <w:sz w:val="20"/>
              </w:rPr>
            </w:r>
            <w:r>
              <w:rPr>
                <w:b/>
                <w:color w:val="FFFFFF"/>
                <w:sz w:val="20"/>
              </w:rPr>
              <w:t>Outputs</w:t>
            </w:r>
          </w:p>
        </w:tc>
      </w:tr>
      <w:tr>
        <w:tc>
          <w:tcPr>
            <w:tcW w:type="dxa" w:w="1728"/>
          </w:tcPr>
          <w:p>
            <w:r/>
            <w:r>
              <w:rPr>
                <w:sz w:val="20"/>
              </w:rPr>
              <w:t>L-1</w:t>
            </w:r>
          </w:p>
        </w:tc>
        <w:tc>
          <w:tcPr>
            <w:tcW w:type="dxa" w:w="1728"/>
          </w:tcPr>
          <w:p>
            <w:r/>
            <w:r>
              <w:rPr>
                <w:sz w:val="20"/>
              </w:rPr>
              <w:t>Receive termination notification (HR); ticket created with required completion timestamp (notification + 24h)</w:t>
            </w:r>
          </w:p>
        </w:tc>
        <w:tc>
          <w:tcPr>
            <w:tcW w:type="dxa" w:w="1728"/>
          </w:tcPr>
          <w:p>
            <w:r/>
            <w:r>
              <w:rPr>
                <w:sz w:val="20"/>
              </w:rPr>
              <w:t>Compliance Lead</w:t>
            </w:r>
          </w:p>
        </w:tc>
        <w:tc>
          <w:tcPr>
            <w:tcW w:type="dxa" w:w="1728"/>
          </w:tcPr>
          <w:p>
            <w:r/>
            <w:r>
              <w:rPr>
                <w:sz w:val="20"/>
              </w:rPr>
              <w:t>HR notification</w:t>
            </w:r>
          </w:p>
        </w:tc>
        <w:tc>
          <w:tcPr>
            <w:tcW w:type="dxa" w:w="1728"/>
          </w:tcPr>
          <w:p>
            <w:r/>
            <w:r>
              <w:rPr>
                <w:sz w:val="20"/>
              </w:rPr>
              <w:t>Deprovisioning ticket</w:t>
            </w:r>
          </w:p>
        </w:tc>
      </w:tr>
      <w:tr>
        <w:tc>
          <w:tcPr>
            <w:tcW w:type="dxa" w:w="1728"/>
          </w:tcPr>
          <w:p>
            <w:r/>
            <w:r>
              <w:rPr>
                <w:sz w:val="20"/>
              </w:rPr>
              <w:t>L-2</w:t>
            </w:r>
          </w:p>
        </w:tc>
        <w:tc>
          <w:tcPr>
            <w:tcW w:type="dxa" w:w="1728"/>
          </w:tcPr>
          <w:p>
            <w:r/>
            <w:r>
              <w:rPr>
                <w:sz w:val="20"/>
              </w:rPr>
              <w:t>Immediately disable the Authentik user account (set inactive); disable LDAP bind if used</w:t>
            </w:r>
          </w:p>
        </w:tc>
        <w:tc>
          <w:tcPr>
            <w:tcW w:type="dxa" w:w="1728"/>
          </w:tcPr>
          <w:p>
            <w:r/>
            <w:r>
              <w:rPr>
                <w:sz w:val="20"/>
              </w:rPr>
              <w:t>IAM Engineer</w:t>
            </w:r>
          </w:p>
        </w:tc>
        <w:tc>
          <w:tcPr>
            <w:tcW w:type="dxa" w:w="1728"/>
          </w:tcPr>
          <w:p>
            <w:r/>
            <w:r>
              <w:rPr>
                <w:sz w:val="20"/>
              </w:rPr>
              <w:t>Ticket</w:t>
            </w:r>
          </w:p>
        </w:tc>
        <w:tc>
          <w:tcPr>
            <w:tcW w:type="dxa" w:w="1728"/>
          </w:tcPr>
          <w:p>
            <w:r/>
            <w:r>
              <w:rPr>
                <w:sz w:val="20"/>
              </w:rPr>
              <w:t>Account disabled</w:t>
            </w:r>
          </w:p>
        </w:tc>
      </w:tr>
      <w:tr>
        <w:tc>
          <w:tcPr>
            <w:tcW w:type="dxa" w:w="1728"/>
          </w:tcPr>
          <w:p>
            <w:r/>
            <w:r>
              <w:rPr>
                <w:sz w:val="20"/>
              </w:rPr>
              <w:t>L-3</w:t>
            </w:r>
          </w:p>
        </w:tc>
        <w:tc>
          <w:tcPr>
            <w:tcW w:type="dxa" w:w="1728"/>
          </w:tcPr>
          <w:p>
            <w:r/>
            <w:r>
              <w:rPr>
                <w:sz w:val="20"/>
              </w:rPr>
              <w:t>Remove user from all Authentik groups; verify AWS role assumption no longer possible for the identity</w:t>
            </w:r>
          </w:p>
        </w:tc>
        <w:tc>
          <w:tcPr>
            <w:tcW w:type="dxa" w:w="1728"/>
          </w:tcPr>
          <w:p>
            <w:r/>
            <w:r>
              <w:rPr>
                <w:sz w:val="20"/>
              </w:rPr>
              <w:t>IAM Engineer</w:t>
            </w:r>
          </w:p>
        </w:tc>
        <w:tc>
          <w:tcPr>
            <w:tcW w:type="dxa" w:w="1728"/>
          </w:tcPr>
          <w:p>
            <w:r/>
            <w:r>
              <w:rPr>
                <w:sz w:val="20"/>
              </w:rPr>
              <w:t>Disabled account</w:t>
            </w:r>
          </w:p>
        </w:tc>
        <w:tc>
          <w:tcPr>
            <w:tcW w:type="dxa" w:w="1728"/>
          </w:tcPr>
          <w:p>
            <w:r/>
            <w:r>
              <w:rPr>
                <w:sz w:val="20"/>
              </w:rPr>
              <w:t>Role mappings removed</w:t>
            </w:r>
          </w:p>
        </w:tc>
      </w:tr>
      <w:tr>
        <w:tc>
          <w:tcPr>
            <w:tcW w:type="dxa" w:w="1728"/>
          </w:tcPr>
          <w:p>
            <w:r/>
            <w:r>
              <w:rPr>
                <w:sz w:val="20"/>
              </w:rPr>
              <w:t>L-4</w:t>
            </w:r>
          </w:p>
        </w:tc>
        <w:tc>
          <w:tcPr>
            <w:tcW w:type="dxa" w:w="1728"/>
          </w:tcPr>
          <w:p>
            <w:r/>
            <w:r>
              <w:rPr>
                <w:sz w:val="20"/>
              </w:rPr>
              <w:t>Revoke active sessions and rotate any shared secrets the user could access (e.g., break-glass credentials if exposed)</w:t>
            </w:r>
          </w:p>
        </w:tc>
        <w:tc>
          <w:tcPr>
            <w:tcW w:type="dxa" w:w="1728"/>
          </w:tcPr>
          <w:p>
            <w:r/>
            <w:r>
              <w:rPr>
                <w:sz w:val="20"/>
              </w:rPr>
              <w:t>IAM Engineer</w:t>
            </w:r>
          </w:p>
        </w:tc>
        <w:tc>
          <w:tcPr>
            <w:tcW w:type="dxa" w:w="1728"/>
          </w:tcPr>
          <w:p>
            <w:r/>
            <w:r>
              <w:rPr>
                <w:sz w:val="20"/>
              </w:rPr>
              <w:t>Disabled account</w:t>
            </w:r>
          </w:p>
        </w:tc>
        <w:tc>
          <w:tcPr>
            <w:tcW w:type="dxa" w:w="1728"/>
          </w:tcPr>
          <w:p>
            <w:r/>
            <w:r>
              <w:rPr>
                <w:sz w:val="20"/>
              </w:rPr>
              <w:t>Sessions revoked; secrets rotated if needed</w:t>
            </w:r>
          </w:p>
        </w:tc>
      </w:tr>
      <w:tr>
        <w:tc>
          <w:tcPr>
            <w:tcW w:type="dxa" w:w="1728"/>
          </w:tcPr>
          <w:p>
            <w:r/>
            <w:r>
              <w:rPr>
                <w:sz w:val="20"/>
              </w:rPr>
              <w:t>L-5</w:t>
            </w:r>
          </w:p>
        </w:tc>
        <w:tc>
          <w:tcPr>
            <w:tcW w:type="dxa" w:w="1728"/>
          </w:tcPr>
          <w:p>
            <w:r/>
            <w:r>
              <w:rPr>
                <w:sz w:val="20"/>
              </w:rPr>
              <w:t>Archive the account per the retention schedule; verify via spot-check that no access remains</w:t>
            </w:r>
          </w:p>
        </w:tc>
        <w:tc>
          <w:tcPr>
            <w:tcW w:type="dxa" w:w="1728"/>
          </w:tcPr>
          <w:p>
            <w:r/>
            <w:r>
              <w:rPr>
                <w:sz w:val="20"/>
              </w:rPr>
              <w:t>Security Analyst</w:t>
            </w:r>
          </w:p>
        </w:tc>
        <w:tc>
          <w:tcPr>
            <w:tcW w:type="dxa" w:w="1728"/>
          </w:tcPr>
          <w:p>
            <w:r/>
            <w:r>
              <w:rPr>
                <w:sz w:val="20"/>
              </w:rPr>
              <w:t>Completed deprovisioning</w:t>
            </w:r>
          </w:p>
        </w:tc>
        <w:tc>
          <w:tcPr>
            <w:tcW w:type="dxa" w:w="1728"/>
          </w:tcPr>
          <w:p>
            <w:r/>
            <w:r>
              <w:rPr>
                <w:sz w:val="20"/>
              </w:rPr>
              <w:t>Verification record; ticket closed</w:t>
            </w:r>
          </w:p>
        </w:tc>
      </w:tr>
    </w:tbl>
    <w:p/>
    <w:p>
      <w:pPr>
        <w:pStyle w:val="Heading2"/>
      </w:pPr>
      <w:r>
        <w:t>7.7 Testing Protocols</w:t>
      </w:r>
    </w:p>
    <w:p>
      <w:r>
        <w:rPr>
          <w:sz w:val="22"/>
        </w:rPr>
        <w:t>The procedure itself is tested to prove it works as designed:</w:t>
      </w:r>
    </w:p>
    <w:p>
      <w:pPr>
        <w:pStyle w:val="ListBullet"/>
      </w:pPr>
      <w:r>
        <w:rPr>
          <w:b/>
        </w:rPr>
        <w:t xml:space="preserve">Walkthrough — </w:t>
      </w:r>
      <w:r>
        <w:rPr>
          <w:sz w:val="22"/>
        </w:rPr>
        <w:t>Test of design (annual): walkthrough of one joiner, one mover, and one leaver ticket with the IAM Engineer, tracing each step to the procedure. Gaps update the procedure.</w:t>
      </w:r>
    </w:p>
    <w:p>
      <w:pPr>
        <w:pStyle w:val="ListBullet"/>
      </w:pPr>
      <w:r>
        <w:rPr>
          <w:b/>
        </w:rPr>
        <w:t xml:space="preserve">Sampling — </w:t>
      </w:r>
      <w:r>
        <w:rPr>
          <w:sz w:val="22"/>
        </w:rPr>
        <w:t>Test of operating effectiveness (quarterly): sample 15 lifecycle tickets (5 joiners, 5 movers, 5 leavers); verify approvals exist, steps were followed in order, SLAs met (24h deprovisioning), and evidence attached.</w:t>
      </w:r>
    </w:p>
    <w:p>
      <w:pPr>
        <w:pStyle w:val="ListBullet"/>
      </w:pPr>
      <w:r>
        <w:rPr>
          <w:b/>
        </w:rPr>
        <w:t xml:space="preserve">Simulation — </w:t>
      </w:r>
      <w:r>
        <w:rPr>
          <w:sz w:val="22"/>
        </w:rPr>
        <w:t>Dry-run (semi-annual): execute a full joiner→mover→leaver cycle with test accounts in the lab Authentik instance and verify AWS role assumption behavior end to end.</w:t>
      </w:r>
    </w:p>
    <w:p>
      <w:pPr>
        <w:pStyle w:val="Heading2"/>
      </w:pPr>
      <w:r>
        <w:t>7.8 Validation Procedures</w:t>
      </w:r>
    </w:p>
    <w:p>
      <w:pPr>
        <w:pStyle w:val="ListBullet"/>
      </w:pPr>
      <w:r>
        <w:rPr>
          <w:sz w:val="22"/>
        </w:rPr>
        <w:t>Checklist sign-off: the IAM Engineer completes a per-ticket checklist (mirroring steps J/M/L above); the Compliance Lead countersigns a quarterly sample.</w:t>
      </w:r>
    </w:p>
    <w:p>
      <w:pPr>
        <w:pStyle w:val="ListBullet"/>
      </w:pPr>
      <w:r>
        <w:rPr>
          <w:sz w:val="22"/>
        </w:rPr>
        <w:t>Metrics: time-to-provision (target: 2 business days), time-to-deprovision (target: 24 hours), % tickets with complete evidence (target: 100%). Reported quarterly.</w:t>
      </w:r>
    </w:p>
    <w:p>
      <w:pPr>
        <w:pStyle w:val="ListBullet"/>
      </w:pPr>
      <w:r>
        <w:rPr>
          <w:sz w:val="22"/>
        </w:rPr>
        <w:t>Failed validations (missed SLA, missing evidence) are logged as findings and tracked to remediation.</w:t>
      </w:r>
    </w:p>
    <w:p>
      <w:pPr>
        <w:pStyle w:val="Heading2"/>
      </w:pPr>
      <w:r>
        <w:t>7.9 Evidence Retention</w:t>
      </w:r>
    </w:p>
    <w:p>
      <w:r>
        <w:rPr>
          <w:sz w:val="22"/>
        </w:rPr>
        <w:t>Lifecycle tickets, approvals, checklists, and verification records are retained for a minimum of one year in the ticketing system, consistent with the EISP record retention schedule (see CMP-EISP-04). Evidence must be attributable (who/when), legible, and protected from modification.</w:t>
      </w:r>
    </w:p>
    <w:p>
      <w:pPr>
        <w:pStyle w:val="Heading1"/>
      </w:pPr>
      <w:r>
        <w:t>8. Compliance Training Plan</w:t>
      </w:r>
    </w:p>
    <w:p>
      <w:pPr>
        <w:pStyle w:val="Heading2"/>
      </w:pPr>
      <w:r>
        <w:t>8.1 Training Needs Analysis Summary</w:t>
      </w:r>
    </w:p>
    <w:p>
      <w:r>
        <w:rPr>
          <w:sz w:val="22"/>
        </w:rPr>
        <w:t>Audience analysis identified three groups with distinct needs: (1) IAM Engineers need deep administrative skill in Authentik and Terraform IAM; (2) Security Analysts need monitoring, log analysis, and review skills; (3) all users need secure authentication hygiene (MFA, phishing resistance, incident reporting). Gaps were identified in SAML troubleshooting and permission-boundary concepts; the plan addresses both with dedicated modules and labs.</w:t>
      </w:r>
    </w:p>
    <w:p>
      <w:pPr>
        <w:pStyle w:val="Heading2"/>
      </w:pPr>
      <w:r>
        <w:t>8.2 Content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4E78"/>
          </w:tcPr>
          <w:p>
            <w:r>
              <w:rPr>
                <w:b/>
                <w:color w:val="FFFFFF"/>
                <w:sz w:val="20"/>
              </w:rPr>
            </w:r>
            <w:r>
              <w:rPr>
                <w:b/>
                <w:color w:val="FFFFFF"/>
                <w:sz w:val="20"/>
              </w:rPr>
              <w:t>Module</w:t>
            </w:r>
          </w:p>
        </w:tc>
        <w:tc>
          <w:tcPr>
            <w:tcW w:type="dxa" w:w="2880"/>
            <w:shd w:val="clear" w:fill="1F4E78"/>
          </w:tcPr>
          <w:p>
            <w:r>
              <w:rPr>
                <w:b/>
                <w:color w:val="FFFFFF"/>
                <w:sz w:val="20"/>
              </w:rPr>
            </w:r>
            <w:r>
              <w:rPr>
                <w:b/>
                <w:color w:val="FFFFFF"/>
                <w:sz w:val="20"/>
              </w:rPr>
              <w:t>Title</w:t>
            </w:r>
          </w:p>
        </w:tc>
        <w:tc>
          <w:tcPr>
            <w:tcW w:type="dxa" w:w="2880"/>
            <w:shd w:val="clear" w:fill="1F4E78"/>
          </w:tcPr>
          <w:p>
            <w:r>
              <w:rPr>
                <w:b/>
                <w:color w:val="FFFFFF"/>
                <w:sz w:val="20"/>
              </w:rPr>
            </w:r>
            <w:r>
              <w:rPr>
                <w:b/>
                <w:color w:val="FFFFFF"/>
                <w:sz w:val="20"/>
              </w:rPr>
              <w:t>Learning Objectives</w:t>
            </w:r>
          </w:p>
        </w:tc>
      </w:tr>
      <w:tr>
        <w:tc>
          <w:tcPr>
            <w:tcW w:type="dxa" w:w="2880"/>
          </w:tcPr>
          <w:p>
            <w:r/>
            <w:r>
              <w:rPr>
                <w:sz w:val="20"/>
              </w:rPr>
              <w:t>M1</w:t>
            </w:r>
          </w:p>
        </w:tc>
        <w:tc>
          <w:tcPr>
            <w:tcW w:type="dxa" w:w="2880"/>
          </w:tcPr>
          <w:p>
            <w:r/>
            <w:r>
              <w:rPr>
                <w:sz w:val="20"/>
              </w:rPr>
              <w:t>IAM Fundamentals &amp; Zero Trust Principles</w:t>
            </w:r>
          </w:p>
        </w:tc>
        <w:tc>
          <w:tcPr>
            <w:tcW w:type="dxa" w:w="2880"/>
          </w:tcPr>
          <w:p>
            <w:r/>
            <w:r>
              <w:rPr>
                <w:sz w:val="20"/>
              </w:rPr>
              <w:t>Define IAM, least privilege, and Zero Trust; explain why implicit trust fails; identify EISP's Zero Trust controls</w:t>
            </w:r>
          </w:p>
        </w:tc>
      </w:tr>
      <w:tr>
        <w:tc>
          <w:tcPr>
            <w:tcW w:type="dxa" w:w="2880"/>
          </w:tcPr>
          <w:p>
            <w:r/>
            <w:r>
              <w:rPr>
                <w:sz w:val="20"/>
              </w:rPr>
              <w:t>M2</w:t>
            </w:r>
          </w:p>
        </w:tc>
        <w:tc>
          <w:tcPr>
            <w:tcW w:type="dxa" w:w="2880"/>
          </w:tcPr>
          <w:p>
            <w:r/>
            <w:r>
              <w:rPr>
                <w:sz w:val="20"/>
              </w:rPr>
              <w:t>Authentik Administration</w:t>
            </w:r>
          </w:p>
        </w:tc>
        <w:tc>
          <w:tcPr>
            <w:tcW w:type="dxa" w:w="2880"/>
          </w:tcPr>
          <w:p>
            <w:r/>
            <w:r>
              <w:rPr>
                <w:sz w:val="20"/>
              </w:rPr>
              <w:t>Create users/groups, configure providers and applications, manage the LDAP outpost, back up the PostgreSQL database</w:t>
            </w:r>
          </w:p>
        </w:tc>
      </w:tr>
      <w:tr>
        <w:tc>
          <w:tcPr>
            <w:tcW w:type="dxa" w:w="2880"/>
          </w:tcPr>
          <w:p>
            <w:r/>
            <w:r>
              <w:rPr>
                <w:sz w:val="20"/>
              </w:rPr>
              <w:t>M3</w:t>
            </w:r>
          </w:p>
        </w:tc>
        <w:tc>
          <w:tcPr>
            <w:tcW w:type="dxa" w:w="2880"/>
          </w:tcPr>
          <w:p>
            <w:r/>
            <w:r>
              <w:rPr>
                <w:sz w:val="20"/>
              </w:rPr>
              <w:t>MFA, Phishing Resistance &amp; Authentication Strength</w:t>
            </w:r>
          </w:p>
        </w:tc>
        <w:tc>
          <w:tcPr>
            <w:tcW w:type="dxa" w:w="2880"/>
          </w:tcPr>
          <w:p>
            <w:r/>
            <w:r>
              <w:rPr>
                <w:sz w:val="20"/>
              </w:rPr>
              <w:t>Enroll and use MFA; recognize phishing and adversary-in-the-middle attacks; choose phishing-resistant methods</w:t>
            </w:r>
          </w:p>
        </w:tc>
      </w:tr>
      <w:tr>
        <w:tc>
          <w:tcPr>
            <w:tcW w:type="dxa" w:w="2880"/>
          </w:tcPr>
          <w:p>
            <w:r/>
            <w:r>
              <w:rPr>
                <w:sz w:val="20"/>
              </w:rPr>
              <w:t>M4</w:t>
            </w:r>
          </w:p>
        </w:tc>
        <w:tc>
          <w:tcPr>
            <w:tcW w:type="dxa" w:w="2880"/>
          </w:tcPr>
          <w:p>
            <w:r/>
            <w:r>
              <w:rPr>
                <w:sz w:val="20"/>
              </w:rPr>
              <w:t>Least Privilege in Practice</w:t>
            </w:r>
          </w:p>
        </w:tc>
        <w:tc>
          <w:tcPr>
            <w:tcW w:type="dxa" w:w="2880"/>
          </w:tcPr>
          <w:p>
            <w:r/>
            <w:r>
              <w:rPr>
                <w:sz w:val="20"/>
              </w:rPr>
              <w:t>Interpret the three EISP RBAC policies; explain permission boundaries and explicit deny; write a scoped policy</w:t>
            </w:r>
          </w:p>
        </w:tc>
      </w:tr>
      <w:tr>
        <w:tc>
          <w:tcPr>
            <w:tcW w:type="dxa" w:w="2880"/>
          </w:tcPr>
          <w:p>
            <w:r/>
            <w:r>
              <w:rPr>
                <w:sz w:val="20"/>
              </w:rPr>
              <w:t>M5</w:t>
            </w:r>
          </w:p>
        </w:tc>
        <w:tc>
          <w:tcPr>
            <w:tcW w:type="dxa" w:w="2880"/>
          </w:tcPr>
          <w:p>
            <w:r/>
            <w:r>
              <w:rPr>
                <w:sz w:val="20"/>
              </w:rPr>
              <w:t>SAML Federation &amp; Troubleshooting</w:t>
            </w:r>
          </w:p>
        </w:tc>
        <w:tc>
          <w:tcPr>
            <w:tcW w:type="dxa" w:w="2880"/>
          </w:tcPr>
          <w:p>
            <w:r/>
            <w:r>
              <w:rPr>
                <w:sz w:val="20"/>
              </w:rPr>
              <w:t>Describe the Authentik→AWS SAML flow; validate SAML:aud; diagnose common federation failures using logs</w:t>
            </w:r>
          </w:p>
        </w:tc>
      </w:tr>
      <w:tr>
        <w:tc>
          <w:tcPr>
            <w:tcW w:type="dxa" w:w="2880"/>
          </w:tcPr>
          <w:p>
            <w:r/>
            <w:r>
              <w:rPr>
                <w:sz w:val="20"/>
              </w:rPr>
              <w:t>M6</w:t>
            </w:r>
          </w:p>
        </w:tc>
        <w:tc>
          <w:tcPr>
            <w:tcW w:type="dxa" w:w="2880"/>
          </w:tcPr>
          <w:p>
            <w:r/>
            <w:r>
              <w:rPr>
                <w:sz w:val="20"/>
              </w:rPr>
              <w:t>Incident Reporting &amp; Security Awareness</w:t>
            </w:r>
          </w:p>
        </w:tc>
        <w:tc>
          <w:tcPr>
            <w:tcW w:type="dxa" w:w="2880"/>
          </w:tcPr>
          <w:p>
            <w:r/>
            <w:r>
              <w:rPr>
                <w:sz w:val="20"/>
              </w:rPr>
              <w:t>Classify incidents; report via the correct channel within required timeframes; handle evidence properly</w:t>
            </w:r>
          </w:p>
        </w:tc>
      </w:tr>
    </w:tbl>
    <w:p/>
    <w:p>
      <w:pPr>
        <w:pStyle w:val="Heading2"/>
      </w:pPr>
      <w:r>
        <w:t>8.3 Delivery Methodology</w:t>
      </w:r>
    </w:p>
    <w:p>
      <w:pPr>
        <w:pStyle w:val="ListBullet"/>
      </w:pPr>
      <w:r>
        <w:rPr>
          <w:sz w:val="22"/>
        </w:rPr>
        <w:t>Hands-on labs (primary for M2, M4, M5): each learner builds in a personal Docker Compose Authentik lab — the same compose stack as production (PostgreSQL 16, server/worker 2026.2.2, LDAP outpost, whoami app). Labs are graded by checklist.</w:t>
      </w:r>
    </w:p>
    <w:p>
      <w:pPr>
        <w:pStyle w:val="ListBullet"/>
      </w:pPr>
      <w:r>
        <w:rPr>
          <w:sz w:val="22"/>
        </w:rPr>
        <w:t>E-learning (M1, M3, M6): self-paced modules in the LMS with embedded knowledge checks; mobile-friendly.</w:t>
      </w:r>
    </w:p>
    <w:p>
      <w:pPr>
        <w:pStyle w:val="ListBullet"/>
      </w:pPr>
      <w:r>
        <w:rPr>
          <w:sz w:val="22"/>
        </w:rPr>
        <w:t>Microlearning: monthly 5-minute refreshers (e.g., 'spotting MFA fatigue attacks', 'reading an access review').</w:t>
      </w:r>
    </w:p>
    <w:p>
      <w:pPr>
        <w:pStyle w:val="ListBullet"/>
      </w:pPr>
      <w:r>
        <w:rPr>
          <w:sz w:val="22"/>
        </w:rPr>
        <w:t>Instructor-led deep dives: quarterly 90-minute sessions for complex topics (SAML debugging, Terraform IAM).</w:t>
      </w:r>
    </w:p>
    <w:p>
      <w:pPr>
        <w:pStyle w:val="Heading2"/>
      </w:pPr>
      <w:r>
        <w:t>8.4 Assessment Approach</w:t>
      </w:r>
    </w:p>
    <w:p>
      <w:pPr>
        <w:pStyle w:val="ListBullet"/>
      </w:pPr>
      <w:r>
        <w:rPr>
          <w:sz w:val="22"/>
        </w:rPr>
        <w:t>Quizzes: end-of-module, 10 questions, 80% pass mark, two attempts; question banks randomized.</w:t>
      </w:r>
    </w:p>
    <w:p>
      <w:pPr>
        <w:pStyle w:val="ListBullet"/>
      </w:pPr>
      <w:r>
        <w:rPr>
          <w:sz w:val="22"/>
        </w:rPr>
        <w:t>Lab assessments: graded checklists (e.g., 'provision a user, assign least-privilege role, verify denial of out-of-scope action'); must achieve 100% of critical steps.</w:t>
      </w:r>
    </w:p>
    <w:p>
      <w:pPr>
        <w:pStyle w:val="ListBullet"/>
      </w:pPr>
      <w:r>
        <w:rPr>
          <w:sz w:val="22"/>
        </w:rPr>
        <w:t>Remediation: failed learners receive targeted coaching and one retake within 2 weeks; repeated failure escalates to the manager and the Compliance Lead, and system access may be restricted until competence is demonstrated.</w:t>
      </w:r>
    </w:p>
    <w:p>
      <w:pPr>
        <w:pStyle w:val="ListBullet"/>
      </w:pPr>
      <w:r>
        <w:rPr>
          <w:sz w:val="22"/>
        </w:rPr>
        <w:t>Records: completions, scores, and lab results are stored as training records per the retention schedule.</w:t>
      </w:r>
    </w:p>
    <w:p>
      <w:pPr>
        <w:pStyle w:val="Heading2"/>
      </w:pPr>
      <w:r>
        <w:t>8.5 Role-Based Training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8"/>
          </w:tcPr>
          <w:p>
            <w:r>
              <w:rPr>
                <w:b/>
                <w:color w:val="FFFFFF"/>
                <w:sz w:val="20"/>
              </w:rPr>
            </w:r>
            <w:r>
              <w:rPr>
                <w:b/>
                <w:color w:val="FFFFFF"/>
                <w:sz w:val="20"/>
              </w:rPr>
              <w:t>Module</w:t>
            </w:r>
          </w:p>
        </w:tc>
        <w:tc>
          <w:tcPr>
            <w:tcW w:type="dxa" w:w="1728"/>
            <w:shd w:val="clear" w:fill="1F4E78"/>
          </w:tcPr>
          <w:p>
            <w:r>
              <w:rPr>
                <w:b/>
                <w:color w:val="FFFFFF"/>
                <w:sz w:val="20"/>
              </w:rPr>
            </w:r>
            <w:r>
              <w:rPr>
                <w:b/>
                <w:color w:val="FFFFFF"/>
                <w:sz w:val="20"/>
              </w:rPr>
              <w:t>IAM Engineer</w:t>
            </w:r>
          </w:p>
        </w:tc>
        <w:tc>
          <w:tcPr>
            <w:tcW w:type="dxa" w:w="1728"/>
            <w:shd w:val="clear" w:fill="1F4E78"/>
          </w:tcPr>
          <w:p>
            <w:r>
              <w:rPr>
                <w:b/>
                <w:color w:val="FFFFFF"/>
                <w:sz w:val="20"/>
              </w:rPr>
            </w:r>
            <w:r>
              <w:rPr>
                <w:b/>
                <w:color w:val="FFFFFF"/>
                <w:sz w:val="20"/>
              </w:rPr>
              <w:t>Security Analyst</w:t>
            </w:r>
          </w:p>
        </w:tc>
        <w:tc>
          <w:tcPr>
            <w:tcW w:type="dxa" w:w="1728"/>
            <w:shd w:val="clear" w:fill="1F4E78"/>
          </w:tcPr>
          <w:p>
            <w:r>
              <w:rPr>
                <w:b/>
                <w:color w:val="FFFFFF"/>
                <w:sz w:val="20"/>
              </w:rPr>
            </w:r>
            <w:r>
              <w:rPr>
                <w:b/>
                <w:color w:val="FFFFFF"/>
                <w:sz w:val="20"/>
              </w:rPr>
              <w:t>End User</w:t>
            </w:r>
          </w:p>
        </w:tc>
        <w:tc>
          <w:tcPr>
            <w:tcW w:type="dxa" w:w="1728"/>
            <w:shd w:val="clear" w:fill="1F4E78"/>
          </w:tcPr>
          <w:p>
            <w:r>
              <w:rPr>
                <w:b/>
                <w:color w:val="FFFFFF"/>
                <w:sz w:val="20"/>
              </w:rPr>
            </w:r>
            <w:r>
              <w:rPr>
                <w:b/>
                <w:color w:val="FFFFFF"/>
                <w:sz w:val="20"/>
              </w:rPr>
              <w:t>Independent Assessor</w:t>
            </w:r>
          </w:p>
        </w:tc>
      </w:tr>
      <w:tr>
        <w:tc>
          <w:tcPr>
            <w:tcW w:type="dxa" w:w="1728"/>
          </w:tcPr>
          <w:p>
            <w:r/>
            <w:r>
              <w:rPr>
                <w:sz w:val="20"/>
              </w:rPr>
              <w:t>M1 IAM Fundamentals &amp; Zero Trust</w:t>
            </w:r>
          </w:p>
        </w:tc>
        <w:tc>
          <w:tcPr>
            <w:tcW w:type="dxa" w:w="1728"/>
          </w:tcPr>
          <w:p>
            <w:r/>
            <w:r>
              <w:rPr>
                <w:sz w:val="20"/>
              </w:rPr>
              <w:t>Required</w:t>
            </w:r>
          </w:p>
        </w:tc>
        <w:tc>
          <w:tcPr>
            <w:tcW w:type="dxa" w:w="1728"/>
          </w:tcPr>
          <w:p>
            <w:r/>
            <w:r>
              <w:rPr>
                <w:sz w:val="20"/>
              </w:rPr>
              <w:t>Required</w:t>
            </w:r>
          </w:p>
        </w:tc>
        <w:tc>
          <w:tcPr>
            <w:tcW w:type="dxa" w:w="1728"/>
          </w:tcPr>
          <w:p>
            <w:r/>
            <w:r>
              <w:rPr>
                <w:sz w:val="20"/>
              </w:rPr>
              <w:t>Required</w:t>
            </w:r>
          </w:p>
        </w:tc>
        <w:tc>
          <w:tcPr>
            <w:tcW w:type="dxa" w:w="1728"/>
          </w:tcPr>
          <w:p>
            <w:r/>
            <w:r>
              <w:rPr>
                <w:sz w:val="20"/>
              </w:rPr>
              <w:t>Recommended</w:t>
            </w:r>
          </w:p>
        </w:tc>
      </w:tr>
      <w:tr>
        <w:tc>
          <w:tcPr>
            <w:tcW w:type="dxa" w:w="1728"/>
          </w:tcPr>
          <w:p>
            <w:r/>
            <w:r>
              <w:rPr>
                <w:sz w:val="20"/>
              </w:rPr>
              <w:t>M2 Authentik Administration</w:t>
            </w:r>
          </w:p>
        </w:tc>
        <w:tc>
          <w:tcPr>
            <w:tcW w:type="dxa" w:w="1728"/>
          </w:tcPr>
          <w:p>
            <w:r/>
            <w:r>
              <w:rPr>
                <w:sz w:val="20"/>
              </w:rPr>
              <w:t>Required</w:t>
            </w:r>
          </w:p>
        </w:tc>
        <w:tc>
          <w:tcPr>
            <w:tcW w:type="dxa" w:w="1728"/>
          </w:tcPr>
          <w:p>
            <w:r/>
            <w:r>
              <w:rPr>
                <w:sz w:val="20"/>
              </w:rPr>
              <w:t>Recommended</w:t>
            </w:r>
          </w:p>
        </w:tc>
        <w:tc>
          <w:tcPr>
            <w:tcW w:type="dxa" w:w="1728"/>
          </w:tcPr>
          <w:p>
            <w:r/>
            <w:r>
              <w:rPr>
                <w:sz w:val="20"/>
              </w:rPr>
              <w:t>—</w:t>
            </w:r>
          </w:p>
        </w:tc>
        <w:tc>
          <w:tcPr>
            <w:tcW w:type="dxa" w:w="1728"/>
          </w:tcPr>
          <w:p>
            <w:r/>
            <w:r>
              <w:rPr>
                <w:sz w:val="20"/>
              </w:rPr>
              <w:t>Recommended</w:t>
            </w:r>
          </w:p>
        </w:tc>
      </w:tr>
      <w:tr>
        <w:tc>
          <w:tcPr>
            <w:tcW w:type="dxa" w:w="1728"/>
          </w:tcPr>
          <w:p>
            <w:r/>
            <w:r>
              <w:rPr>
                <w:sz w:val="20"/>
              </w:rPr>
              <w:t>M3 MFA &amp; Phishing Resistance</w:t>
            </w:r>
          </w:p>
        </w:tc>
        <w:tc>
          <w:tcPr>
            <w:tcW w:type="dxa" w:w="1728"/>
          </w:tcPr>
          <w:p>
            <w:r/>
            <w:r>
              <w:rPr>
                <w:sz w:val="20"/>
              </w:rPr>
              <w:t>Required</w:t>
            </w:r>
          </w:p>
        </w:tc>
        <w:tc>
          <w:tcPr>
            <w:tcW w:type="dxa" w:w="1728"/>
          </w:tcPr>
          <w:p>
            <w:r/>
            <w:r>
              <w:rPr>
                <w:sz w:val="20"/>
              </w:rPr>
              <w:t>Required</w:t>
            </w:r>
          </w:p>
        </w:tc>
        <w:tc>
          <w:tcPr>
            <w:tcW w:type="dxa" w:w="1728"/>
          </w:tcPr>
          <w:p>
            <w:r/>
            <w:r>
              <w:rPr>
                <w:sz w:val="20"/>
              </w:rPr>
              <w:t>Required</w:t>
            </w:r>
          </w:p>
        </w:tc>
        <w:tc>
          <w:tcPr>
            <w:tcW w:type="dxa" w:w="1728"/>
          </w:tcPr>
          <w:p>
            <w:r/>
            <w:r>
              <w:rPr>
                <w:sz w:val="20"/>
              </w:rPr>
              <w:t>—</w:t>
            </w:r>
          </w:p>
        </w:tc>
      </w:tr>
      <w:tr>
        <w:tc>
          <w:tcPr>
            <w:tcW w:type="dxa" w:w="1728"/>
          </w:tcPr>
          <w:p>
            <w:r/>
            <w:r>
              <w:rPr>
                <w:sz w:val="20"/>
              </w:rPr>
              <w:t>M4 Least Privilege in Practice</w:t>
            </w:r>
          </w:p>
        </w:tc>
        <w:tc>
          <w:tcPr>
            <w:tcW w:type="dxa" w:w="1728"/>
          </w:tcPr>
          <w:p>
            <w:r/>
            <w:r>
              <w:rPr>
                <w:sz w:val="20"/>
              </w:rPr>
              <w:t>Required</w:t>
            </w:r>
          </w:p>
        </w:tc>
        <w:tc>
          <w:tcPr>
            <w:tcW w:type="dxa" w:w="1728"/>
          </w:tcPr>
          <w:p>
            <w:r/>
            <w:r>
              <w:rPr>
                <w:sz w:val="20"/>
              </w:rPr>
              <w:t>Required</w:t>
            </w:r>
          </w:p>
        </w:tc>
        <w:tc>
          <w:tcPr>
            <w:tcW w:type="dxa" w:w="1728"/>
          </w:tcPr>
          <w:p>
            <w:r/>
            <w:r>
              <w:rPr>
                <w:sz w:val="20"/>
              </w:rPr>
              <w:t>—</w:t>
            </w:r>
          </w:p>
        </w:tc>
        <w:tc>
          <w:tcPr>
            <w:tcW w:type="dxa" w:w="1728"/>
          </w:tcPr>
          <w:p>
            <w:r/>
            <w:r>
              <w:rPr>
                <w:sz w:val="20"/>
              </w:rPr>
              <w:t>Recommended</w:t>
            </w:r>
          </w:p>
        </w:tc>
      </w:tr>
      <w:tr>
        <w:tc>
          <w:tcPr>
            <w:tcW w:type="dxa" w:w="1728"/>
          </w:tcPr>
          <w:p>
            <w:r/>
            <w:r>
              <w:rPr>
                <w:sz w:val="20"/>
              </w:rPr>
              <w:t>M5 SAML Federation &amp; Troubleshooting</w:t>
            </w:r>
          </w:p>
        </w:tc>
        <w:tc>
          <w:tcPr>
            <w:tcW w:type="dxa" w:w="1728"/>
          </w:tcPr>
          <w:p>
            <w:r/>
            <w:r>
              <w:rPr>
                <w:sz w:val="20"/>
              </w:rPr>
              <w:t>Required</w:t>
            </w:r>
          </w:p>
        </w:tc>
        <w:tc>
          <w:tcPr>
            <w:tcW w:type="dxa" w:w="1728"/>
          </w:tcPr>
          <w:p>
            <w:r/>
            <w:r>
              <w:rPr>
                <w:sz w:val="20"/>
              </w:rPr>
              <w:t>Recommended</w:t>
            </w:r>
          </w:p>
        </w:tc>
        <w:tc>
          <w:tcPr>
            <w:tcW w:type="dxa" w:w="1728"/>
          </w:tcPr>
          <w:p>
            <w:r/>
            <w:r>
              <w:rPr>
                <w:sz w:val="20"/>
              </w:rPr>
              <w:t>—</w:t>
            </w:r>
          </w:p>
        </w:tc>
        <w:tc>
          <w:tcPr>
            <w:tcW w:type="dxa" w:w="1728"/>
          </w:tcPr>
          <w:p>
            <w:r/>
            <w:r>
              <w:rPr>
                <w:sz w:val="20"/>
              </w:rPr>
              <w:t>—</w:t>
            </w:r>
          </w:p>
        </w:tc>
      </w:tr>
      <w:tr>
        <w:tc>
          <w:tcPr>
            <w:tcW w:type="dxa" w:w="1728"/>
          </w:tcPr>
          <w:p>
            <w:r/>
            <w:r>
              <w:rPr>
                <w:sz w:val="20"/>
              </w:rPr>
              <w:t>M6 Incident Reporting &amp; Awareness</w:t>
            </w:r>
          </w:p>
        </w:tc>
        <w:tc>
          <w:tcPr>
            <w:tcW w:type="dxa" w:w="1728"/>
          </w:tcPr>
          <w:p>
            <w:r/>
            <w:r>
              <w:rPr>
                <w:sz w:val="20"/>
              </w:rPr>
              <w:t>Required</w:t>
            </w:r>
          </w:p>
        </w:tc>
        <w:tc>
          <w:tcPr>
            <w:tcW w:type="dxa" w:w="1728"/>
          </w:tcPr>
          <w:p>
            <w:r/>
            <w:r>
              <w:rPr>
                <w:sz w:val="20"/>
              </w:rPr>
              <w:t>Required</w:t>
            </w:r>
          </w:p>
        </w:tc>
        <w:tc>
          <w:tcPr>
            <w:tcW w:type="dxa" w:w="1728"/>
          </w:tcPr>
          <w:p>
            <w:r/>
            <w:r>
              <w:rPr>
                <w:sz w:val="20"/>
              </w:rPr>
              <w:t>Required</w:t>
            </w:r>
          </w:p>
        </w:tc>
        <w:tc>
          <w:tcPr>
            <w:tcW w:type="dxa" w:w="1728"/>
          </w:tcPr>
          <w:p>
            <w:r/>
            <w:r>
              <w:rPr>
                <w:sz w:val="20"/>
              </w:rPr>
              <w:t>—</w:t>
            </w:r>
          </w:p>
        </w:tc>
      </w:tr>
    </w:tbl>
    <w:p/>
    <w:p>
      <w:r>
        <w:rPr>
          <w:sz w:val="22"/>
        </w:rPr>
        <w:t>'Required' must be completed before system access is granted or annually thereafter; 'Recommended' is encouraged; '—' means not applicable to the role.</w:t>
      </w:r>
    </w:p>
    <w:p>
      <w:pPr>
        <w:pStyle w:val="Heading2"/>
      </w:pPr>
      <w:r>
        <w:t>8.6 Evidence of Training Design — Sample Module (M3)</w:t>
      </w:r>
    </w:p>
    <w:p>
      <w:r>
        <w:rPr>
          <w:sz w:val="22"/>
        </w:rPr>
        <w:t>Module M3 — MFA, Phishing Resistance &amp; Authentication Strength (45 minutes, e-learning):</w:t>
      </w:r>
    </w:p>
    <w:p>
      <w:pPr>
        <w:pStyle w:val="ListNumber"/>
      </w:pPr>
      <w:r>
        <w:rPr>
          <w:sz w:val="22"/>
        </w:rPr>
        <w:t>Why passwords alone fail (8 min): credential stuffing, phishing kits; EISP's MFA mandate (P-02).</w:t>
      </w:r>
    </w:p>
    <w:p>
      <w:pPr>
        <w:pStyle w:val="ListNumber"/>
      </w:pPr>
      <w:r>
        <w:rPr>
          <w:sz w:val="22"/>
        </w:rPr>
        <w:t>MFA methods ranked (10 min): SMS &lt; TOTP &lt; push &lt; phishing-resistant (FIDO2/WebAuthn); adversary-in-the-middle demo video.</w:t>
      </w:r>
    </w:p>
    <w:p>
      <w:pPr>
        <w:pStyle w:val="ListNumber"/>
      </w:pPr>
      <w:r>
        <w:rPr>
          <w:sz w:val="22"/>
        </w:rPr>
        <w:t>Hands-on: enroll a TOTP authenticator in the Authentik lab; complete a login (12 min).</w:t>
      </w:r>
    </w:p>
    <w:p>
      <w:pPr>
        <w:pStyle w:val="ListNumber"/>
      </w:pPr>
      <w:r>
        <w:rPr>
          <w:sz w:val="22"/>
        </w:rPr>
        <w:t>Spotting attacks (10 min): MFA fatigue/push-bombing, fake login pages; reporting flow.</w:t>
      </w:r>
    </w:p>
    <w:p>
      <w:pPr>
        <w:pStyle w:val="ListNumber"/>
      </w:pPr>
      <w:r>
        <w:rPr>
          <w:sz w:val="22"/>
        </w:rPr>
        <w:t>Knowledge check: 10-question quiz, 80% pass (5 min).</w:t>
      </w:r>
    </w:p>
    <w:p>
      <w:pPr>
        <w:pStyle w:val="Heading3"/>
      </w:pPr>
      <w:r>
        <w:t>Sample Quiz Questions (with answers)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4E78"/>
          </w:tcPr>
          <w:p>
            <w:r>
              <w:rPr>
                <w:b/>
                <w:color w:val="FFFFFF"/>
                <w:sz w:val="20"/>
              </w:rPr>
            </w:r>
            <w:r>
              <w:rPr>
                <w:b/>
                <w:color w:val="FFFFFF"/>
                <w:sz w:val="20"/>
              </w:rPr>
              <w:t>#</w:t>
            </w:r>
          </w:p>
        </w:tc>
        <w:tc>
          <w:tcPr>
            <w:tcW w:type="dxa" w:w="2880"/>
            <w:shd w:val="clear" w:fill="1F4E78"/>
          </w:tcPr>
          <w:p>
            <w:r>
              <w:rPr>
                <w:b/>
                <w:color w:val="FFFFFF"/>
                <w:sz w:val="20"/>
              </w:rPr>
            </w:r>
            <w:r>
              <w:rPr>
                <w:b/>
                <w:color w:val="FFFFFF"/>
                <w:sz w:val="20"/>
              </w:rPr>
              <w:t>Question</w:t>
            </w:r>
          </w:p>
        </w:tc>
        <w:tc>
          <w:tcPr>
            <w:tcW w:type="dxa" w:w="2880"/>
            <w:shd w:val="clear" w:fill="1F4E78"/>
          </w:tcPr>
          <w:p>
            <w:r>
              <w:rPr>
                <w:b/>
                <w:color w:val="FFFFFF"/>
                <w:sz w:val="20"/>
              </w:rPr>
            </w:r>
            <w:r>
              <w:rPr>
                <w:b/>
                <w:color w:val="FFFFFF"/>
                <w:sz w:val="20"/>
              </w:rPr>
              <w:t>Answer</w:t>
            </w:r>
          </w:p>
        </w:tc>
      </w:tr>
      <w:tr>
        <w:tc>
          <w:tcPr>
            <w:tcW w:type="dxa" w:w="2880"/>
          </w:tcPr>
          <w:p>
            <w:r/>
            <w:r>
              <w:rPr>
                <w:sz w:val="20"/>
              </w:rPr>
              <w:t>1</w:t>
            </w:r>
          </w:p>
        </w:tc>
        <w:tc>
          <w:tcPr>
            <w:tcW w:type="dxa" w:w="2880"/>
          </w:tcPr>
          <w:p>
            <w:r/>
            <w:r>
              <w:rPr>
                <w:sz w:val="20"/>
              </w:rPr>
              <w:t>Which MFA method resists adversary-in-the-middle phishing?</w:t>
            </w:r>
          </w:p>
        </w:tc>
        <w:tc>
          <w:tcPr>
            <w:tcW w:type="dxa" w:w="2880"/>
          </w:tcPr>
          <w:p>
            <w:r/>
            <w:r>
              <w:rPr>
                <w:sz w:val="20"/>
              </w:rPr>
              <w:t>FIDO2/WebAuthn security keys — the authentication is cryptographically bound to the legitimate site.</w:t>
            </w:r>
          </w:p>
        </w:tc>
      </w:tr>
      <w:tr>
        <w:tc>
          <w:tcPr>
            <w:tcW w:type="dxa" w:w="2880"/>
          </w:tcPr>
          <w:p>
            <w:r/>
            <w:r>
              <w:rPr>
                <w:sz w:val="20"/>
              </w:rPr>
              <w:t>2</w:t>
            </w:r>
          </w:p>
        </w:tc>
        <w:tc>
          <w:tcPr>
            <w:tcW w:type="dxa" w:w="2880"/>
          </w:tcPr>
          <w:p>
            <w:r/>
            <w:r>
              <w:rPr>
                <w:sz w:val="20"/>
              </w:rPr>
              <w:t>You receive 12 MFA push notifications you did not initiate. What do you do?</w:t>
            </w:r>
          </w:p>
        </w:tc>
        <w:tc>
          <w:tcPr>
            <w:tcW w:type="dxa" w:w="2880"/>
          </w:tcPr>
          <w:p>
            <w:r/>
            <w:r>
              <w:rPr>
                <w:sz w:val="20"/>
              </w:rPr>
              <w:t>Deny all prompts, do not approve any, and immediately report to the Security Analyst — this is MFA fatigue/push bombing.</w:t>
            </w:r>
          </w:p>
        </w:tc>
      </w:tr>
      <w:tr>
        <w:tc>
          <w:tcPr>
            <w:tcW w:type="dxa" w:w="2880"/>
          </w:tcPr>
          <w:p>
            <w:r/>
            <w:r>
              <w:rPr>
                <w:sz w:val="20"/>
              </w:rPr>
              <w:t>3</w:t>
            </w:r>
          </w:p>
        </w:tc>
        <w:tc>
          <w:tcPr>
            <w:tcW w:type="dxa" w:w="2880"/>
          </w:tcPr>
          <w:p>
            <w:r/>
            <w:r>
              <w:rPr>
                <w:sz w:val="20"/>
              </w:rPr>
              <w:t>Why does EISP prohibit long-lived IAM user access keys for humans?</w:t>
            </w:r>
          </w:p>
        </w:tc>
        <w:tc>
          <w:tcPr>
            <w:tcW w:type="dxa" w:w="2880"/>
          </w:tcPr>
          <w:p>
            <w:r/>
            <w:r>
              <w:rPr>
                <w:sz w:val="20"/>
              </w:rPr>
              <w:t>They cannot be centrally revoked via federation, never expire by default, and bypass MFA — violating P-05/P-06.</w:t>
            </w:r>
          </w:p>
        </w:tc>
      </w:tr>
      <w:tr>
        <w:tc>
          <w:tcPr>
            <w:tcW w:type="dxa" w:w="2880"/>
          </w:tcPr>
          <w:p>
            <w:r/>
            <w:r>
              <w:rPr>
                <w:sz w:val="20"/>
              </w:rPr>
              <w:t>4</w:t>
            </w:r>
          </w:p>
        </w:tc>
        <w:tc>
          <w:tcPr>
            <w:tcW w:type="dxa" w:w="2880"/>
          </w:tcPr>
          <w:p>
            <w:r/>
            <w:r>
              <w:rPr>
                <w:sz w:val="20"/>
              </w:rPr>
              <w:t>What is the maximum AWS federated session duration in EISP and why?</w:t>
            </w:r>
          </w:p>
        </w:tc>
        <w:tc>
          <w:tcPr>
            <w:tcW w:type="dxa" w:w="2880"/>
          </w:tcPr>
          <w:p>
            <w:r/>
            <w:r>
              <w:rPr>
                <w:sz w:val="20"/>
              </w:rPr>
              <w:t>4 hours (max_session_duration = 14400s) — Zero Trust time-limited access; stolen tokens self-expire.</w:t>
            </w:r>
          </w:p>
        </w:tc>
      </w:tr>
      <w:tr>
        <w:tc>
          <w:tcPr>
            <w:tcW w:type="dxa" w:w="2880"/>
          </w:tcPr>
          <w:p>
            <w:r/>
            <w:r>
              <w:rPr>
                <w:sz w:val="20"/>
              </w:rPr>
              <w:t>5</w:t>
            </w:r>
          </w:p>
        </w:tc>
        <w:tc>
          <w:tcPr>
            <w:tcW w:type="dxa" w:w="2880"/>
          </w:tcPr>
          <w:p>
            <w:r/>
            <w:r>
              <w:rPr>
                <w:sz w:val="20"/>
              </w:rPr>
              <w:t>A colleague asks to share your Authentik login 'just for today.' Per P-01, your response?</w:t>
            </w:r>
          </w:p>
        </w:tc>
        <w:tc>
          <w:tcPr>
            <w:tcW w:type="dxa" w:w="2880"/>
          </w:tcPr>
          <w:p>
            <w:r/>
            <w:r>
              <w:rPr>
                <w:sz w:val="20"/>
              </w:rPr>
              <w:t>Refuse — shared accounts are prohibited; every person must have a unique ID so access is attributable.</w:t>
            </w:r>
          </w:p>
        </w:tc>
      </w:tr>
    </w:tbl>
    <w:p/>
    <w:p>
      <w:pPr>
        <w:pStyle w:val="Heading1"/>
      </w:pPr>
      <w:r>
        <w:t>9. Conclusion</w:t>
      </w:r>
    </w:p>
    <w:p>
      <w:r>
        <w:rPr>
          <w:sz w:val="22"/>
        </w:rPr>
        <w:t>This document establishes a complete, operational compliance program for the Enterprise Identity Security Platform. The three-lines-of-defense governance model assigns clear accountability; the stakeholder and communication plans keep the program connected to the people it serves; the Access Control and Authentication Policy (EISP-POL-001) sets enforceable, framework-mapped rules grounded in the platform as actually built — Authentik 2026.2.2, LDAP/LDAPS, Terraform-managed AWS IAM with permission boundaries and SAML federation; the user lifecycle procedure makes joiner/mover/leaver execution repeatable and testable; and the training plan ensures competence is built and verified, not assumed.</w:t>
      </w:r>
    </w:p>
    <w:p>
      <w:r>
        <w:rPr>
          <w:sz w:val="22"/>
        </w:rPr>
        <w:t>Together with its companion documents — requirements analysis (CMP-EISP-01), audit program (CMP-EISP-03), documentation and reporting (CMP-EISP-04), and legal/ethical implementation (CMP-EISP-05) — this program gives EISP a defensible, auditable compliance posture appropriate for an identity platform operating under Zero Trust principles.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CMP-EISP-02  |  EISP Compliance Program Development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