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8"/>
          <w:sz w:val="32"/>
        </w:rPr>
        <w:t>ENTERPRISE IDENTITY SECURITY PLATFORM (EISP)</w:t>
      </w:r>
    </w:p>
    <w:p>
      <w:pPr>
        <w:jc w:val="center"/>
      </w:pPr>
      <w:r>
        <w:rPr>
          <w:b/>
          <w:color w:val="1F4E78"/>
          <w:sz w:val="44"/>
        </w:rPr>
        <w:t>Compliance Auditing Basics</w:t>
      </w:r>
    </w:p>
    <w:p>
      <w:pPr>
        <w:jc w:val="center"/>
      </w:pPr>
      <w:r>
        <w:rPr>
          <w:sz w:val="28"/>
        </w:rPr>
        <w:t>Audit of EISP Authentication Controls</w:t>
      </w:r>
    </w:p>
    <w:p/>
    <w:p>
      <w:pPr>
        <w:jc w:val="center"/>
      </w:pPr>
      <w:r>
        <w:rPr>
          <w:b/>
        </w:rPr>
        <w:t xml:space="preserve">Document ID: </w:t>
      </w:r>
      <w:r>
        <w:t>CMP-EISP-03</w:t>
      </w:r>
    </w:p>
    <w:p>
      <w:pPr>
        <w:jc w:val="center"/>
      </w:pPr>
      <w:r>
        <w:rPr>
          <w:b/>
        </w:rPr>
        <w:t xml:space="preserve">Version: </w:t>
      </w:r>
      <w:r>
        <w:t>1.0</w:t>
      </w:r>
    </w:p>
    <w:p>
      <w:pPr>
        <w:jc w:val="center"/>
      </w:pPr>
      <w:r>
        <w:rPr>
          <w:b/>
        </w:rPr>
        <w:t xml:space="preserve">Date: </w:t>
      </w:r>
      <w:r>
        <w:t>October 2026</w:t>
      </w:r>
    </w:p>
    <w:p>
      <w:pPr>
        <w:jc w:val="center"/>
      </w:pPr>
      <w:r>
        <w:rPr>
          <w:b/>
        </w:rPr>
        <w:t xml:space="preserve">Prepared by: </w:t>
      </w:r>
      <w:r>
        <w:t>Manisha Gupta</w:t>
      </w:r>
    </w:p>
    <w:p>
      <w:pPr>
        <w:jc w:val="center"/>
      </w:pPr>
      <w:r>
        <w:rPr>
          <w:b/>
        </w:rPr>
        <w:t xml:space="preserve">Classification: </w:t>
      </w:r>
      <w:r>
        <w:t>Confidential</w:t>
      </w:r>
    </w:p>
    <w:p>
      <w:r>
        <w:br w:type="page"/>
      </w:r>
    </w:p>
    <w:p>
      <w:pPr>
        <w:pStyle w:val="Heading1"/>
      </w:pPr>
      <w:r>
        <w:t>1. Executive Summary</w:t>
      </w:r>
    </w:p>
    <w:p>
      <w:r>
        <w:t>This document presents the compliance audit of authentication controls for the Enterprise Identity Security Platform (EISP), a hands-on Identity and Access Management (IAM) engineering project built around the Authentik identity provider (deployed via Docker Compose) and AWS IAM roles managed as infrastructure-as-code with Terraform. The audit was performed against two regulatory frameworks: PCI DSS v4.0 (Requirements 7, 8, and 10, covering access control, authentication, and logging) and NIST Special Publication 800-53 Revision 5 (Access Control, Identification and Authentication, and Audit and Accountability families).</w:t>
      </w:r>
    </w:p>
    <w:p>
      <w:r>
        <w:t>The audit objective was to determine whether EISP's authentication controls are suitably designed and operating effectively to (a) enforce multi-factor authentication for all human users, (b) restrict AWS privileges to least privilege under a Zero Trust permission boundary, and (c) generate and retain tamper-evident authentication and access logs. Fieldwork covered the Authentik deployment configuration, the Terraform IAM codebase (EISP-IAM-004), and the three documented RBAC policies (EISP-Developer-Policy, EISP-SecurityAnalyst-Policy, EISP-IAMEngineer-Policy).</w:t>
      </w:r>
    </w:p>
    <w:p>
      <w:r>
        <w:t>Overall opinion: the control design is strong — permission boundaries with explicit deny statements, SAML federation with audience restriction, four-hour time-limited sessions, and a least-privilege RBAC model demonstrate sound IAM engineering. Four findings were raised (two Medium, two Low); no Critical or High findings. All findings are remediable within the current architecture, and none indicates an active compromise. A prioritized remediation plan with owners, target dates, and tracking methods is provided in Section 5.</w:t>
      </w:r>
    </w:p>
    <w:p>
      <w:pPr>
        <w:pStyle w:val="Heading1"/>
      </w:pPr>
      <w:r>
        <w:t>2. Audit Plan — Audit of EISP Authentication Controls</w:t>
      </w:r>
    </w:p>
    <w:p>
      <w:pPr>
        <w:pStyle w:val="Heading2"/>
      </w:pPr>
      <w:r>
        <w:t>2.1 Audit Objectives</w:t>
      </w:r>
    </w:p>
    <w:p>
      <w:r>
        <w:t>The audit was designed to answer the following questions:</w:t>
      </w:r>
    </w:p>
    <w:p>
      <w:pPr>
        <w:pStyle w:val="ListNumber"/>
      </w:pPr>
      <w:r>
        <w:t>Is multi-factor authentication (MFA) enforced for every human-user authentication through the Authentik identity provider, with no bypass path for interactive logins?</w:t>
      </w:r>
    </w:p>
    <w:p>
      <w:pPr>
        <w:pStyle w:val="ListNumber"/>
      </w:pPr>
      <w:r>
        <w:t>Do the AWS IAM roles (EISP-Developer-Role, EISP-SecurityAnalyst-Role, EISP-IAMEngineer-Role) enforce least privilege, and does the EISP-PermissionBoundary act as an effective hard ceiling on all roles, including against privilege-escalation attempts?</w:t>
      </w:r>
    </w:p>
    <w:p>
      <w:pPr>
        <w:pStyle w:val="ListNumber"/>
      </w:pPr>
      <w:r>
        <w:t>Is the SAML federation trust between Authentik (saml-provider/authentik-saml) and AWS correctly constrained, including the SAML audience (SAML:aud) condition that prevents assertion replay?</w:t>
      </w:r>
    </w:p>
    <w:p>
      <w:pPr>
        <w:pStyle w:val="ListNumber"/>
      </w:pPr>
      <w:r>
        <w:t>Are authentication and access events (logins, MFA challenges, denials, role assumptions) logged centrally with sufficient detail, and is log retention defined and enforced?</w:t>
      </w:r>
    </w:p>
    <w:p>
      <w:pPr>
        <w:pStyle w:val="ListNumber"/>
      </w:pPr>
      <w:r>
        <w:t>Are session lifetimes time-bound consistent with Zero Trust principles (e.g., the configured four-hour maximum session duration)?</w:t>
      </w:r>
    </w:p>
    <w:p>
      <w:pPr>
        <w:pStyle w:val="Heading2"/>
      </w:pPr>
      <w:r>
        <w:t>2.2 Scope Definition</w:t>
      </w:r>
    </w:p>
    <w:p>
      <w:r>
        <w:t>In-scope areas (with rationale):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val="clear" w:fill="1F4E78"/>
          </w:tcPr>
          <w:p>
            <w:r/>
            <w:r>
              <w:rPr>
                <w:b/>
                <w:color w:val="FFFFFF"/>
                <w:sz w:val="20"/>
              </w:rPr>
              <w:t>#</w:t>
            </w:r>
          </w:p>
        </w:tc>
        <w:tc>
          <w:tcPr>
            <w:tcW w:type="dxa" w:w="2880"/>
            <w:shd w:val="clear" w:fill="1F4E78"/>
          </w:tcPr>
          <w:p>
            <w:r/>
            <w:r>
              <w:rPr>
                <w:b/>
                <w:color w:val="FFFFFF"/>
                <w:sz w:val="20"/>
              </w:rPr>
              <w:t>In-Scope Area</w:t>
            </w:r>
          </w:p>
        </w:tc>
        <w:tc>
          <w:tcPr>
            <w:tcW w:type="dxa" w:w="3168"/>
            <w:shd w:val="clear" w:fill="1F4E78"/>
          </w:tcPr>
          <w:p>
            <w:r/>
            <w:r>
              <w:rPr>
                <w:b/>
                <w:color w:val="FFFFFF"/>
                <w:sz w:val="20"/>
              </w:rPr>
              <w:t>Components Examined</w:t>
            </w:r>
          </w:p>
        </w:tc>
        <w:tc>
          <w:tcPr>
            <w:tcW w:type="dxa" w:w="2880"/>
            <w:shd w:val="clear" w:fill="1F4E78"/>
          </w:tcPr>
          <w:p>
            <w:r/>
            <w:r>
              <w:rPr>
                <w:b/>
                <w:color w:val="FFFFFF"/>
                <w:sz w:val="20"/>
              </w:rPr>
              <w:t>Rationale</w:t>
            </w:r>
          </w:p>
        </w:tc>
      </w:tr>
      <w:tr>
        <w:tc>
          <w:tcPr>
            <w:tcW w:type="dxa" w:w="576"/>
          </w:tcPr>
          <w:p>
            <w:r/>
            <w:r>
              <w:rPr>
                <w:sz w:val="20"/>
              </w:rPr>
              <w:t>1</w:t>
            </w:r>
          </w:p>
        </w:tc>
        <w:tc>
          <w:tcPr>
            <w:tcW w:type="dxa" w:w="2880"/>
          </w:tcPr>
          <w:p>
            <w:r/>
            <w:r>
              <w:rPr>
                <w:sz w:val="20"/>
              </w:rPr>
              <w:t>Authentik authentication policies and flows</w:t>
            </w:r>
          </w:p>
        </w:tc>
        <w:tc>
          <w:tcPr>
            <w:tcW w:type="dxa" w:w="3168"/>
          </w:tcPr>
          <w:p>
            <w:r/>
            <w:r>
              <w:rPr>
                <w:sz w:val="20"/>
              </w:rPr>
              <w:t>Authentication flow configuration, MFA enrollment settings, password policy stages</w:t>
            </w:r>
          </w:p>
        </w:tc>
        <w:tc>
          <w:tcPr>
            <w:tcW w:type="dxa" w:w="2880"/>
          </w:tcPr>
          <w:p>
            <w:r/>
            <w:r>
              <w:rPr>
                <w:sz w:val="20"/>
              </w:rPr>
              <w:t>Core of the audit — determines whether MFA is truly mandatory</w:t>
            </w:r>
          </w:p>
        </w:tc>
      </w:tr>
      <w:tr>
        <w:tc>
          <w:tcPr>
            <w:tcW w:type="dxa" w:w="576"/>
          </w:tcPr>
          <w:p>
            <w:r/>
            <w:r>
              <w:rPr>
                <w:sz w:val="20"/>
              </w:rPr>
              <w:t>2</w:t>
            </w:r>
          </w:p>
        </w:tc>
        <w:tc>
          <w:tcPr>
            <w:tcW w:type="dxa" w:w="2880"/>
          </w:tcPr>
          <w:p>
            <w:r/>
            <w:r>
              <w:rPr>
                <w:sz w:val="20"/>
              </w:rPr>
              <w:t>MFA enrollment and recovery</w:t>
            </w:r>
          </w:p>
        </w:tc>
        <w:tc>
          <w:tcPr>
            <w:tcW w:type="dxa" w:w="3168"/>
          </w:tcPr>
          <w:p>
            <w:r/>
            <w:r>
              <w:rPr>
                <w:sz w:val="20"/>
              </w:rPr>
              <w:t>Enrollment reports, recovery/token configuration</w:t>
            </w:r>
          </w:p>
        </w:tc>
        <w:tc>
          <w:tcPr>
            <w:tcW w:type="dxa" w:w="2880"/>
          </w:tcPr>
          <w:p>
            <w:r/>
            <w:r>
              <w:rPr>
                <w:sz w:val="20"/>
              </w:rPr>
              <w:t>Unenrolled users or weak recovery = MFA bypass risk</w:t>
            </w:r>
          </w:p>
        </w:tc>
      </w:tr>
      <w:tr>
        <w:tc>
          <w:tcPr>
            <w:tcW w:type="dxa" w:w="576"/>
          </w:tcPr>
          <w:p>
            <w:r/>
            <w:r>
              <w:rPr>
                <w:sz w:val="20"/>
              </w:rPr>
              <w:t>3</w:t>
            </w:r>
          </w:p>
        </w:tc>
        <w:tc>
          <w:tcPr>
            <w:tcW w:type="dxa" w:w="2880"/>
          </w:tcPr>
          <w:p>
            <w:r/>
            <w:r>
              <w:rPr>
                <w:sz w:val="20"/>
              </w:rPr>
              <w:t>LDAP outpost bind configuration</w:t>
            </w:r>
          </w:p>
        </w:tc>
        <w:tc>
          <w:tcPr>
            <w:tcW w:type="dxa" w:w="3168"/>
          </w:tcPr>
          <w:p>
            <w:r/>
            <w:r>
              <w:rPr>
                <w:sz w:val="20"/>
              </w:rPr>
              <w:t>authentik_ldap service definition, ports 389/636, TLS settings</w:t>
            </w:r>
          </w:p>
        </w:tc>
        <w:tc>
          <w:tcPr>
            <w:tcW w:type="dxa" w:w="2880"/>
          </w:tcPr>
          <w:p>
            <w:r/>
            <w:r>
              <w:rPr>
                <w:sz w:val="20"/>
              </w:rPr>
              <w:t>LDAP exposes directory binds; misconfiguration risks credential exposure</w:t>
            </w:r>
          </w:p>
        </w:tc>
      </w:tr>
      <w:tr>
        <w:tc>
          <w:tcPr>
            <w:tcW w:type="dxa" w:w="576"/>
          </w:tcPr>
          <w:p>
            <w:r/>
            <w:r>
              <w:rPr>
                <w:sz w:val="20"/>
              </w:rPr>
              <w:t>4</w:t>
            </w:r>
          </w:p>
        </w:tc>
        <w:tc>
          <w:tcPr>
            <w:tcW w:type="dxa" w:w="2880"/>
          </w:tcPr>
          <w:p>
            <w:r/>
            <w:r>
              <w:rPr>
                <w:sz w:val="20"/>
              </w:rPr>
              <w:t>Session handling</w:t>
            </w:r>
          </w:p>
        </w:tc>
        <w:tc>
          <w:tcPr>
            <w:tcW w:type="dxa" w:w="3168"/>
          </w:tcPr>
          <w:p>
            <w:r/>
            <w:r>
              <w:rPr>
                <w:sz w:val="20"/>
              </w:rPr>
              <w:t>max_session_duration = 14400 (4 hours), session timeout settings</w:t>
            </w:r>
          </w:p>
        </w:tc>
        <w:tc>
          <w:tcPr>
            <w:tcW w:type="dxa" w:w="2880"/>
          </w:tcPr>
          <w:p>
            <w:r/>
            <w:r>
              <w:rPr>
                <w:sz w:val="20"/>
              </w:rPr>
              <w:t>Time-limited sessions are a Zero Trust requirement</w:t>
            </w:r>
          </w:p>
        </w:tc>
      </w:tr>
      <w:tr>
        <w:tc>
          <w:tcPr>
            <w:tcW w:type="dxa" w:w="576"/>
          </w:tcPr>
          <w:p>
            <w:r/>
            <w:r>
              <w:rPr>
                <w:sz w:val="20"/>
              </w:rPr>
              <w:t>5</w:t>
            </w:r>
          </w:p>
        </w:tc>
        <w:tc>
          <w:tcPr>
            <w:tcW w:type="dxa" w:w="2880"/>
          </w:tcPr>
          <w:p>
            <w:r/>
            <w:r>
              <w:rPr>
                <w:sz w:val="20"/>
              </w:rPr>
              <w:t>AWS IAM roles, policies, permission boundary</w:t>
            </w:r>
          </w:p>
        </w:tc>
        <w:tc>
          <w:tcPr>
            <w:tcW w:type="dxa" w:w="3168"/>
          </w:tcPr>
          <w:p>
            <w:r/>
            <w:r>
              <w:rPr>
                <w:sz w:val="20"/>
              </w:rPr>
              <w:t>main.tf: three roles, three RBAC policies, EISP-PermissionBoundary, SAML trust policy</w:t>
            </w:r>
          </w:p>
        </w:tc>
        <w:tc>
          <w:tcPr>
            <w:tcW w:type="dxa" w:w="2880"/>
          </w:tcPr>
          <w:p>
            <w:r/>
            <w:r>
              <w:rPr>
                <w:sz w:val="20"/>
              </w:rPr>
              <w:t>Validates least privilege and the hard ceiling design</w:t>
            </w:r>
          </w:p>
        </w:tc>
      </w:tr>
      <w:tr>
        <w:tc>
          <w:tcPr>
            <w:tcW w:type="dxa" w:w="576"/>
          </w:tcPr>
          <w:p>
            <w:r/>
            <w:r>
              <w:rPr>
                <w:sz w:val="20"/>
              </w:rPr>
              <w:t>6</w:t>
            </w:r>
          </w:p>
        </w:tc>
        <w:tc>
          <w:tcPr>
            <w:tcW w:type="dxa" w:w="2880"/>
          </w:tcPr>
          <w:p>
            <w:r/>
            <w:r>
              <w:rPr>
                <w:sz w:val="20"/>
              </w:rPr>
              <w:t>Terraform IaC hygiene</w:t>
            </w:r>
          </w:p>
        </w:tc>
        <w:tc>
          <w:tcPr>
            <w:tcW w:type="dxa" w:w="3168"/>
          </w:tcPr>
          <w:p>
            <w:r/>
            <w:r>
              <w:rPr>
                <w:sz w:val="20"/>
              </w:rPr>
              <w:t>terraform plan output, default tags, state handling</w:t>
            </w:r>
          </w:p>
        </w:tc>
        <w:tc>
          <w:tcPr>
            <w:tcW w:type="dxa" w:w="2880"/>
          </w:tcPr>
          <w:p>
            <w:r/>
            <w:r>
              <w:rPr>
                <w:sz w:val="20"/>
              </w:rPr>
              <w:t>IaC is the system of record; drift undermines all role guarantees</w:t>
            </w:r>
          </w:p>
        </w:tc>
      </w:tr>
      <w:tr>
        <w:tc>
          <w:tcPr>
            <w:tcW w:type="dxa" w:w="576"/>
          </w:tcPr>
          <w:p>
            <w:r/>
            <w:r>
              <w:rPr>
                <w:sz w:val="20"/>
              </w:rPr>
              <w:t>7</w:t>
            </w:r>
          </w:p>
        </w:tc>
        <w:tc>
          <w:tcPr>
            <w:tcW w:type="dxa" w:w="2880"/>
          </w:tcPr>
          <w:p>
            <w:r/>
            <w:r>
              <w:rPr>
                <w:sz w:val="20"/>
              </w:rPr>
              <w:t>Authentication and access logging</w:t>
            </w:r>
          </w:p>
        </w:tc>
        <w:tc>
          <w:tcPr>
            <w:tcW w:type="dxa" w:w="3168"/>
          </w:tcPr>
          <w:p>
            <w:r/>
            <w:r>
              <w:rPr>
                <w:sz w:val="20"/>
              </w:rPr>
              <w:t>Authentik event log, PostgreSQL persistence volume, CloudTrail configuration</w:t>
            </w:r>
          </w:p>
        </w:tc>
        <w:tc>
          <w:tcPr>
            <w:tcW w:type="dxa" w:w="2880"/>
          </w:tcPr>
          <w:p>
            <w:r/>
            <w:r>
              <w:rPr>
                <w:sz w:val="20"/>
              </w:rPr>
              <w:t>Without reliable logs, incidents cannot be detected or investigated</w:t>
            </w:r>
          </w:p>
        </w:tc>
      </w:tr>
    </w:tbl>
    <w:p/>
    <w:p>
      <w:r>
        <w:t>Explicitly out-of-scope items (with rationale):</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fill="1F4E78"/>
          </w:tcPr>
          <w:p>
            <w:r/>
            <w:r>
              <w:rPr>
                <w:b/>
                <w:color w:val="FFFFFF"/>
                <w:sz w:val="20"/>
              </w:rPr>
              <w:t>#</w:t>
            </w:r>
          </w:p>
        </w:tc>
        <w:tc>
          <w:tcPr>
            <w:tcW w:type="dxa" w:w="3744"/>
            <w:shd w:val="clear" w:fill="1F4E78"/>
          </w:tcPr>
          <w:p>
            <w:r/>
            <w:r>
              <w:rPr>
                <w:b/>
                <w:color w:val="FFFFFF"/>
                <w:sz w:val="20"/>
              </w:rPr>
              <w:t>Out-of-Scope Item</w:t>
            </w:r>
          </w:p>
        </w:tc>
        <w:tc>
          <w:tcPr>
            <w:tcW w:type="dxa" w:w="5184"/>
            <w:shd w:val="clear" w:fill="1F4E78"/>
          </w:tcPr>
          <w:p>
            <w:r/>
            <w:r>
              <w:rPr>
                <w:b/>
                <w:color w:val="FFFFFF"/>
                <w:sz w:val="20"/>
              </w:rPr>
              <w:t>Rationale</w:t>
            </w:r>
          </w:p>
        </w:tc>
      </w:tr>
      <w:tr>
        <w:tc>
          <w:tcPr>
            <w:tcW w:type="dxa" w:w="576"/>
          </w:tcPr>
          <w:p>
            <w:r/>
            <w:r>
              <w:rPr>
                <w:sz w:val="20"/>
              </w:rPr>
              <w:t>1</w:t>
            </w:r>
          </w:p>
        </w:tc>
        <w:tc>
          <w:tcPr>
            <w:tcW w:type="dxa" w:w="3744"/>
          </w:tcPr>
          <w:p>
            <w:r/>
            <w:r>
              <w:rPr>
                <w:sz w:val="20"/>
              </w:rPr>
              <w:t>Penetration testing / exploit attempts against Authentik or AWS</w:t>
            </w:r>
          </w:p>
        </w:tc>
        <w:tc>
          <w:tcPr>
            <w:tcW w:type="dxa" w:w="5184"/>
          </w:tcPr>
          <w:p>
            <w:r/>
            <w:r>
              <w:rPr>
                <w:sz w:val="20"/>
              </w:rPr>
              <w:t>Destructive testing excluded; assessment is configuration- and evidence-based</w:t>
            </w:r>
          </w:p>
        </w:tc>
      </w:tr>
      <w:tr>
        <w:tc>
          <w:tcPr>
            <w:tcW w:type="dxa" w:w="576"/>
          </w:tcPr>
          <w:p>
            <w:r/>
            <w:r>
              <w:rPr>
                <w:sz w:val="20"/>
              </w:rPr>
              <w:t>2</w:t>
            </w:r>
          </w:p>
        </w:tc>
        <w:tc>
          <w:tcPr>
            <w:tcW w:type="dxa" w:w="3744"/>
          </w:tcPr>
          <w:p>
            <w:r/>
            <w:r>
              <w:rPr>
                <w:sz w:val="20"/>
              </w:rPr>
              <w:t>Source-code review of Authentik itself (ghcr.io/goauthentik/server:2026.2.2)</w:t>
            </w:r>
          </w:p>
        </w:tc>
        <w:tc>
          <w:tcPr>
            <w:tcW w:type="dxa" w:w="5184"/>
          </w:tcPr>
          <w:p>
            <w:r/>
            <w:r>
              <w:rPr>
                <w:sz w:val="20"/>
              </w:rPr>
              <w:t>Third-party product assurance is the vendor's responsibility; audit covers deployment configuration</w:t>
            </w:r>
          </w:p>
        </w:tc>
      </w:tr>
      <w:tr>
        <w:tc>
          <w:tcPr>
            <w:tcW w:type="dxa" w:w="576"/>
          </w:tcPr>
          <w:p>
            <w:r/>
            <w:r>
              <w:rPr>
                <w:sz w:val="20"/>
              </w:rPr>
              <w:t>3</w:t>
            </w:r>
          </w:p>
        </w:tc>
        <w:tc>
          <w:tcPr>
            <w:tcW w:type="dxa" w:w="3744"/>
          </w:tcPr>
          <w:p>
            <w:r/>
            <w:r>
              <w:rPr>
                <w:sz w:val="20"/>
              </w:rPr>
              <w:t>AWS account-level billing, Organizations, and Service Control Policies beyond the permission boundary</w:t>
            </w:r>
          </w:p>
        </w:tc>
        <w:tc>
          <w:tcPr>
            <w:tcW w:type="dxa" w:w="5184"/>
          </w:tcPr>
          <w:p>
            <w:r/>
            <w:r>
              <w:rPr>
                <w:sz w:val="20"/>
              </w:rPr>
              <w:t>Boundary explicitly denies billing/org actions; account governance is a separate audit</w:t>
            </w:r>
          </w:p>
        </w:tc>
      </w:tr>
      <w:tr>
        <w:tc>
          <w:tcPr>
            <w:tcW w:type="dxa" w:w="576"/>
          </w:tcPr>
          <w:p>
            <w:r/>
            <w:r>
              <w:rPr>
                <w:sz w:val="20"/>
              </w:rPr>
              <w:t>4</w:t>
            </w:r>
          </w:p>
        </w:tc>
        <w:tc>
          <w:tcPr>
            <w:tcW w:type="dxa" w:w="3744"/>
          </w:tcPr>
          <w:p>
            <w:r/>
            <w:r>
              <w:rPr>
                <w:sz w:val="20"/>
              </w:rPr>
              <w:t>End-user devices and endpoint security posture</w:t>
            </w:r>
          </w:p>
        </w:tc>
        <w:tc>
          <w:tcPr>
            <w:tcW w:type="dxa" w:w="5184"/>
          </w:tcPr>
          <w:p>
            <w:r/>
            <w:r>
              <w:rPr>
                <w:sz w:val="20"/>
              </w:rPr>
              <w:t>Device trust is outside the IdP configuration scope</w:t>
            </w:r>
          </w:p>
        </w:tc>
      </w:tr>
      <w:tr>
        <w:tc>
          <w:tcPr>
            <w:tcW w:type="dxa" w:w="576"/>
          </w:tcPr>
          <w:p>
            <w:r/>
            <w:r>
              <w:rPr>
                <w:sz w:val="20"/>
              </w:rPr>
              <w:t>5</w:t>
            </w:r>
          </w:p>
        </w:tc>
        <w:tc>
          <w:tcPr>
            <w:tcW w:type="dxa" w:w="3744"/>
          </w:tcPr>
          <w:p>
            <w:r/>
            <w:r>
              <w:rPr>
                <w:sz w:val="20"/>
              </w:rPr>
              <w:t>Application logic of the whoami demo service (traefik/whoami)</w:t>
            </w:r>
          </w:p>
        </w:tc>
        <w:tc>
          <w:tcPr>
            <w:tcW w:type="dxa" w:w="5184"/>
          </w:tcPr>
          <w:p>
            <w:r/>
            <w:r>
              <w:rPr>
                <w:sz w:val="20"/>
              </w:rPr>
              <w:t>Demo workload only; its Authentik application/provider attachment decision is in scope, its code is not</w:t>
            </w:r>
          </w:p>
        </w:tc>
      </w:tr>
    </w:tbl>
    <w:p/>
    <w:p>
      <w:r>
        <w:t>Audit period: controls examined for design as deployed, and for operating effectiveness over the period 1 August 2026 – 30 September 2026.</w:t>
      </w:r>
    </w:p>
    <w:p>
      <w:pPr>
        <w:pStyle w:val="Heading2"/>
      </w:pPr>
      <w:r>
        <w:t>2.3 Audit Methodology</w:t>
      </w:r>
    </w:p>
    <w:p>
      <w:r>
        <w:t>Four standard techniques were applied, mapped to the audit objectives:</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fill="1F4E78"/>
          </w:tcPr>
          <w:p>
            <w:r/>
            <w:r>
              <w:rPr>
                <w:b/>
                <w:color w:val="FFFFFF"/>
                <w:sz w:val="20"/>
              </w:rPr>
              <w:t>Technique</w:t>
            </w:r>
          </w:p>
        </w:tc>
        <w:tc>
          <w:tcPr>
            <w:tcW w:type="dxa" w:w="4608"/>
            <w:shd w:val="clear" w:fill="1F4E78"/>
          </w:tcPr>
          <w:p>
            <w:r/>
            <w:r>
              <w:rPr>
                <w:b/>
                <w:color w:val="FFFFFF"/>
                <w:sz w:val="20"/>
              </w:rPr>
              <w:t>Description</w:t>
            </w:r>
          </w:p>
        </w:tc>
        <w:tc>
          <w:tcPr>
            <w:tcW w:type="dxa" w:w="3168"/>
            <w:shd w:val="clear" w:fill="1F4E78"/>
          </w:tcPr>
          <w:p>
            <w:r/>
            <w:r>
              <w:rPr>
                <w:b/>
                <w:color w:val="FFFFFF"/>
                <w:sz w:val="20"/>
              </w:rPr>
              <w:t>Mapped Objectives</w:t>
            </w:r>
          </w:p>
        </w:tc>
      </w:tr>
      <w:tr>
        <w:tc>
          <w:tcPr>
            <w:tcW w:type="dxa" w:w="1728"/>
          </w:tcPr>
          <w:p>
            <w:r/>
            <w:r>
              <w:rPr>
                <w:sz w:val="20"/>
              </w:rPr>
              <w:t>Inquiry</w:t>
            </w:r>
          </w:p>
        </w:tc>
        <w:tc>
          <w:tcPr>
            <w:tcW w:type="dxa" w:w="4608"/>
          </w:tcPr>
          <w:p>
            <w:r/>
            <w:r>
              <w:rPr>
                <w:sz w:val="20"/>
              </w:rPr>
              <w:t>Structured interviews with the IAM engineer (project author) on design intent, e.g., why the permission boundary denies billing/org actions and why SAML:aud is enforced</w:t>
            </w:r>
          </w:p>
        </w:tc>
        <w:tc>
          <w:tcPr>
            <w:tcW w:type="dxa" w:w="3168"/>
          </w:tcPr>
          <w:p>
            <w:r/>
            <w:r>
              <w:rPr>
                <w:sz w:val="20"/>
              </w:rPr>
              <w:t>Obj. 2, 3</w:t>
            </w:r>
          </w:p>
        </w:tc>
      </w:tr>
      <w:tr>
        <w:tc>
          <w:tcPr>
            <w:tcW w:type="dxa" w:w="1728"/>
          </w:tcPr>
          <w:p>
            <w:r/>
            <w:r>
              <w:rPr>
                <w:sz w:val="20"/>
              </w:rPr>
              <w:t>Inspection</w:t>
            </w:r>
          </w:p>
        </w:tc>
        <w:tc>
          <w:tcPr>
            <w:tcW w:type="dxa" w:w="4608"/>
          </w:tcPr>
          <w:p>
            <w:r/>
            <w:r>
              <w:rPr>
                <w:sz w:val="20"/>
              </w:rPr>
              <w:t>Examination of artifacts: docker-compose.yml, main.tf, EISP_IAM_Policies.docx, exported Authentik flow configuration, MFA enrollment reports, event log samples</w:t>
            </w:r>
          </w:p>
        </w:tc>
        <w:tc>
          <w:tcPr>
            <w:tcW w:type="dxa" w:w="3168"/>
          </w:tcPr>
          <w:p>
            <w:r/>
            <w:r>
              <w:rPr>
                <w:sz w:val="20"/>
              </w:rPr>
              <w:t>Obj. 1, 2, 3, 4, 5</w:t>
            </w:r>
          </w:p>
        </w:tc>
      </w:tr>
      <w:tr>
        <w:tc>
          <w:tcPr>
            <w:tcW w:type="dxa" w:w="1728"/>
          </w:tcPr>
          <w:p>
            <w:r/>
            <w:r>
              <w:rPr>
                <w:sz w:val="20"/>
              </w:rPr>
              <w:t>Observation</w:t>
            </w:r>
          </w:p>
        </w:tc>
        <w:tc>
          <w:tcPr>
            <w:tcW w:type="dxa" w:w="4608"/>
          </w:tcPr>
          <w:p>
            <w:r/>
            <w:r>
              <w:rPr>
                <w:sz w:val="20"/>
              </w:rPr>
              <w:t>Direct observation of control operation: triggering a test login and watching the MFA challenge and event log entry appear</w:t>
            </w:r>
          </w:p>
        </w:tc>
        <w:tc>
          <w:tcPr>
            <w:tcW w:type="dxa" w:w="3168"/>
          </w:tcPr>
          <w:p>
            <w:r/>
            <w:r>
              <w:rPr>
                <w:sz w:val="20"/>
              </w:rPr>
              <w:t>Obj. 1, 4</w:t>
            </w:r>
          </w:p>
        </w:tc>
      </w:tr>
      <w:tr>
        <w:tc>
          <w:tcPr>
            <w:tcW w:type="dxa" w:w="1728"/>
          </w:tcPr>
          <w:p>
            <w:r/>
            <w:r>
              <w:rPr>
                <w:sz w:val="20"/>
              </w:rPr>
              <w:t>Reperformance</w:t>
            </w:r>
          </w:p>
        </w:tc>
        <w:tc>
          <w:tcPr>
            <w:tcW w:type="dxa" w:w="4608"/>
          </w:tcPr>
          <w:p>
            <w:r/>
            <w:r>
              <w:rPr>
                <w:sz w:val="20"/>
              </w:rPr>
              <w:t>Independent re-execution: evaluating sample AWS actions against the role policies and boundary (e.g., developer attempting iam:CreateUser must hit explicit deny); attempting login without completing MFA must fail</w:t>
            </w:r>
          </w:p>
        </w:tc>
        <w:tc>
          <w:tcPr>
            <w:tcW w:type="dxa" w:w="3168"/>
          </w:tcPr>
          <w:p>
            <w:r/>
            <w:r>
              <w:rPr>
                <w:sz w:val="20"/>
              </w:rPr>
              <w:t>Obj. 1, 2</w:t>
            </w:r>
          </w:p>
        </w:tc>
      </w:tr>
    </w:tbl>
    <w:p/>
    <w:p>
      <w:pPr>
        <w:pStyle w:val="Heading2"/>
      </w:pPr>
      <w:r>
        <w:t>2.4 Timeline</w:t>
      </w:r>
    </w:p>
    <w:p>
      <w:r>
        <w:t>Six-week audit timeline: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val="clear" w:fill="1F4E78"/>
          </w:tcPr>
          <w:p>
            <w:r/>
            <w:r>
              <w:rPr>
                <w:b/>
                <w:color w:val="FFFFFF"/>
                <w:sz w:val="20"/>
              </w:rPr>
              <w:t>Week</w:t>
            </w:r>
          </w:p>
        </w:tc>
        <w:tc>
          <w:tcPr>
            <w:tcW w:type="dxa" w:w="1728"/>
            <w:shd w:val="clear" w:fill="1F4E78"/>
          </w:tcPr>
          <w:p>
            <w:r/>
            <w:r>
              <w:rPr>
                <w:b/>
                <w:color w:val="FFFFFF"/>
                <w:sz w:val="20"/>
              </w:rPr>
              <w:t>Phase</w:t>
            </w:r>
          </w:p>
        </w:tc>
        <w:tc>
          <w:tcPr>
            <w:tcW w:type="dxa" w:w="3744"/>
            <w:shd w:val="clear" w:fill="1F4E78"/>
          </w:tcPr>
          <w:p>
            <w:r/>
            <w:r>
              <w:rPr>
                <w:b/>
                <w:color w:val="FFFFFF"/>
                <w:sz w:val="20"/>
              </w:rPr>
              <w:t>Key Activities</w:t>
            </w:r>
          </w:p>
        </w:tc>
        <w:tc>
          <w:tcPr>
            <w:tcW w:type="dxa" w:w="1728"/>
            <w:shd w:val="clear" w:fill="1F4E78"/>
          </w:tcPr>
          <w:p>
            <w:r/>
            <w:r>
              <w:rPr>
                <w:b/>
                <w:color w:val="FFFFFF"/>
                <w:sz w:val="20"/>
              </w:rPr>
              <w:t>Owner</w:t>
            </w:r>
          </w:p>
        </w:tc>
        <w:tc>
          <w:tcPr>
            <w:tcW w:type="dxa" w:w="2304"/>
            <w:shd w:val="clear" w:fill="1F4E78"/>
          </w:tcPr>
          <w:p>
            <w:r/>
            <w:r>
              <w:rPr>
                <w:b/>
                <w:color w:val="FFFFFF"/>
                <w:sz w:val="20"/>
              </w:rPr>
              <w:t>Deliverable</w:t>
            </w:r>
          </w:p>
        </w:tc>
      </w:tr>
      <w:tr>
        <w:tc>
          <w:tcPr>
            <w:tcW w:type="dxa" w:w="864"/>
          </w:tcPr>
          <w:p>
            <w:r/>
            <w:r>
              <w:rPr>
                <w:sz w:val="20"/>
              </w:rPr>
              <w:t>1</w:t>
            </w:r>
          </w:p>
        </w:tc>
        <w:tc>
          <w:tcPr>
            <w:tcW w:type="dxa" w:w="1728"/>
          </w:tcPr>
          <w:p>
            <w:r/>
            <w:r>
              <w:rPr>
                <w:sz w:val="20"/>
              </w:rPr>
              <w:t>Planning</w:t>
            </w:r>
          </w:p>
        </w:tc>
        <w:tc>
          <w:tcPr>
            <w:tcW w:type="dxa" w:w="3744"/>
          </w:tcPr>
          <w:p>
            <w:r/>
            <w:r>
              <w:rPr>
                <w:sz w:val="20"/>
              </w:rPr>
              <w:t>Confirm objectives/scope; request artifact list (compose file, Terraform, policy docs, flow exports)</w:t>
            </w:r>
          </w:p>
        </w:tc>
        <w:tc>
          <w:tcPr>
            <w:tcW w:type="dxa" w:w="1728"/>
          </w:tcPr>
          <w:p>
            <w:r/>
            <w:r>
              <w:rPr>
                <w:sz w:val="20"/>
              </w:rPr>
              <w:t>Audit lead</w:t>
            </w:r>
          </w:p>
        </w:tc>
        <w:tc>
          <w:tcPr>
            <w:tcW w:type="dxa" w:w="2304"/>
          </w:tcPr>
          <w:p>
            <w:r/>
            <w:r>
              <w:rPr>
                <w:sz w:val="20"/>
              </w:rPr>
              <w:t>Approved audit plan (this document, §2)</w:t>
            </w:r>
          </w:p>
        </w:tc>
      </w:tr>
      <w:tr>
        <w:tc>
          <w:tcPr>
            <w:tcW w:type="dxa" w:w="864"/>
          </w:tcPr>
          <w:p>
            <w:r/>
            <w:r>
              <w:rPr>
                <w:sz w:val="20"/>
              </w:rPr>
              <w:t>2</w:t>
            </w:r>
          </w:p>
        </w:tc>
        <w:tc>
          <w:tcPr>
            <w:tcW w:type="dxa" w:w="1728"/>
          </w:tcPr>
          <w:p>
            <w:r/>
            <w:r>
              <w:rPr>
                <w:sz w:val="20"/>
              </w:rPr>
              <w:t>Design review</w:t>
            </w:r>
          </w:p>
        </w:tc>
        <w:tc>
          <w:tcPr>
            <w:tcW w:type="dxa" w:w="3744"/>
          </w:tcPr>
          <w:p>
            <w:r/>
            <w:r>
              <w:rPr>
                <w:sz w:val="20"/>
              </w:rPr>
              <w:t>Inspect Authentik flows, MFA config, LDAP outpost settings, session timeouts</w:t>
            </w:r>
          </w:p>
        </w:tc>
        <w:tc>
          <w:tcPr>
            <w:tcW w:type="dxa" w:w="1728"/>
          </w:tcPr>
          <w:p>
            <w:r/>
            <w:r>
              <w:rPr>
                <w:sz w:val="20"/>
              </w:rPr>
              <w:t>IAM auditor</w:t>
            </w:r>
          </w:p>
        </w:tc>
        <w:tc>
          <w:tcPr>
            <w:tcW w:type="dxa" w:w="2304"/>
          </w:tcPr>
          <w:p>
            <w:r/>
            <w:r>
              <w:rPr>
                <w:sz w:val="20"/>
              </w:rPr>
              <w:t>Design assessment notes</w:t>
            </w:r>
          </w:p>
        </w:tc>
      </w:tr>
      <w:tr>
        <w:tc>
          <w:tcPr>
            <w:tcW w:type="dxa" w:w="864"/>
          </w:tcPr>
          <w:p>
            <w:r/>
            <w:r>
              <w:rPr>
                <w:sz w:val="20"/>
              </w:rPr>
              <w:t>3</w:t>
            </w:r>
          </w:p>
        </w:tc>
        <w:tc>
          <w:tcPr>
            <w:tcW w:type="dxa" w:w="1728"/>
          </w:tcPr>
          <w:p>
            <w:r/>
            <w:r>
              <w:rPr>
                <w:sz w:val="20"/>
              </w:rPr>
              <w:t>Design review</w:t>
            </w:r>
          </w:p>
        </w:tc>
        <w:tc>
          <w:tcPr>
            <w:tcW w:type="dxa" w:w="3744"/>
          </w:tcPr>
          <w:p>
            <w:r/>
            <w:r>
              <w:rPr>
                <w:sz w:val="20"/>
              </w:rPr>
              <w:t>Inspect main.tf: roles, boundary JSON, SAML trust policy, tags; review the three RBAC policy documents</w:t>
            </w:r>
          </w:p>
        </w:tc>
        <w:tc>
          <w:tcPr>
            <w:tcW w:type="dxa" w:w="1728"/>
          </w:tcPr>
          <w:p>
            <w:r/>
            <w:r>
              <w:rPr>
                <w:sz w:val="20"/>
              </w:rPr>
              <w:t>IAM auditor</w:t>
            </w:r>
          </w:p>
        </w:tc>
        <w:tc>
          <w:tcPr>
            <w:tcW w:type="dxa" w:w="2304"/>
          </w:tcPr>
          <w:p>
            <w:r/>
            <w:r>
              <w:rPr>
                <w:sz w:val="20"/>
              </w:rPr>
              <w:t>Design assessment notes</w:t>
            </w:r>
          </w:p>
        </w:tc>
      </w:tr>
      <w:tr>
        <w:tc>
          <w:tcPr>
            <w:tcW w:type="dxa" w:w="864"/>
          </w:tcPr>
          <w:p>
            <w:r/>
            <w:r>
              <w:rPr>
                <w:sz w:val="20"/>
              </w:rPr>
              <w:t>4</w:t>
            </w:r>
          </w:p>
        </w:tc>
        <w:tc>
          <w:tcPr>
            <w:tcW w:type="dxa" w:w="1728"/>
          </w:tcPr>
          <w:p>
            <w:r/>
            <w:r>
              <w:rPr>
                <w:sz w:val="20"/>
              </w:rPr>
              <w:t>Operating effectiveness</w:t>
            </w:r>
          </w:p>
        </w:tc>
        <w:tc>
          <w:tcPr>
            <w:tcW w:type="dxa" w:w="3744"/>
          </w:tcPr>
          <w:p>
            <w:r/>
            <w:r>
              <w:rPr>
                <w:sz w:val="20"/>
              </w:rPr>
              <w:t>Reperformance tests (MFA bypass attempt, policy evaluation samples); observation of logging; evidence collection per §3</w:t>
            </w:r>
          </w:p>
        </w:tc>
        <w:tc>
          <w:tcPr>
            <w:tcW w:type="dxa" w:w="1728"/>
          </w:tcPr>
          <w:p>
            <w:r/>
            <w:r>
              <w:rPr>
                <w:sz w:val="20"/>
              </w:rPr>
              <w:t>IAM auditor</w:t>
            </w:r>
          </w:p>
        </w:tc>
        <w:tc>
          <w:tcPr>
            <w:tcW w:type="dxa" w:w="2304"/>
          </w:tcPr>
          <w:p>
            <w:r/>
            <w:r>
              <w:rPr>
                <w:sz w:val="20"/>
              </w:rPr>
              <w:t>Test workpapers + evidence log</w:t>
            </w:r>
          </w:p>
        </w:tc>
      </w:tr>
      <w:tr>
        <w:tc>
          <w:tcPr>
            <w:tcW w:type="dxa" w:w="864"/>
          </w:tcPr>
          <w:p>
            <w:r/>
            <w:r>
              <w:rPr>
                <w:sz w:val="20"/>
              </w:rPr>
              <w:t>5</w:t>
            </w:r>
          </w:p>
        </w:tc>
        <w:tc>
          <w:tcPr>
            <w:tcW w:type="dxa" w:w="1728"/>
          </w:tcPr>
          <w:p>
            <w:r/>
            <w:r>
              <w:rPr>
                <w:sz w:val="20"/>
              </w:rPr>
              <w:t>Findings &amp; reporting</w:t>
            </w:r>
          </w:p>
        </w:tc>
        <w:tc>
          <w:tcPr>
            <w:tcW w:type="dxa" w:w="3744"/>
          </w:tcPr>
          <w:p>
            <w:r/>
            <w:r>
              <w:rPr>
                <w:sz w:val="20"/>
              </w:rPr>
              <w:t>Evaluate results, draft findings register and gap analysis, agree facts with IAM engineer</w:t>
            </w:r>
          </w:p>
        </w:tc>
        <w:tc>
          <w:tcPr>
            <w:tcW w:type="dxa" w:w="1728"/>
          </w:tcPr>
          <w:p>
            <w:r/>
            <w:r>
              <w:rPr>
                <w:sz w:val="20"/>
              </w:rPr>
              <w:t>Audit lead</w:t>
            </w:r>
          </w:p>
        </w:tc>
        <w:tc>
          <w:tcPr>
            <w:tcW w:type="dxa" w:w="2304"/>
          </w:tcPr>
          <w:p>
            <w:r/>
            <w:r>
              <w:rPr>
                <w:sz w:val="20"/>
              </w:rPr>
              <w:t>Draft findings (§4)</w:t>
            </w:r>
          </w:p>
        </w:tc>
      </w:tr>
      <w:tr>
        <w:tc>
          <w:tcPr>
            <w:tcW w:type="dxa" w:w="864"/>
          </w:tcPr>
          <w:p>
            <w:r/>
            <w:r>
              <w:rPr>
                <w:sz w:val="20"/>
              </w:rPr>
              <w:t>6</w:t>
            </w:r>
          </w:p>
        </w:tc>
        <w:tc>
          <w:tcPr>
            <w:tcW w:type="dxa" w:w="1728"/>
          </w:tcPr>
          <w:p>
            <w:r/>
            <w:r>
              <w:rPr>
                <w:sz w:val="20"/>
              </w:rPr>
              <w:t>Remediation planning</w:t>
            </w:r>
          </w:p>
        </w:tc>
        <w:tc>
          <w:tcPr>
            <w:tcW w:type="dxa" w:w="3744"/>
          </w:tcPr>
          <w:p>
            <w:r/>
            <w:r>
              <w:rPr>
                <w:sz w:val="20"/>
              </w:rPr>
              <w:t>Prioritize recommendations, assign owners/dates, define tracking; issue final report</w:t>
            </w:r>
          </w:p>
        </w:tc>
        <w:tc>
          <w:tcPr>
            <w:tcW w:type="dxa" w:w="1728"/>
          </w:tcPr>
          <w:p>
            <w:r/>
            <w:r>
              <w:rPr>
                <w:sz w:val="20"/>
              </w:rPr>
              <w:t>Audit lead + IAM engineer</w:t>
            </w:r>
          </w:p>
        </w:tc>
        <w:tc>
          <w:tcPr>
            <w:tcW w:type="dxa" w:w="2304"/>
          </w:tcPr>
          <w:p>
            <w:r/>
            <w:r>
              <w:rPr>
                <w:sz w:val="20"/>
              </w:rPr>
              <w:t>Remediation plan (§5), final report</w:t>
            </w:r>
          </w:p>
        </w:tc>
      </w:tr>
    </w:tbl>
    <w:p/>
    <w:p>
      <w:pPr>
        <w:pStyle w:val="Heading2"/>
      </w:pPr>
      <w:r>
        <w:t>2.5 Resource Requirements</w:t>
      </w:r>
    </w:p>
    <w:p>
      <w:r>
        <w:t>Team and effort:</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fill="1F4E78"/>
          </w:tcPr>
          <w:p>
            <w:r/>
            <w:r>
              <w:rPr>
                <w:b/>
                <w:color w:val="FFFFFF"/>
                <w:sz w:val="20"/>
              </w:rPr>
              <w:t>Role</w:t>
            </w:r>
          </w:p>
        </w:tc>
        <w:tc>
          <w:tcPr>
            <w:tcW w:type="dxa" w:w="4608"/>
            <w:shd w:val="clear" w:fill="1F4E78"/>
          </w:tcPr>
          <w:p>
            <w:r/>
            <w:r>
              <w:rPr>
                <w:b/>
                <w:color w:val="FFFFFF"/>
                <w:sz w:val="20"/>
              </w:rPr>
              <w:t>Responsibilities</w:t>
            </w:r>
          </w:p>
        </w:tc>
        <w:tc>
          <w:tcPr>
            <w:tcW w:type="dxa" w:w="1728"/>
            <w:shd w:val="clear" w:fill="1F4E78"/>
          </w:tcPr>
          <w:p>
            <w:r/>
            <w:r>
              <w:rPr>
                <w:b/>
                <w:color w:val="FFFFFF"/>
                <w:sz w:val="20"/>
              </w:rPr>
              <w:t>Est. Hours</w:t>
            </w:r>
          </w:p>
        </w:tc>
      </w:tr>
      <w:tr>
        <w:tc>
          <w:tcPr>
            <w:tcW w:type="dxa" w:w="2592"/>
          </w:tcPr>
          <w:p>
            <w:r/>
            <w:r>
              <w:rPr>
                <w:sz w:val="20"/>
              </w:rPr>
              <w:t>Audit lead</w:t>
            </w:r>
          </w:p>
        </w:tc>
        <w:tc>
          <w:tcPr>
            <w:tcW w:type="dxa" w:w="4608"/>
          </w:tcPr>
          <w:p>
            <w:r/>
            <w:r>
              <w:rPr>
                <w:sz w:val="20"/>
              </w:rPr>
              <w:t>Plan ownership, methodology, findings evaluation, reporting, remediation tracking design</w:t>
            </w:r>
          </w:p>
        </w:tc>
        <w:tc>
          <w:tcPr>
            <w:tcW w:type="dxa" w:w="1728"/>
          </w:tcPr>
          <w:p>
            <w:r/>
            <w:r>
              <w:rPr>
                <w:sz w:val="20"/>
              </w:rPr>
              <w:t>40</w:t>
            </w:r>
          </w:p>
        </w:tc>
      </w:tr>
      <w:tr>
        <w:tc>
          <w:tcPr>
            <w:tcW w:type="dxa" w:w="2592"/>
          </w:tcPr>
          <w:p>
            <w:r/>
            <w:r>
              <w:rPr>
                <w:sz w:val="20"/>
              </w:rPr>
              <w:t>IAM auditor (technical)</w:t>
            </w:r>
          </w:p>
        </w:tc>
        <w:tc>
          <w:tcPr>
            <w:tcW w:type="dxa" w:w="4608"/>
          </w:tcPr>
          <w:p>
            <w:r/>
            <w:r>
              <w:rPr>
                <w:sz w:val="20"/>
              </w:rPr>
              <w:t>Configuration inspection, reperformance testing, evidence collection, workpapers</w:t>
            </w:r>
          </w:p>
        </w:tc>
        <w:tc>
          <w:tcPr>
            <w:tcW w:type="dxa" w:w="1728"/>
          </w:tcPr>
          <w:p>
            <w:r/>
            <w:r>
              <w:rPr>
                <w:sz w:val="20"/>
              </w:rPr>
              <w:t>80</w:t>
            </w:r>
          </w:p>
        </w:tc>
      </w:tr>
      <w:tr>
        <w:tc>
          <w:tcPr>
            <w:tcW w:type="dxa" w:w="2592"/>
          </w:tcPr>
          <w:p>
            <w:r/>
            <w:r>
              <w:rPr>
                <w:sz w:val="20"/>
              </w:rPr>
              <w:t>IAM engineer (auditee / project author)</w:t>
            </w:r>
          </w:p>
        </w:tc>
        <w:tc>
          <w:tcPr>
            <w:tcW w:type="dxa" w:w="4608"/>
          </w:tcPr>
          <w:p>
            <w:r/>
            <w:r>
              <w:rPr>
                <w:sz w:val="20"/>
              </w:rPr>
              <w:t>Artifact provision, inquiry responses, fact agreement, remediation ownership</w:t>
            </w:r>
          </w:p>
        </w:tc>
        <w:tc>
          <w:tcPr>
            <w:tcW w:type="dxa" w:w="1728"/>
          </w:tcPr>
          <w:p>
            <w:r/>
            <w:r>
              <w:rPr>
                <w:sz w:val="20"/>
              </w:rPr>
              <w:t>24</w:t>
            </w:r>
          </w:p>
        </w:tc>
      </w:tr>
    </w:tbl>
    <w:p/>
    <w:p>
      <w:r>
        <w:t>Tools used:</w:t>
      </w:r>
    </w:p>
    <w:tbl>
      <w:tblPr>
        <w:tblStyle w:val="TableGrid"/>
        <w:tblW w:type="auto" w:w="0"/>
        <w:jc w:val="center"/>
        <w:tblLook w:firstColumn="1" w:firstRow="1" w:lastColumn="0" w:lastRow="0" w:noHBand="0" w:noVBand="1" w:val="04A0"/>
      </w:tblPr>
      <w:tblGrid>
        <w:gridCol w:w="4320"/>
        <w:gridCol w:w="4320"/>
      </w:tblGrid>
      <w:tr>
        <w:tc>
          <w:tcPr>
            <w:tcW w:type="dxa" w:w="3744"/>
            <w:shd w:val="clear" w:fill="1F4E78"/>
          </w:tcPr>
          <w:p>
            <w:r/>
            <w:r>
              <w:rPr>
                <w:b/>
                <w:color w:val="FFFFFF"/>
                <w:sz w:val="20"/>
              </w:rPr>
              <w:t>Tool</w:t>
            </w:r>
          </w:p>
        </w:tc>
        <w:tc>
          <w:tcPr>
            <w:tcW w:type="dxa" w:w="5760"/>
            <w:shd w:val="clear" w:fill="1F4E78"/>
          </w:tcPr>
          <w:p>
            <w:r/>
            <w:r>
              <w:rPr>
                <w:b/>
                <w:color w:val="FFFFFF"/>
                <w:sz w:val="20"/>
              </w:rPr>
              <w:t>Purpose</w:t>
            </w:r>
          </w:p>
        </w:tc>
      </w:tr>
      <w:tr>
        <w:tc>
          <w:tcPr>
            <w:tcW w:type="dxa" w:w="3744"/>
          </w:tcPr>
          <w:p>
            <w:r/>
            <w:r>
              <w:rPr>
                <w:sz w:val="20"/>
              </w:rPr>
              <w:t>Docker Compose config inspection (docker compose config)</w:t>
            </w:r>
          </w:p>
        </w:tc>
        <w:tc>
          <w:tcPr>
            <w:tcW w:type="dxa" w:w="5760"/>
          </w:tcPr>
          <w:p>
            <w:r/>
            <w:r>
              <w:rPr>
                <w:sz w:val="20"/>
              </w:rPr>
              <w:t>Render and validate the effective Authentik deployment configuration</w:t>
            </w:r>
          </w:p>
        </w:tc>
      </w:tr>
      <w:tr>
        <w:tc>
          <w:tcPr>
            <w:tcW w:type="dxa" w:w="3744"/>
          </w:tcPr>
          <w:p>
            <w:r/>
            <w:r>
              <w:rPr>
                <w:sz w:val="20"/>
              </w:rPr>
              <w:t>Terraform (plan / show)</w:t>
            </w:r>
          </w:p>
        </w:tc>
        <w:tc>
          <w:tcPr>
            <w:tcW w:type="dxa" w:w="5760"/>
          </w:tcPr>
          <w:p>
            <w:r/>
            <w:r>
              <w:rPr>
                <w:sz w:val="20"/>
              </w:rPr>
              <w:t>Verify IaC is the system of record and detect configuration drift</w:t>
            </w:r>
          </w:p>
        </w:tc>
      </w:tr>
      <w:tr>
        <w:tc>
          <w:tcPr>
            <w:tcW w:type="dxa" w:w="3744"/>
          </w:tcPr>
          <w:p>
            <w:r/>
            <w:r>
              <w:rPr>
                <w:sz w:val="20"/>
              </w:rPr>
              <w:t>AWS IAM Policy Simulator (conceptual evaluation)</w:t>
            </w:r>
          </w:p>
        </w:tc>
        <w:tc>
          <w:tcPr>
            <w:tcW w:type="dxa" w:w="5760"/>
          </w:tcPr>
          <w:p>
            <w:r/>
            <w:r>
              <w:rPr>
                <w:sz w:val="20"/>
              </w:rPr>
              <w:t>Reperform allow/deny evaluation for sampled actions against roles + boundary</w:t>
            </w:r>
          </w:p>
        </w:tc>
      </w:tr>
      <w:tr>
        <w:tc>
          <w:tcPr>
            <w:tcW w:type="dxa" w:w="3744"/>
          </w:tcPr>
          <w:p>
            <w:r/>
            <w:r>
              <w:rPr>
                <w:sz w:val="20"/>
              </w:rPr>
              <w:t>Authentik Admin UI — Events &amp; Flows export</w:t>
            </w:r>
          </w:p>
        </w:tc>
        <w:tc>
          <w:tcPr>
            <w:tcW w:type="dxa" w:w="5760"/>
          </w:tcPr>
          <w:p>
            <w:r/>
            <w:r>
              <w:rPr>
                <w:sz w:val="20"/>
              </w:rPr>
              <w:t>Inspect authentication flows and export event log samples</w:t>
            </w:r>
          </w:p>
        </w:tc>
      </w:tr>
      <w:tr>
        <w:tc>
          <w:tcPr>
            <w:tcW w:type="dxa" w:w="3744"/>
          </w:tcPr>
          <w:p>
            <w:r/>
            <w:r>
              <w:rPr>
                <w:sz w:val="20"/>
              </w:rPr>
              <w:t>Evidence log (spreadsheet)</w:t>
            </w:r>
          </w:p>
        </w:tc>
        <w:tc>
          <w:tcPr>
            <w:tcW w:type="dxa" w:w="5760"/>
          </w:tcPr>
          <w:p>
            <w:r/>
            <w:r>
              <w:rPr>
                <w:sz w:val="20"/>
              </w:rPr>
              <w:t>Chain-of-custody record for every artifact collected</w:t>
            </w:r>
          </w:p>
        </w:tc>
      </w:tr>
    </w:tbl>
    <w:p/>
    <w:p>
      <w:pPr>
        <w:pStyle w:val="Heading1"/>
      </w:pPr>
      <w:r>
        <w:t>3. Evidence Collection for Key Controls</w:t>
      </w:r>
    </w:p>
    <w:p>
      <w:r>
        <w:t>Evidence standards applied: evidence must be sufficient (enough quantity), appropriate (relevant and reliable), and documented to a standard that allows an independent reviewer to re-perform the work. Every artifact is recorded in the evidence log with: evidence ID, control ID, description, source system, collection date, collector, hash or version reference, and storage location. Original exports are retained read-only; working copies are used for analysis.</w:t>
      </w:r>
    </w:p>
    <w:p>
      <w:pPr>
        <w:pStyle w:val="Heading2"/>
      </w:pPr>
      <w:r>
        <w:t>3.1 Control EISP-A1 — MFA Enforced for All Human-User Authentication</w:t>
      </w:r>
    </w:p>
    <w:p>
      <w:r>
        <w:t>Control description: The Authentik identity provider requires multi-factor authentication for every interactive human-user login. The authentication flow includes a password stage followed by a mandatory authenticator/MFA stage; there is no policy branch that grants access on password alone.</w:t>
      </w:r>
    </w:p>
    <w:p>
      <w:r>
        <w:t>Regulatory mapping:</w:t>
      </w:r>
    </w:p>
    <w:p>
      <w:pPr>
        <w:pStyle w:val="ListBullet"/>
      </w:pPr>
      <w:r>
        <w:t>PCI DSS v4.0 Requirement 8.4 — MFA is required for all access into the cardholder data environment (and 8.4.2/8.4.3 for phishing-resistant factors where applicable).</w:t>
      </w:r>
    </w:p>
    <w:p>
      <w:pPr>
        <w:pStyle w:val="ListBullet"/>
      </w:pPr>
      <w:r>
        <w:t>NIST SP 800-53 Rev. 5: IA-2 (Identification and Authentication — Organizational Users), IA-2(1) (multi-factor authentication), IA-2(2) (network access to privileged accounts), IA-2(8) (network access to non-privileged accounts).</w:t>
      </w:r>
    </w:p>
    <w:p>
      <w:r>
        <w:t>Evidence types required:</w:t>
      </w:r>
    </w:p>
    <w:tbl>
      <w:tblPr>
        <w:tblStyle w:val="TableGrid"/>
        <w:tblW w:type="auto" w:w="0"/>
        <w:jc w:val="center"/>
        <w:tblLook w:firstColumn="1" w:firstRow="1" w:lastColumn="0" w:lastRow="0" w:noHBand="0" w:noVBand="1" w:val="04A0"/>
      </w:tblPr>
      <w:tblGrid>
        <w:gridCol w:w="2880"/>
        <w:gridCol w:w="2880"/>
        <w:gridCol w:w="2880"/>
      </w:tblGrid>
      <w:tr>
        <w:tc>
          <w:tcPr>
            <w:tcW w:type="dxa" w:w="864"/>
            <w:shd w:val="clear" w:fill="1F4E78"/>
          </w:tcPr>
          <w:p>
            <w:r/>
            <w:r>
              <w:rPr>
                <w:b/>
                <w:color w:val="FFFFFF"/>
                <w:sz w:val="20"/>
              </w:rPr>
              <w:t>#</w:t>
            </w:r>
          </w:p>
        </w:tc>
        <w:tc>
          <w:tcPr>
            <w:tcW w:type="dxa" w:w="4896"/>
            <w:shd w:val="clear" w:fill="1F4E78"/>
          </w:tcPr>
          <w:p>
            <w:r/>
            <w:r>
              <w:rPr>
                <w:b/>
                <w:color w:val="FFFFFF"/>
                <w:sz w:val="20"/>
              </w:rPr>
              <w:t>Evidence</w:t>
            </w:r>
          </w:p>
        </w:tc>
        <w:tc>
          <w:tcPr>
            <w:tcW w:type="dxa" w:w="3744"/>
            <w:shd w:val="clear" w:fill="1F4E78"/>
          </w:tcPr>
          <w:p>
            <w:r/>
            <w:r>
              <w:rPr>
                <w:b/>
                <w:color w:val="FFFFFF"/>
                <w:sz w:val="20"/>
              </w:rPr>
              <w:t>Source</w:t>
            </w:r>
          </w:p>
        </w:tc>
      </w:tr>
      <w:tr>
        <w:tc>
          <w:tcPr>
            <w:tcW w:type="dxa" w:w="864"/>
          </w:tcPr>
          <w:p>
            <w:r/>
            <w:r>
              <w:rPr>
                <w:sz w:val="20"/>
              </w:rPr>
              <w:t>E-A1-01</w:t>
            </w:r>
          </w:p>
        </w:tc>
        <w:tc>
          <w:tcPr>
            <w:tcW w:type="dxa" w:w="4896"/>
          </w:tcPr>
          <w:p>
            <w:r/>
            <w:r>
              <w:rPr>
                <w:sz w:val="20"/>
              </w:rPr>
              <w:t>Exported Authentik authentication flow definition showing stage order: identification → password → MFA/authenticator stage → authorization</w:t>
            </w:r>
          </w:p>
        </w:tc>
        <w:tc>
          <w:tcPr>
            <w:tcW w:type="dxa" w:w="3744"/>
          </w:tcPr>
          <w:p>
            <w:r/>
            <w:r>
              <w:rPr>
                <w:sz w:val="20"/>
              </w:rPr>
              <w:t>Authentik Admin UI → Flows → export (JSON/YAML)</w:t>
            </w:r>
          </w:p>
        </w:tc>
      </w:tr>
      <w:tr>
        <w:tc>
          <w:tcPr>
            <w:tcW w:type="dxa" w:w="864"/>
          </w:tcPr>
          <w:p>
            <w:r/>
            <w:r>
              <w:rPr>
                <w:sz w:val="20"/>
              </w:rPr>
              <w:t>E-A1-02</w:t>
            </w:r>
          </w:p>
        </w:tc>
        <w:tc>
          <w:tcPr>
            <w:tcW w:type="dxa" w:w="4896"/>
          </w:tcPr>
          <w:p>
            <w:r/>
            <w:r>
              <w:rPr>
                <w:sz w:val="20"/>
              </w:rPr>
              <w:t>MFA enrollment report: list of human user accounts with enrolled authenticator devices and enrollment dates</w:t>
            </w:r>
          </w:p>
        </w:tc>
        <w:tc>
          <w:tcPr>
            <w:tcW w:type="dxa" w:w="3744"/>
          </w:tcPr>
          <w:p>
            <w:r/>
            <w:r>
              <w:rPr>
                <w:sz w:val="20"/>
              </w:rPr>
              <w:t>Authentik Admin UI → Users / Tokens &amp; MFA devices</w:t>
            </w:r>
          </w:p>
        </w:tc>
      </w:tr>
      <w:tr>
        <w:tc>
          <w:tcPr>
            <w:tcW w:type="dxa" w:w="864"/>
          </w:tcPr>
          <w:p>
            <w:r/>
            <w:r>
              <w:rPr>
                <w:sz w:val="20"/>
              </w:rPr>
              <w:t>E-A1-03</w:t>
            </w:r>
          </w:p>
        </w:tc>
        <w:tc>
          <w:tcPr>
            <w:tcW w:type="dxa" w:w="4896"/>
          </w:tcPr>
          <w:p>
            <w:r/>
            <w:r>
              <w:rPr>
                <w:sz w:val="20"/>
              </w:rPr>
              <w:t>Sample of authentication event log entries showing MFA challenge issued and completed per login</w:t>
            </w:r>
          </w:p>
        </w:tc>
        <w:tc>
          <w:tcPr>
            <w:tcW w:type="dxa" w:w="3744"/>
          </w:tcPr>
          <w:p>
            <w:r/>
            <w:r>
              <w:rPr>
                <w:sz w:val="20"/>
              </w:rPr>
              <w:t>Authentik Events log export</w:t>
            </w:r>
          </w:p>
        </w:tc>
      </w:tr>
      <w:tr>
        <w:tc>
          <w:tcPr>
            <w:tcW w:type="dxa" w:w="864"/>
          </w:tcPr>
          <w:p>
            <w:r/>
            <w:r>
              <w:rPr>
                <w:sz w:val="20"/>
              </w:rPr>
              <w:t>E-A1-04</w:t>
            </w:r>
          </w:p>
        </w:tc>
        <w:tc>
          <w:tcPr>
            <w:tcW w:type="dxa" w:w="4896"/>
          </w:tcPr>
          <w:p>
            <w:r/>
            <w:r>
              <w:rPr>
                <w:sz w:val="20"/>
              </w:rPr>
              <w:t>Reperformance workpaper: documented attempt to authenticate with password only (MFA step skipped) resulting in denial</w:t>
            </w:r>
          </w:p>
        </w:tc>
        <w:tc>
          <w:tcPr>
            <w:tcW w:type="dxa" w:w="3744"/>
          </w:tcPr>
          <w:p>
            <w:r/>
            <w:r>
              <w:rPr>
                <w:sz w:val="20"/>
              </w:rPr>
              <w:t>Auditor test execution record</w:t>
            </w:r>
          </w:p>
        </w:tc>
      </w:tr>
    </w:tbl>
    <w:p/>
    <w:p>
      <w:r>
        <w:t>Collection techniques: inspection of the exported flow definition (verify no bypass branch exists); inspection of the enrollment report (verify 100% coverage of in-scope human accounts); observation of a live login showing the MFA prompt; reperformance of a negative test (password-only login must fail). Inquiry with the IAM engineer on recovery procedures (account recovery must itself require MFA or equivalent assurance).</w:t>
      </w:r>
    </w:p>
    <w:p>
      <w:r>
        <w:t>Documentation standards: flow exports stored with version/date; enrollment report captured as point-in-time CSV with row counts reconciled to the user directory; reperformance workpaper records exact steps, timestamps, and screenshots of the denial.</w:t>
      </w:r>
    </w:p>
    <w:p>
      <w:r>
        <w:t>Sufficiency criteria: flow definition shows MFA as a mandatory stage with no conditional bypass for interactive users; enrollment report shows every in-scope human account with at least one enrolled factor; reperformance of 5 sampled accounts (covering each role type) confirms denial without MFA completion.</w:t>
      </w:r>
    </w:p>
    <w:p>
      <w:pPr>
        <w:pStyle w:val="Heading2"/>
      </w:pPr>
      <w:r>
        <w:t>3.2 Control EISP-A2 — Least Privilege with Permission Boundary on AWS IAM Roles</w:t>
      </w:r>
    </w:p>
    <w:p>
      <w:r>
        <w:t>Control description: The three AWS IAM roles (EISP-Developer-Role, EISP-SecurityAnalyst-Role, EISP-IAMEngineer-Role) grant only the permissions each function requires, and every role carries the EISP-PermissionBoundary, which acts as a Zero Trust hard ceiling: it restricts service actions to us-east-1 via the aws:RequestedRegion condition and contains an unconditional deny on billing, Organizations, and account-management actions (DenyBillingAndOrgAlways) that no attached policy can override. Federation uses sts:AssumeRoleWithSAML against the authentik-saml provider with a mandatory SAML:aud = https://signin.aws.amazon.com/saml condition, and sessions are capped at four hours (max_session_duration = 14400).</w:t>
      </w:r>
    </w:p>
    <w:p>
      <w:r>
        <w:t>Regulatory mapping:</w:t>
      </w:r>
    </w:p>
    <w:p>
      <w:pPr>
        <w:pStyle w:val="ListBullet"/>
      </w:pPr>
      <w:r>
        <w:t>PCI DSS v4.0 Requirement 7.1 / 7.2 — access to system components restricted based on business need-to-know; least-privilege access control systems in place.</w:t>
      </w:r>
    </w:p>
    <w:p>
      <w:pPr>
        <w:pStyle w:val="ListBullet"/>
      </w:pPr>
      <w:r>
        <w:t>NIST SP 800-53 Rev. 5: AC-3 (Access Enforcement), AC-6 (Least Privilege), AC-6(5) (Privileged Accounts), IA-2(9) (federated authentication).</w:t>
      </w:r>
    </w:p>
    <w:p>
      <w:r>
        <w:t>Evidence types required:</w:t>
      </w:r>
    </w:p>
    <w:tbl>
      <w:tblPr>
        <w:tblStyle w:val="TableGrid"/>
        <w:tblW w:type="auto" w:w="0"/>
        <w:jc w:val="center"/>
        <w:tblLook w:firstColumn="1" w:firstRow="1" w:lastColumn="0" w:lastRow="0" w:noHBand="0" w:noVBand="1" w:val="04A0"/>
      </w:tblPr>
      <w:tblGrid>
        <w:gridCol w:w="2880"/>
        <w:gridCol w:w="2880"/>
        <w:gridCol w:w="2880"/>
      </w:tblGrid>
      <w:tr>
        <w:tc>
          <w:tcPr>
            <w:tcW w:type="dxa" w:w="864"/>
            <w:shd w:val="clear" w:fill="1F4E78"/>
          </w:tcPr>
          <w:p>
            <w:r/>
            <w:r>
              <w:rPr>
                <w:b/>
                <w:color w:val="FFFFFF"/>
                <w:sz w:val="20"/>
              </w:rPr>
              <w:t>#</w:t>
            </w:r>
          </w:p>
        </w:tc>
        <w:tc>
          <w:tcPr>
            <w:tcW w:type="dxa" w:w="4896"/>
            <w:shd w:val="clear" w:fill="1F4E78"/>
          </w:tcPr>
          <w:p>
            <w:r/>
            <w:r>
              <w:rPr>
                <w:b/>
                <w:color w:val="FFFFFF"/>
                <w:sz w:val="20"/>
              </w:rPr>
              <w:t>Evidence</w:t>
            </w:r>
          </w:p>
        </w:tc>
        <w:tc>
          <w:tcPr>
            <w:tcW w:type="dxa" w:w="3744"/>
            <w:shd w:val="clear" w:fill="1F4E78"/>
          </w:tcPr>
          <w:p>
            <w:r/>
            <w:r>
              <w:rPr>
                <w:b/>
                <w:color w:val="FFFFFF"/>
                <w:sz w:val="20"/>
              </w:rPr>
              <w:t>Source</w:t>
            </w:r>
          </w:p>
        </w:tc>
      </w:tr>
      <w:tr>
        <w:tc>
          <w:tcPr>
            <w:tcW w:type="dxa" w:w="864"/>
          </w:tcPr>
          <w:p>
            <w:r/>
            <w:r>
              <w:rPr>
                <w:sz w:val="20"/>
              </w:rPr>
              <w:t>E-A2-01</w:t>
            </w:r>
          </w:p>
        </w:tc>
        <w:tc>
          <w:tcPr>
            <w:tcW w:type="dxa" w:w="4896"/>
          </w:tcPr>
          <w:p>
            <w:r/>
            <w:r>
              <w:rPr>
                <w:sz w:val="20"/>
              </w:rPr>
              <w:t>Terraform configuration excerpt: aws_iam_role resources for all three roles showing permissions_boundary attachment and max_session_duration</w:t>
            </w:r>
          </w:p>
        </w:tc>
        <w:tc>
          <w:tcPr>
            <w:tcW w:type="dxa" w:w="3744"/>
          </w:tcPr>
          <w:p>
            <w:r/>
            <w:r>
              <w:rPr>
                <w:sz w:val="20"/>
              </w:rPr>
              <w:t>main.tf (EISP-IAM-004)</w:t>
            </w:r>
          </w:p>
        </w:tc>
      </w:tr>
      <w:tr>
        <w:tc>
          <w:tcPr>
            <w:tcW w:type="dxa" w:w="864"/>
          </w:tcPr>
          <w:p>
            <w:r/>
            <w:r>
              <w:rPr>
                <w:sz w:val="20"/>
              </w:rPr>
              <w:t>E-A2-02</w:t>
            </w:r>
          </w:p>
        </w:tc>
        <w:tc>
          <w:tcPr>
            <w:tcW w:type="dxa" w:w="4896"/>
          </w:tcPr>
          <w:p>
            <w:r/>
            <w:r>
              <w:rPr>
                <w:sz w:val="20"/>
              </w:rPr>
              <w:t>Permission boundary policy JSON: AllowEISPServicesInRegionOnly (region condition) and DenyBillingAndOrgAlways (unconditional deny)</w:t>
            </w:r>
          </w:p>
        </w:tc>
        <w:tc>
          <w:tcPr>
            <w:tcW w:type="dxa" w:w="3744"/>
          </w:tcPr>
          <w:p>
            <w:r/>
            <w:r>
              <w:rPr>
                <w:sz w:val="20"/>
              </w:rPr>
              <w:t>main.tf → aws_iam_policy.eisp_permission_boundary</w:t>
            </w:r>
          </w:p>
        </w:tc>
      </w:tr>
      <w:tr>
        <w:tc>
          <w:tcPr>
            <w:tcW w:type="dxa" w:w="864"/>
          </w:tcPr>
          <w:p>
            <w:r/>
            <w:r>
              <w:rPr>
                <w:sz w:val="20"/>
              </w:rPr>
              <w:t>E-A2-03</w:t>
            </w:r>
          </w:p>
        </w:tc>
        <w:tc>
          <w:tcPr>
            <w:tcW w:type="dxa" w:w="4896"/>
          </w:tcPr>
          <w:p>
            <w:r/>
            <w:r>
              <w:rPr>
                <w:sz w:val="20"/>
              </w:rPr>
              <w:t>SAML trust policy document: sts:AssumeRoleWithSAML with SAML:aud condition</w:t>
            </w:r>
          </w:p>
        </w:tc>
        <w:tc>
          <w:tcPr>
            <w:tcW w:type="dxa" w:w="3744"/>
          </w:tcPr>
          <w:p>
            <w:r/>
            <w:r>
              <w:rPr>
                <w:sz w:val="20"/>
              </w:rPr>
              <w:t>main.tf → data.aws_iam_policy_document.saml_federation_trust</w:t>
            </w:r>
          </w:p>
        </w:tc>
      </w:tr>
      <w:tr>
        <w:tc>
          <w:tcPr>
            <w:tcW w:type="dxa" w:w="864"/>
          </w:tcPr>
          <w:p>
            <w:r/>
            <w:r>
              <w:rPr>
                <w:sz w:val="20"/>
              </w:rPr>
              <w:t>E-A2-04</w:t>
            </w:r>
          </w:p>
        </w:tc>
        <w:tc>
          <w:tcPr>
            <w:tcW w:type="dxa" w:w="4896"/>
          </w:tcPr>
          <w:p>
            <w:r/>
            <w:r>
              <w:rPr>
                <w:sz w:val="20"/>
              </w:rPr>
              <w:t>terraform plan output (clean, no drift) proving IaC is the system of record</w:t>
            </w:r>
          </w:p>
        </w:tc>
        <w:tc>
          <w:tcPr>
            <w:tcW w:type="dxa" w:w="3744"/>
          </w:tcPr>
          <w:p>
            <w:r/>
            <w:r>
              <w:rPr>
                <w:sz w:val="20"/>
              </w:rPr>
              <w:t>Terraform CLI execution record</w:t>
            </w:r>
          </w:p>
        </w:tc>
      </w:tr>
      <w:tr>
        <w:tc>
          <w:tcPr>
            <w:tcW w:type="dxa" w:w="864"/>
          </w:tcPr>
          <w:p>
            <w:r/>
            <w:r>
              <w:rPr>
                <w:sz w:val="20"/>
              </w:rPr>
              <w:t>E-A2-05</w:t>
            </w:r>
          </w:p>
        </w:tc>
        <w:tc>
          <w:tcPr>
            <w:tcW w:type="dxa" w:w="4896"/>
          </w:tcPr>
          <w:p>
            <w:r/>
            <w:r>
              <w:rPr>
                <w:sz w:val="20"/>
              </w:rPr>
              <w:t>IAM Access Analyzer–style findings summary: no findings of unused access or public exposure on EISP roles</w:t>
            </w:r>
          </w:p>
        </w:tc>
        <w:tc>
          <w:tcPr>
            <w:tcW w:type="dxa" w:w="3744"/>
          </w:tcPr>
          <w:p>
            <w:r/>
            <w:r>
              <w:rPr>
                <w:sz w:val="20"/>
              </w:rPr>
              <w:t>Access Analyzer export / console screenshot</w:t>
            </w:r>
          </w:p>
        </w:tc>
      </w:tr>
      <w:tr>
        <w:tc>
          <w:tcPr>
            <w:tcW w:type="dxa" w:w="864"/>
          </w:tcPr>
          <w:p>
            <w:r/>
            <w:r>
              <w:rPr>
                <w:sz w:val="20"/>
              </w:rPr>
              <w:t>E-A2-06</w:t>
            </w:r>
          </w:p>
        </w:tc>
        <w:tc>
          <w:tcPr>
            <w:tcW w:type="dxa" w:w="4896"/>
          </w:tcPr>
          <w:p>
            <w:r/>
            <w:r>
              <w:rPr>
                <w:sz w:val="20"/>
              </w:rPr>
              <w:t>Reperformance workpaper: evaluation of sampled actions (e.g., developer → iam:CreateUser must be explicitly denied; developer → ec2:StartInstances in us-east-1 allowed; any action with aws:RequestedRegion ≠ us-east-1 denied)</w:t>
            </w:r>
          </w:p>
        </w:tc>
        <w:tc>
          <w:tcPr>
            <w:tcW w:type="dxa" w:w="3744"/>
          </w:tcPr>
          <w:p>
            <w:r/>
            <w:r>
              <w:rPr>
                <w:sz w:val="20"/>
              </w:rPr>
              <w:t>Auditor evaluation record</w:t>
            </w:r>
          </w:p>
        </w:tc>
      </w:tr>
    </w:tbl>
    <w:p/>
    <w:p>
      <w:r>
        <w:t>Collection techniques: inspection of the Terraform codebase (roles, boundary, trust policy); inspection of terraform plan for drift; reperformance of allow/deny evaluation for a judgmental sample of 12 actions spanning allow, explicit-deny, and boundary-deny cases; inquiry on the change process for policy modifications.</w:t>
      </w:r>
    </w:p>
    <w:p>
      <w:r>
        <w:t>Documentation standards: code excerpts captured with file name, line references, and commit hash; plan output stored verbatim; each reperformance case records the action, principal, expected result, and actual result.</w:t>
      </w:r>
    </w:p>
    <w:p>
      <w:r>
        <w:t>Sufficiency criteria: all three roles reference the boundary ARN; boundary contains both the region condition and the unconditional billing/org deny; trust policy contains the SAML:aud condition; all 12 reperformance cases evaluate as expected with zero unexplained allows.</w:t>
      </w:r>
    </w:p>
    <w:p>
      <w:pPr>
        <w:pStyle w:val="Heading2"/>
      </w:pPr>
      <w:r>
        <w:t>3.3 Control EISP-A3 — Centralized Logging and Retention of Authentication Events</w:t>
      </w:r>
    </w:p>
    <w:p>
      <w:r>
        <w:t>Control description: Authentik records authentication and access events (logins, MFA challenges, policy denials, LDAP binds) in its event system backed by the PostgreSQL 16 database (persistent docker volume 'database'); AWS-side activity is captured by CloudTrail. Logs must contain who, what, when, and result, and be retained per policy.</w:t>
      </w:r>
    </w:p>
    <w:p>
      <w:r>
        <w:t>Regulatory mapping:</w:t>
      </w:r>
    </w:p>
    <w:p>
      <w:pPr>
        <w:pStyle w:val="ListBullet"/>
      </w:pPr>
      <w:r>
        <w:t>PCI DSS v4.0 Requirement 10 — logging mechanisms and the ability to trace user activities; Requirement 10.7 (retention: at least 12 months, with 3 months immediately available).</w:t>
      </w:r>
    </w:p>
    <w:p>
      <w:pPr>
        <w:pStyle w:val="ListBullet"/>
      </w:pPr>
      <w:r>
        <w:t>NIST SP 800-53 Rev. 5: AU-2 (Event Logging), AU-3 (Content of Audit Records), AU-6 (Audit Review, Analysis, and Reporting), AU-9 (Protection of Audit Information).</w:t>
      </w:r>
    </w:p>
    <w:p>
      <w:r>
        <w:t>Evidence types required:</w:t>
      </w:r>
    </w:p>
    <w:tbl>
      <w:tblPr>
        <w:tblStyle w:val="TableGrid"/>
        <w:tblW w:type="auto" w:w="0"/>
        <w:jc w:val="center"/>
        <w:tblLook w:firstColumn="1" w:firstRow="1" w:lastColumn="0" w:lastRow="0" w:noHBand="0" w:noVBand="1" w:val="04A0"/>
      </w:tblPr>
      <w:tblGrid>
        <w:gridCol w:w="2880"/>
        <w:gridCol w:w="2880"/>
        <w:gridCol w:w="2880"/>
      </w:tblGrid>
      <w:tr>
        <w:tc>
          <w:tcPr>
            <w:tcW w:type="dxa" w:w="864"/>
            <w:shd w:val="clear" w:fill="1F4E78"/>
          </w:tcPr>
          <w:p>
            <w:r/>
            <w:r>
              <w:rPr>
                <w:b/>
                <w:color w:val="FFFFFF"/>
                <w:sz w:val="20"/>
              </w:rPr>
              <w:t>#</w:t>
            </w:r>
          </w:p>
        </w:tc>
        <w:tc>
          <w:tcPr>
            <w:tcW w:type="dxa" w:w="4896"/>
            <w:shd w:val="clear" w:fill="1F4E78"/>
          </w:tcPr>
          <w:p>
            <w:r/>
            <w:r>
              <w:rPr>
                <w:b/>
                <w:color w:val="FFFFFF"/>
                <w:sz w:val="20"/>
              </w:rPr>
              <w:t>Evidence</w:t>
            </w:r>
          </w:p>
        </w:tc>
        <w:tc>
          <w:tcPr>
            <w:tcW w:type="dxa" w:w="3744"/>
            <w:shd w:val="clear" w:fill="1F4E78"/>
          </w:tcPr>
          <w:p>
            <w:r/>
            <w:r>
              <w:rPr>
                <w:b/>
                <w:color w:val="FFFFFF"/>
                <w:sz w:val="20"/>
              </w:rPr>
              <w:t>Source</w:t>
            </w:r>
          </w:p>
        </w:tc>
      </w:tr>
      <w:tr>
        <w:tc>
          <w:tcPr>
            <w:tcW w:type="dxa" w:w="864"/>
          </w:tcPr>
          <w:p>
            <w:r/>
            <w:r>
              <w:rPr>
                <w:sz w:val="20"/>
              </w:rPr>
              <w:t>E-A3-01</w:t>
            </w:r>
          </w:p>
        </w:tc>
        <w:tc>
          <w:tcPr>
            <w:tcW w:type="dxa" w:w="4896"/>
          </w:tcPr>
          <w:p>
            <w:r/>
            <w:r>
              <w:rPr>
                <w:sz w:val="20"/>
              </w:rPr>
              <w:t>Authentik event log sample export (minimum 50 events) covering login success, login failure, MFA challenge, and policy denial events</w:t>
            </w:r>
          </w:p>
        </w:tc>
        <w:tc>
          <w:tcPr>
            <w:tcW w:type="dxa" w:w="3744"/>
          </w:tcPr>
          <w:p>
            <w:r/>
            <w:r>
              <w:rPr>
                <w:sz w:val="20"/>
              </w:rPr>
              <w:t>Authentik Admin UI → Events → export</w:t>
            </w:r>
          </w:p>
        </w:tc>
      </w:tr>
      <w:tr>
        <w:tc>
          <w:tcPr>
            <w:tcW w:type="dxa" w:w="864"/>
          </w:tcPr>
          <w:p>
            <w:r/>
            <w:r>
              <w:rPr>
                <w:sz w:val="20"/>
              </w:rPr>
              <w:t>E-A3-02</w:t>
            </w:r>
          </w:p>
        </w:tc>
        <w:tc>
          <w:tcPr>
            <w:tcW w:type="dxa" w:w="4896"/>
          </w:tcPr>
          <w:p>
            <w:r/>
            <w:r>
              <w:rPr>
                <w:sz w:val="20"/>
              </w:rPr>
              <w:t>Log content verification: each sampled event contains timestamp, user identity, source IP, action, and outcome</w:t>
            </w:r>
          </w:p>
        </w:tc>
        <w:tc>
          <w:tcPr>
            <w:tcW w:type="dxa" w:w="3744"/>
          </w:tcPr>
          <w:p>
            <w:r/>
            <w:r>
              <w:rPr>
                <w:sz w:val="20"/>
              </w:rPr>
              <w:t>Analysis of E-A3-01</w:t>
            </w:r>
          </w:p>
        </w:tc>
      </w:tr>
      <w:tr>
        <w:tc>
          <w:tcPr>
            <w:tcW w:type="dxa" w:w="864"/>
          </w:tcPr>
          <w:p>
            <w:r/>
            <w:r>
              <w:rPr>
                <w:sz w:val="20"/>
              </w:rPr>
              <w:t>E-A3-03</w:t>
            </w:r>
          </w:p>
        </w:tc>
        <w:tc>
          <w:tcPr>
            <w:tcW w:type="dxa" w:w="4896"/>
          </w:tcPr>
          <w:p>
            <w:r/>
            <w:r>
              <w:rPr>
                <w:sz w:val="20"/>
              </w:rPr>
              <w:t>Database persistence configuration: PostgreSQL volume definition ('database' volume) and backup/retention setting</w:t>
            </w:r>
          </w:p>
        </w:tc>
        <w:tc>
          <w:tcPr>
            <w:tcW w:type="dxa" w:w="3744"/>
          </w:tcPr>
          <w:p>
            <w:r/>
            <w:r>
              <w:rPr>
                <w:sz w:val="20"/>
              </w:rPr>
              <w:t>docker-compose.yml volumes section; backup procedure doc</w:t>
            </w:r>
          </w:p>
        </w:tc>
      </w:tr>
      <w:tr>
        <w:tc>
          <w:tcPr>
            <w:tcW w:type="dxa" w:w="864"/>
          </w:tcPr>
          <w:p>
            <w:r/>
            <w:r>
              <w:rPr>
                <w:sz w:val="20"/>
              </w:rPr>
              <w:t>E-A3-04</w:t>
            </w:r>
          </w:p>
        </w:tc>
        <w:tc>
          <w:tcPr>
            <w:tcW w:type="dxa" w:w="4896"/>
          </w:tcPr>
          <w:p>
            <w:r/>
            <w:r>
              <w:rPr>
                <w:sz w:val="20"/>
              </w:rPr>
              <w:t>CloudTrail trail configuration confirming AWS API activity logging for the EISP account/region</w:t>
            </w:r>
          </w:p>
        </w:tc>
        <w:tc>
          <w:tcPr>
            <w:tcW w:type="dxa" w:w="3744"/>
          </w:tcPr>
          <w:p>
            <w:r/>
            <w:r>
              <w:rPr>
                <w:sz w:val="20"/>
              </w:rPr>
              <w:t>AWS console export / Terraform (if managed)</w:t>
            </w:r>
          </w:p>
        </w:tc>
      </w:tr>
      <w:tr>
        <w:tc>
          <w:tcPr>
            <w:tcW w:type="dxa" w:w="864"/>
          </w:tcPr>
          <w:p>
            <w:r/>
            <w:r>
              <w:rPr>
                <w:sz w:val="20"/>
              </w:rPr>
              <w:t>E-A3-05</w:t>
            </w:r>
          </w:p>
        </w:tc>
        <w:tc>
          <w:tcPr>
            <w:tcW w:type="dxa" w:w="4896"/>
          </w:tcPr>
          <w:p>
            <w:r/>
            <w:r>
              <w:rPr>
                <w:sz w:val="20"/>
              </w:rPr>
              <w:t>Observation record: auditor-triggered test login observed appearing in the event log within the expected window</w:t>
            </w:r>
          </w:p>
        </w:tc>
        <w:tc>
          <w:tcPr>
            <w:tcW w:type="dxa" w:w="3744"/>
          </w:tcPr>
          <w:p>
            <w:r/>
            <w:r>
              <w:rPr>
                <w:sz w:val="20"/>
              </w:rPr>
              <w:t>Auditor observation notes with timestamps</w:t>
            </w:r>
          </w:p>
        </w:tc>
      </w:tr>
    </w:tbl>
    <w:p/>
    <w:p>
      <w:r>
        <w:t>Collection techniques: inspection of the event export (content completeness check against AU-3 fields); inspection of persistence/backup configuration; observation of live log generation; inquiry on the defined retention schedule and who can purge logs (segregation of duties).</w:t>
      </w:r>
    </w:p>
    <w:p>
      <w:r>
        <w:t>Documentation standards: event exports stored with export timestamp and row counts; content verification recorded in a checklist matrix; configuration excerpts versioned.</w:t>
      </w:r>
    </w:p>
    <w:p>
      <w:r>
        <w:t>Sufficiency criteria: all four event types present in the sample; 100% of sampled events contain the five required fields; retention schedule is documented and meets or exceeds 12 months; log purge requires a separate privileged action with its own audit trail.</w:t>
      </w:r>
    </w:p>
    <w:p>
      <w:pPr>
        <w:pStyle w:val="Heading1"/>
      </w:pPr>
      <w:r>
        <w:t>4. Compliance Assessment</w:t>
      </w:r>
    </w:p>
    <w:p>
      <w:pPr>
        <w:pStyle w:val="Heading2"/>
      </w:pPr>
      <w:r>
        <w:t>4.1 Testing Methodology</w:t>
      </w:r>
    </w:p>
    <w:p>
      <w:r>
        <w:t>Two levels of testing were applied to each control:</w:t>
      </w:r>
    </w:p>
    <w:p>
      <w:pPr>
        <w:pStyle w:val="ListBullet"/>
      </w:pPr>
      <w:r>
        <w:t>Test of design: does the control, as designed, address the risk if operated as prescribed? Performed by inspecting configurations and policy documents and walking through one transaction per process end-to-end (e.g., a developer federating via SAML → assuming EISP-Developer-Role → attempting an allowed and a denied action).</w:t>
      </w:r>
    </w:p>
    <w:p>
      <w:pPr>
        <w:pStyle w:val="ListBullet"/>
      </w:pPr>
      <w:r>
        <w:t>Test of operating effectiveness: did the control operate consistently over the audit period? Performed by reperformance and inspection of evidence generated during 1 August – 30 September 2026.</w:t>
      </w:r>
    </w:p>
    <w:p>
      <w:r>
        <w:t>Sampling approach: attribute sampling was used for operating-effectiveness tests. A sample of 25 items was selected for each population-based test (e.g., 25 authentication events for MFA-challenge verification; 12 allow/deny policy evaluations for EISP-A2, judgmentally stratified across allow, explicit-deny, and boundary-deny cases). A sample of 25 provides approximately 90% confidence of detecting deviations occurring at a 5%+ rate in the population — appropriate for a lab-scale environment where populations are small but controls are expected to operate without exception. Deviations found are extrapolated qualitatively: any confirmed deviation in a 'must never fail' control (e.g., MFA bypass) is treated as a finding regardless of rate.</w:t>
      </w:r>
    </w:p>
    <w:p>
      <w:pPr>
        <w:pStyle w:val="Heading2"/>
      </w:pPr>
      <w:r>
        <w:t>4.2 Findings Register</w:t>
      </w:r>
    </w:p>
    <w:p>
      <w:r>
        <w:t>Four findings were raised. No Critical or High findings were identified. Design strengths observed (not findings): the permission boundary's unconditional deny on billing/Organizations actions; the SAML:aud audience condition preventing assertion replay; the four-hour maximum session duration; explicit deny statements in the Developer policy for IAM and VPC modifications; and health-gated database startup (depends_on service_healthy) in the Compose deployment.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shd w:val="clear" w:fill="1F4E78"/>
          </w:tcPr>
          <w:p>
            <w:r/>
            <w:r>
              <w:rPr>
                <w:b/>
                <w:color w:val="FFFFFF"/>
                <w:sz w:val="20"/>
              </w:rPr>
              <w:t>Finding ID</w:t>
            </w:r>
          </w:p>
        </w:tc>
        <w:tc>
          <w:tcPr>
            <w:tcW w:type="dxa" w:w="1152"/>
            <w:shd w:val="clear" w:fill="1F4E78"/>
          </w:tcPr>
          <w:p>
            <w:r/>
            <w:r>
              <w:rPr>
                <w:b/>
                <w:color w:val="FFFFFF"/>
                <w:sz w:val="20"/>
              </w:rPr>
              <w:t>Control</w:t>
            </w:r>
          </w:p>
        </w:tc>
        <w:tc>
          <w:tcPr>
            <w:tcW w:type="dxa" w:w="1152"/>
            <w:shd w:val="clear" w:fill="1F4E78"/>
          </w:tcPr>
          <w:p>
            <w:r/>
            <w:r>
              <w:rPr>
                <w:b/>
                <w:color w:val="FFFFFF"/>
                <w:sz w:val="20"/>
              </w:rPr>
              <w:t>Severity</w:t>
            </w:r>
          </w:p>
        </w:tc>
        <w:tc>
          <w:tcPr>
            <w:tcW w:type="dxa" w:w="5904"/>
            <w:shd w:val="clear" w:fill="1F4E78"/>
          </w:tcPr>
          <w:p>
            <w:r/>
            <w:r>
              <w:rPr>
                <w:b/>
                <w:color w:val="FFFFFF"/>
                <w:sz w:val="20"/>
              </w:rPr>
              <w:t>Finding Description</w:t>
            </w:r>
          </w:p>
        </w:tc>
      </w:tr>
      <w:tr>
        <w:tc>
          <w:tcPr>
            <w:tcW w:type="dxa" w:w="1296"/>
          </w:tcPr>
          <w:p>
            <w:r/>
            <w:r>
              <w:rPr>
                <w:sz w:val="20"/>
              </w:rPr>
              <w:t>FIND-01</w:t>
            </w:r>
          </w:p>
        </w:tc>
        <w:tc>
          <w:tcPr>
            <w:tcW w:type="dxa" w:w="1152"/>
          </w:tcPr>
          <w:p>
            <w:r/>
            <w:r>
              <w:rPr>
                <w:sz w:val="20"/>
              </w:rPr>
              <w:t>EISP-A1</w:t>
            </w:r>
          </w:p>
        </w:tc>
        <w:tc>
          <w:tcPr>
            <w:tcW w:type="dxa" w:w="1152"/>
          </w:tcPr>
          <w:p>
            <w:r/>
            <w:r>
              <w:rPr>
                <w:sz w:val="20"/>
              </w:rPr>
              <w:t>Medium</w:t>
            </w:r>
          </w:p>
        </w:tc>
        <w:tc>
          <w:tcPr>
            <w:tcW w:type="dxa" w:w="5904"/>
          </w:tcPr>
          <w:p>
            <w:r/>
            <w:r>
              <w:rPr>
                <w:sz w:val="20"/>
              </w:rPr>
              <w:t>The LDAP outpost is configured with AUTHENTIK_INSECURE="true" (docker-compose.yml, authentik_ldap service), disabling TLS certificate verification between the outpost and the Authentik server. Acceptable in an isolated lab, but in any networked or production use this exposes LDAP bind traffic to interception and undermines the MFA/authentication guarantees.</w:t>
            </w:r>
          </w:p>
        </w:tc>
      </w:tr>
      <w:tr>
        <w:tc>
          <w:tcPr>
            <w:tcW w:type="dxa" w:w="1296"/>
          </w:tcPr>
          <w:p>
            <w:r/>
            <w:r>
              <w:rPr>
                <w:sz w:val="20"/>
              </w:rPr>
              <w:t>FIND-02</w:t>
            </w:r>
          </w:p>
        </w:tc>
        <w:tc>
          <w:tcPr>
            <w:tcW w:type="dxa" w:w="1152"/>
          </w:tcPr>
          <w:p>
            <w:r/>
            <w:r>
              <w:rPr>
                <w:sz w:val="20"/>
              </w:rPr>
              <w:t>EISP-A3</w:t>
            </w:r>
          </w:p>
        </w:tc>
        <w:tc>
          <w:tcPr>
            <w:tcW w:type="dxa" w:w="1152"/>
          </w:tcPr>
          <w:p>
            <w:r/>
            <w:r>
              <w:rPr>
                <w:sz w:val="20"/>
              </w:rPr>
              <w:t>Medium</w:t>
            </w:r>
          </w:p>
        </w:tc>
        <w:tc>
          <w:tcPr>
            <w:tcW w:type="dxa" w:w="5904"/>
          </w:tcPr>
          <w:p>
            <w:r/>
            <w:r>
              <w:rPr>
                <w:sz w:val="20"/>
              </w:rPr>
              <w:t>No documented log retention schedule exists for Authentik event data. The PostgreSQL 'database' volume provides persistence, but without a defined retention period, backup cadence, and disposal procedure, PCI DSS Requirement 10.7 (12-month retention, 3 months immediately available) cannot be evidenced.</w:t>
            </w:r>
          </w:p>
        </w:tc>
      </w:tr>
      <w:tr>
        <w:tc>
          <w:tcPr>
            <w:tcW w:type="dxa" w:w="1296"/>
          </w:tcPr>
          <w:p>
            <w:r/>
            <w:r>
              <w:rPr>
                <w:sz w:val="20"/>
              </w:rPr>
              <w:t>FIND-03</w:t>
            </w:r>
          </w:p>
        </w:tc>
        <w:tc>
          <w:tcPr>
            <w:tcW w:type="dxa" w:w="1152"/>
          </w:tcPr>
          <w:p>
            <w:r/>
            <w:r>
              <w:rPr>
                <w:sz w:val="20"/>
              </w:rPr>
              <w:t>EISP-A1</w:t>
            </w:r>
          </w:p>
        </w:tc>
        <w:tc>
          <w:tcPr>
            <w:tcW w:type="dxa" w:w="1152"/>
          </w:tcPr>
          <w:p>
            <w:r/>
            <w:r>
              <w:rPr>
                <w:sz w:val="20"/>
              </w:rPr>
              <w:t>Low</w:t>
            </w:r>
          </w:p>
        </w:tc>
        <w:tc>
          <w:tcPr>
            <w:tcW w:type="dxa" w:w="5904"/>
          </w:tcPr>
          <w:p>
            <w:r/>
            <w:r>
              <w:rPr>
                <w:sz w:val="20"/>
              </w:rPr>
              <w:t>Secrets (AUTHENTIK_SECRET_KEY, PostgreSQL credentials) are supplied via a local .env file with no documented handling, rotation, or access-restriction procedure. The .env file is the highest-value target in the deployment.</w:t>
            </w:r>
          </w:p>
        </w:tc>
      </w:tr>
      <w:tr>
        <w:tc>
          <w:tcPr>
            <w:tcW w:type="dxa" w:w="1296"/>
          </w:tcPr>
          <w:p>
            <w:r/>
            <w:r>
              <w:rPr>
                <w:sz w:val="20"/>
              </w:rPr>
              <w:t>FIND-04</w:t>
            </w:r>
          </w:p>
        </w:tc>
        <w:tc>
          <w:tcPr>
            <w:tcW w:type="dxa" w:w="1152"/>
          </w:tcPr>
          <w:p>
            <w:r/>
            <w:r>
              <w:rPr>
                <w:sz w:val="20"/>
              </w:rPr>
              <w:t>EISP-A2</w:t>
            </w:r>
          </w:p>
        </w:tc>
        <w:tc>
          <w:tcPr>
            <w:tcW w:type="dxa" w:w="1152"/>
          </w:tcPr>
          <w:p>
            <w:r/>
            <w:r>
              <w:rPr>
                <w:sz w:val="20"/>
              </w:rPr>
              <w:t>Low</w:t>
            </w:r>
          </w:p>
        </w:tc>
        <w:tc>
          <w:tcPr>
            <w:tcW w:type="dxa" w:w="5904"/>
          </w:tcPr>
          <w:p>
            <w:r/>
            <w:r>
              <w:rPr>
                <w:sz w:val="20"/>
              </w:rPr>
              <w:t>The worker service runs as root (user: root in docker-compose.yml). Container best practice is least-privilege execution; a compromised worker process inherits full container privileges.</w:t>
            </w:r>
          </w:p>
        </w:tc>
      </w:tr>
    </w:tbl>
    <w:p/>
    <w:p>
      <w:pPr>
        <w:pStyle w:val="Heading2"/>
      </w:pPr>
      <w:r>
        <w:t>4.3 Gap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fill="1F4E78"/>
          </w:tcPr>
          <w:p>
            <w:r/>
            <w:r>
              <w:rPr>
                <w:b/>
                <w:color w:val="FFFFFF"/>
                <w:sz w:val="20"/>
              </w:rPr>
              <w:t>Requirement (Source)</w:t>
            </w:r>
          </w:p>
        </w:tc>
        <w:tc>
          <w:tcPr>
            <w:tcW w:type="dxa" w:w="2736"/>
            <w:shd w:val="clear" w:fill="1F4E78"/>
          </w:tcPr>
          <w:p>
            <w:r/>
            <w:r>
              <w:rPr>
                <w:b/>
                <w:color w:val="FFFFFF"/>
                <w:sz w:val="20"/>
              </w:rPr>
              <w:t>Current State</w:t>
            </w:r>
          </w:p>
        </w:tc>
        <w:tc>
          <w:tcPr>
            <w:tcW w:type="dxa" w:w="2016"/>
            <w:shd w:val="clear" w:fill="1F4E78"/>
          </w:tcPr>
          <w:p>
            <w:r/>
            <w:r>
              <w:rPr>
                <w:b/>
                <w:color w:val="FFFFFF"/>
                <w:sz w:val="20"/>
              </w:rPr>
              <w:t>Gap</w:t>
            </w:r>
          </w:p>
        </w:tc>
        <w:tc>
          <w:tcPr>
            <w:tcW w:type="dxa" w:w="2016"/>
            <w:shd w:val="clear" w:fill="1F4E78"/>
          </w:tcPr>
          <w:p>
            <w:r/>
            <w:r>
              <w:rPr>
                <w:b/>
                <w:color w:val="FFFFFF"/>
                <w:sz w:val="20"/>
              </w:rPr>
              <w:t>Resulting Risk</w:t>
            </w:r>
          </w:p>
        </w:tc>
      </w:tr>
      <w:tr>
        <w:tc>
          <w:tcPr>
            <w:tcW w:type="dxa" w:w="2736"/>
          </w:tcPr>
          <w:p>
            <w:r/>
            <w:r>
              <w:rPr>
                <w:sz w:val="20"/>
              </w:rPr>
              <w:t>MFA for all human access (PCI DSS 8.4; NIST IA-2(1))</w:t>
            </w:r>
          </w:p>
        </w:tc>
        <w:tc>
          <w:tcPr>
            <w:tcW w:type="dxa" w:w="2736"/>
          </w:tcPr>
          <w:p>
            <w:r/>
            <w:r>
              <w:rPr>
                <w:sz w:val="20"/>
              </w:rPr>
              <w:t>MFA stage is mandatory in the Authentik authentication flow; enrollment verified for in-scope accounts</w:t>
            </w:r>
          </w:p>
        </w:tc>
        <w:tc>
          <w:tcPr>
            <w:tcW w:type="dxa" w:w="2016"/>
          </w:tcPr>
          <w:p>
            <w:r/>
            <w:r>
              <w:rPr>
                <w:sz w:val="20"/>
              </w:rPr>
              <w:t>No gap</w:t>
            </w:r>
          </w:p>
        </w:tc>
        <w:tc>
          <w:tcPr>
            <w:tcW w:type="dxa" w:w="2016"/>
          </w:tcPr>
          <w:p>
            <w:r/>
            <w:r>
              <w:rPr>
                <w:sz w:val="20"/>
              </w:rPr>
              <w:t>None — control effective</w:t>
            </w:r>
          </w:p>
        </w:tc>
      </w:tr>
      <w:tr>
        <w:tc>
          <w:tcPr>
            <w:tcW w:type="dxa" w:w="2736"/>
          </w:tcPr>
          <w:p>
            <w:r/>
            <w:r>
              <w:rPr>
                <w:sz w:val="20"/>
              </w:rPr>
              <w:t>Least privilege + hard ceiling (PCI DSS 7.2; NIST AC-6)</w:t>
            </w:r>
          </w:p>
        </w:tc>
        <w:tc>
          <w:tcPr>
            <w:tcW w:type="dxa" w:w="2736"/>
          </w:tcPr>
          <w:p>
            <w:r/>
            <w:r>
              <w:rPr>
                <w:sz w:val="20"/>
              </w:rPr>
              <w:t>Three least-privilege roles; EISP-PermissionBoundary attached to all roles with region condition and billing/org deny</w:t>
            </w:r>
          </w:p>
        </w:tc>
        <w:tc>
          <w:tcPr>
            <w:tcW w:type="dxa" w:w="2016"/>
          </w:tcPr>
          <w:p>
            <w:r/>
            <w:r>
              <w:rPr>
                <w:sz w:val="20"/>
              </w:rPr>
              <w:t>No gap</w:t>
            </w:r>
          </w:p>
        </w:tc>
        <w:tc>
          <w:tcPr>
            <w:tcW w:type="dxa" w:w="2016"/>
          </w:tcPr>
          <w:p>
            <w:r/>
            <w:r>
              <w:rPr>
                <w:sz w:val="20"/>
              </w:rPr>
              <w:t>None — control effective</w:t>
            </w:r>
          </w:p>
        </w:tc>
      </w:tr>
      <w:tr>
        <w:tc>
          <w:tcPr>
            <w:tcW w:type="dxa" w:w="2736"/>
          </w:tcPr>
          <w:p>
            <w:r/>
            <w:r>
              <w:rPr>
                <w:sz w:val="20"/>
              </w:rPr>
              <w:t>Secure LDAPS configuration (PCI DSS 4.2 — strong cryptography in transit)</w:t>
            </w:r>
          </w:p>
        </w:tc>
        <w:tc>
          <w:tcPr>
            <w:tcW w:type="dxa" w:w="2736"/>
          </w:tcPr>
          <w:p>
            <w:r/>
            <w:r>
              <w:rPr>
                <w:sz w:val="20"/>
              </w:rPr>
              <w:t>Outpost uses AUTHENTIK_INSECURE=true</w:t>
            </w:r>
          </w:p>
        </w:tc>
        <w:tc>
          <w:tcPr>
            <w:tcW w:type="dxa" w:w="2016"/>
          </w:tcPr>
          <w:p>
            <w:r/>
            <w:r>
              <w:rPr>
                <w:sz w:val="20"/>
              </w:rPr>
              <w:t>TLS verification disabled</w:t>
            </w:r>
          </w:p>
        </w:tc>
        <w:tc>
          <w:tcPr>
            <w:tcW w:type="dxa" w:w="2016"/>
          </w:tcPr>
          <w:p>
            <w:r/>
            <w:r>
              <w:rPr>
                <w:sz w:val="20"/>
              </w:rPr>
              <w:t>Medium — credential interception on the LDAP path (FIND-01)</w:t>
            </w:r>
          </w:p>
        </w:tc>
      </w:tr>
      <w:tr>
        <w:tc>
          <w:tcPr>
            <w:tcW w:type="dxa" w:w="2736"/>
          </w:tcPr>
          <w:p>
            <w:r/>
            <w:r>
              <w:rPr>
                <w:sz w:val="20"/>
              </w:rPr>
              <w:t>Audit log retention defined and enforced (PCI DSS 10.7; NIST AU-6)</w:t>
            </w:r>
          </w:p>
        </w:tc>
        <w:tc>
          <w:tcPr>
            <w:tcW w:type="dxa" w:w="2736"/>
          </w:tcPr>
          <w:p>
            <w:r/>
            <w:r>
              <w:rPr>
                <w:sz w:val="20"/>
              </w:rPr>
              <w:t>Logs generated and persisted; no retention schedule documented</w:t>
            </w:r>
          </w:p>
        </w:tc>
        <w:tc>
          <w:tcPr>
            <w:tcW w:type="dxa" w:w="2016"/>
          </w:tcPr>
          <w:p>
            <w:r/>
            <w:r>
              <w:rPr>
                <w:sz w:val="20"/>
              </w:rPr>
              <w:t>Retention undefined</w:t>
            </w:r>
          </w:p>
        </w:tc>
        <w:tc>
          <w:tcPr>
            <w:tcW w:type="dxa" w:w="2016"/>
          </w:tcPr>
          <w:p>
            <w:r/>
            <w:r>
              <w:rPr>
                <w:sz w:val="20"/>
              </w:rPr>
              <w:t>Medium — logs may be lost before investigations conclude (FIND-02)</w:t>
            </w:r>
          </w:p>
        </w:tc>
      </w:tr>
      <w:tr>
        <w:tc>
          <w:tcPr>
            <w:tcW w:type="dxa" w:w="2736"/>
          </w:tcPr>
          <w:p>
            <w:r/>
            <w:r>
              <w:rPr>
                <w:sz w:val="20"/>
              </w:rPr>
              <w:t>Secrets management (NIST IA-5; PCI DSS 8.6)</w:t>
            </w:r>
          </w:p>
        </w:tc>
        <w:tc>
          <w:tcPr>
            <w:tcW w:type="dxa" w:w="2736"/>
          </w:tcPr>
          <w:p>
            <w:r/>
            <w:r>
              <w:rPr>
                <w:sz w:val="20"/>
              </w:rPr>
              <w:t>Secrets in .env, handling undocumented</w:t>
            </w:r>
          </w:p>
        </w:tc>
        <w:tc>
          <w:tcPr>
            <w:tcW w:type="dxa" w:w="2016"/>
          </w:tcPr>
          <w:p>
            <w:r/>
            <w:r>
              <w:rPr>
                <w:sz w:val="20"/>
              </w:rPr>
              <w:t>No rotation/handling procedure</w:t>
            </w:r>
          </w:p>
        </w:tc>
        <w:tc>
          <w:tcPr>
            <w:tcW w:type="dxa" w:w="2016"/>
          </w:tcPr>
          <w:p>
            <w:r/>
            <w:r>
              <w:rPr>
                <w:sz w:val="20"/>
              </w:rPr>
              <w:t>Low — elevated impact if .env is exposed (FIND-03)</w:t>
            </w:r>
          </w:p>
        </w:tc>
      </w:tr>
      <w:tr>
        <w:tc>
          <w:tcPr>
            <w:tcW w:type="dxa" w:w="2736"/>
          </w:tcPr>
          <w:p>
            <w:r/>
            <w:r>
              <w:rPr>
                <w:sz w:val="20"/>
              </w:rPr>
              <w:t>Least-privilege execution (NIST CM-7; AC-6)</w:t>
            </w:r>
          </w:p>
        </w:tc>
        <w:tc>
          <w:tcPr>
            <w:tcW w:type="dxa" w:w="2736"/>
          </w:tcPr>
          <w:p>
            <w:r/>
            <w:r>
              <w:rPr>
                <w:sz w:val="20"/>
              </w:rPr>
              <w:t>Worker runs as root</w:t>
            </w:r>
          </w:p>
        </w:tc>
        <w:tc>
          <w:tcPr>
            <w:tcW w:type="dxa" w:w="2016"/>
          </w:tcPr>
          <w:p>
            <w:r/>
            <w:r>
              <w:rPr>
                <w:sz w:val="20"/>
              </w:rPr>
              <w:t>Excess container privilege</w:t>
            </w:r>
          </w:p>
        </w:tc>
        <w:tc>
          <w:tcPr>
            <w:tcW w:type="dxa" w:w="2016"/>
          </w:tcPr>
          <w:p>
            <w:r/>
            <w:r>
              <w:rPr>
                <w:sz w:val="20"/>
              </w:rPr>
              <w:t>Low — larger blast radius on compromise (FIND-04)</w:t>
            </w:r>
          </w:p>
        </w:tc>
      </w:tr>
    </w:tbl>
    <w:p/>
    <w:p>
      <w:pPr>
        <w:pStyle w:val="Heading1"/>
      </w:pPr>
      <w:r>
        <w:t>5. Remediation Plan</w:t>
      </w:r>
    </w:p>
    <w:p>
      <w:r>
        <w:t>Recommendations are prioritized by risk rating, then by implementation effort. Target dates assume a part-time project cadence.</w:t>
      </w:r>
    </w:p>
    <w:p>
      <w:pPr>
        <w:pStyle w:val="Heading2"/>
      </w:pPr>
      <w:r>
        <w:t>5.1 Prioritized Recommendations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152"/>
            <w:shd w:val="clear" w:fill="1F4E78"/>
          </w:tcPr>
          <w:p>
            <w:r/>
            <w:r>
              <w:rPr>
                <w:b/>
                <w:color w:val="FFFFFF"/>
                <w:sz w:val="20"/>
              </w:rPr>
              <w:t>Finding</w:t>
            </w:r>
          </w:p>
        </w:tc>
        <w:tc>
          <w:tcPr>
            <w:tcW w:type="dxa" w:w="1008"/>
            <w:shd w:val="clear" w:fill="1F4E78"/>
          </w:tcPr>
          <w:p>
            <w:r/>
            <w:r>
              <w:rPr>
                <w:b/>
                <w:color w:val="FFFFFF"/>
                <w:sz w:val="20"/>
              </w:rPr>
              <w:t>Risk</w:t>
            </w:r>
          </w:p>
        </w:tc>
        <w:tc>
          <w:tcPr>
            <w:tcW w:type="dxa" w:w="4032"/>
            <w:shd w:val="clear" w:fill="1F4E78"/>
          </w:tcPr>
          <w:p>
            <w:r/>
            <w:r>
              <w:rPr>
                <w:b/>
                <w:color w:val="FFFFFF"/>
                <w:sz w:val="20"/>
              </w:rPr>
              <w:t>Recommendation</w:t>
            </w:r>
          </w:p>
        </w:tc>
        <w:tc>
          <w:tcPr>
            <w:tcW w:type="dxa" w:w="1440"/>
            <w:shd w:val="clear" w:fill="1F4E78"/>
          </w:tcPr>
          <w:p>
            <w:r/>
            <w:r>
              <w:rPr>
                <w:b/>
                <w:color w:val="FFFFFF"/>
                <w:sz w:val="20"/>
              </w:rPr>
              <w:t>Owner</w:t>
            </w:r>
          </w:p>
        </w:tc>
        <w:tc>
          <w:tcPr>
            <w:tcW w:type="dxa" w:w="1440"/>
            <w:shd w:val="clear" w:fill="1F4E78"/>
          </w:tcPr>
          <w:p>
            <w:r/>
            <w:r>
              <w:rPr>
                <w:b/>
                <w:color w:val="FFFFFF"/>
                <w:sz w:val="20"/>
              </w:rPr>
              <w:t>Target Date</w:t>
            </w:r>
          </w:p>
        </w:tc>
        <w:tc>
          <w:tcPr>
            <w:tcW w:type="dxa" w:w="864"/>
            <w:shd w:val="clear" w:fill="1F4E78"/>
          </w:tcPr>
          <w:p>
            <w:r/>
            <w:r>
              <w:rPr>
                <w:b/>
                <w:color w:val="FFFFFF"/>
                <w:sz w:val="20"/>
              </w:rPr>
              <w:t>Effort</w:t>
            </w:r>
          </w:p>
        </w:tc>
      </w:tr>
      <w:tr>
        <w:tc>
          <w:tcPr>
            <w:tcW w:type="dxa" w:w="1152"/>
          </w:tcPr>
          <w:p>
            <w:r/>
            <w:r>
              <w:rPr>
                <w:sz w:val="20"/>
              </w:rPr>
              <w:t>FIND-01</w:t>
            </w:r>
          </w:p>
        </w:tc>
        <w:tc>
          <w:tcPr>
            <w:tcW w:type="dxa" w:w="1008"/>
          </w:tcPr>
          <w:p>
            <w:r/>
            <w:r>
              <w:rPr>
                <w:sz w:val="20"/>
              </w:rPr>
              <w:t>Medium</w:t>
            </w:r>
          </w:p>
        </w:tc>
        <w:tc>
          <w:tcPr>
            <w:tcW w:type="dxa" w:w="4032"/>
          </w:tcPr>
          <w:p>
            <w:r/>
            <w:r>
              <w:rPr>
                <w:sz w:val="20"/>
              </w:rPr>
              <w:t>Set AUTHENTIK_INSECURE=false and provision a valid TLS certificate trust chain between the LDAP outpost and the Authentik server; verify LDAPS on 636 with certificate validation in a reperformance test.</w:t>
            </w:r>
          </w:p>
        </w:tc>
        <w:tc>
          <w:tcPr>
            <w:tcW w:type="dxa" w:w="1440"/>
          </w:tcPr>
          <w:p>
            <w:r/>
            <w:r>
              <w:rPr>
                <w:sz w:val="20"/>
              </w:rPr>
              <w:t>IAM engineer</w:t>
            </w:r>
          </w:p>
        </w:tc>
        <w:tc>
          <w:tcPr>
            <w:tcW w:type="dxa" w:w="1440"/>
          </w:tcPr>
          <w:p>
            <w:r/>
            <w:r>
              <w:rPr>
                <w:sz w:val="20"/>
              </w:rPr>
              <w:t>2026-11-15</w:t>
            </w:r>
          </w:p>
        </w:tc>
        <w:tc>
          <w:tcPr>
            <w:tcW w:type="dxa" w:w="864"/>
          </w:tcPr>
          <w:p>
            <w:r/>
            <w:r>
              <w:rPr>
                <w:sz w:val="20"/>
              </w:rPr>
              <w:t>M</w:t>
            </w:r>
          </w:p>
        </w:tc>
      </w:tr>
      <w:tr>
        <w:tc>
          <w:tcPr>
            <w:tcW w:type="dxa" w:w="1152"/>
          </w:tcPr>
          <w:p>
            <w:r/>
            <w:r>
              <w:rPr>
                <w:sz w:val="20"/>
              </w:rPr>
              <w:t>FIND-02</w:t>
            </w:r>
          </w:p>
        </w:tc>
        <w:tc>
          <w:tcPr>
            <w:tcW w:type="dxa" w:w="1008"/>
          </w:tcPr>
          <w:p>
            <w:r/>
            <w:r>
              <w:rPr>
                <w:sz w:val="20"/>
              </w:rPr>
              <w:t>Medium</w:t>
            </w:r>
          </w:p>
        </w:tc>
        <w:tc>
          <w:tcPr>
            <w:tcW w:type="dxa" w:w="4032"/>
          </w:tcPr>
          <w:p>
            <w:r/>
            <w:r>
              <w:rPr>
                <w:sz w:val="20"/>
              </w:rPr>
              <w:t>Document and implement a log retention schedule: 12-month retention for Authentik event data (3 months hot in PostgreSQL, 9 months in backups); define backup cadence, restore test, and secure disposal procedure; assign a log custodian.</w:t>
            </w:r>
          </w:p>
        </w:tc>
        <w:tc>
          <w:tcPr>
            <w:tcW w:type="dxa" w:w="1440"/>
          </w:tcPr>
          <w:p>
            <w:r/>
            <w:r>
              <w:rPr>
                <w:sz w:val="20"/>
              </w:rPr>
              <w:t>IAM engineer</w:t>
            </w:r>
          </w:p>
        </w:tc>
        <w:tc>
          <w:tcPr>
            <w:tcW w:type="dxa" w:w="1440"/>
          </w:tcPr>
          <w:p>
            <w:r/>
            <w:r>
              <w:rPr>
                <w:sz w:val="20"/>
              </w:rPr>
              <w:t>2026-11-30</w:t>
            </w:r>
          </w:p>
        </w:tc>
        <w:tc>
          <w:tcPr>
            <w:tcW w:type="dxa" w:w="864"/>
          </w:tcPr>
          <w:p>
            <w:r/>
            <w:r>
              <w:rPr>
                <w:sz w:val="20"/>
              </w:rPr>
              <w:t>M</w:t>
            </w:r>
          </w:p>
        </w:tc>
      </w:tr>
      <w:tr>
        <w:tc>
          <w:tcPr>
            <w:tcW w:type="dxa" w:w="1152"/>
          </w:tcPr>
          <w:p>
            <w:r/>
            <w:r>
              <w:rPr>
                <w:sz w:val="20"/>
              </w:rPr>
              <w:t>FIND-03</w:t>
            </w:r>
          </w:p>
        </w:tc>
        <w:tc>
          <w:tcPr>
            <w:tcW w:type="dxa" w:w="1008"/>
          </w:tcPr>
          <w:p>
            <w:r/>
            <w:r>
              <w:rPr>
                <w:sz w:val="20"/>
              </w:rPr>
              <w:t>Low</w:t>
            </w:r>
          </w:p>
        </w:tc>
        <w:tc>
          <w:tcPr>
            <w:tcW w:type="dxa" w:w="4032"/>
          </w:tcPr>
          <w:p>
            <w:r/>
            <w:r>
              <w:rPr>
                <w:sz w:val="20"/>
              </w:rPr>
              <w:t>Move secrets out of the flat .env into a secrets manager (or at minimum: restrict file permissions to owner-only, add .env to .gitignore verification, document a 90-day rotation procedure for AUTHENTIK_SECRET_KEY and DB credentials).</w:t>
            </w:r>
          </w:p>
        </w:tc>
        <w:tc>
          <w:tcPr>
            <w:tcW w:type="dxa" w:w="1440"/>
          </w:tcPr>
          <w:p>
            <w:r/>
            <w:r>
              <w:rPr>
                <w:sz w:val="20"/>
              </w:rPr>
              <w:t>IAM engineer</w:t>
            </w:r>
          </w:p>
        </w:tc>
        <w:tc>
          <w:tcPr>
            <w:tcW w:type="dxa" w:w="1440"/>
          </w:tcPr>
          <w:p>
            <w:r/>
            <w:r>
              <w:rPr>
                <w:sz w:val="20"/>
              </w:rPr>
              <w:t>2026-11-30</w:t>
            </w:r>
          </w:p>
        </w:tc>
        <w:tc>
          <w:tcPr>
            <w:tcW w:type="dxa" w:w="864"/>
          </w:tcPr>
          <w:p>
            <w:r/>
            <w:r>
              <w:rPr>
                <w:sz w:val="20"/>
              </w:rPr>
              <w:t>S</w:t>
            </w:r>
          </w:p>
        </w:tc>
      </w:tr>
      <w:tr>
        <w:tc>
          <w:tcPr>
            <w:tcW w:type="dxa" w:w="1152"/>
          </w:tcPr>
          <w:p>
            <w:r/>
            <w:r>
              <w:rPr>
                <w:sz w:val="20"/>
              </w:rPr>
              <w:t>FIND-04</w:t>
            </w:r>
          </w:p>
        </w:tc>
        <w:tc>
          <w:tcPr>
            <w:tcW w:type="dxa" w:w="1008"/>
          </w:tcPr>
          <w:p>
            <w:r/>
            <w:r>
              <w:rPr>
                <w:sz w:val="20"/>
              </w:rPr>
              <w:t>Low</w:t>
            </w:r>
          </w:p>
        </w:tc>
        <w:tc>
          <w:tcPr>
            <w:tcW w:type="dxa" w:w="4032"/>
          </w:tcPr>
          <w:p>
            <w:r/>
            <w:r>
              <w:rPr>
                <w:sz w:val="20"/>
              </w:rPr>
              <w:t>Remove 'user: root' from the worker service; run as the least-privileged UID the image supports and re-test worker/outpost functionality.</w:t>
            </w:r>
          </w:p>
        </w:tc>
        <w:tc>
          <w:tcPr>
            <w:tcW w:type="dxa" w:w="1440"/>
          </w:tcPr>
          <w:p>
            <w:r/>
            <w:r>
              <w:rPr>
                <w:sz w:val="20"/>
              </w:rPr>
              <w:t>IAM engineer</w:t>
            </w:r>
          </w:p>
        </w:tc>
        <w:tc>
          <w:tcPr>
            <w:tcW w:type="dxa" w:w="1440"/>
          </w:tcPr>
          <w:p>
            <w:r/>
            <w:r>
              <w:rPr>
                <w:sz w:val="20"/>
              </w:rPr>
              <w:t>2026-11-15</w:t>
            </w:r>
          </w:p>
        </w:tc>
        <w:tc>
          <w:tcPr>
            <w:tcW w:type="dxa" w:w="864"/>
          </w:tcPr>
          <w:p>
            <w:r/>
            <w:r>
              <w:rPr>
                <w:sz w:val="20"/>
              </w:rPr>
              <w:t>S</w:t>
            </w:r>
          </w:p>
        </w:tc>
      </w:tr>
    </w:tbl>
    <w:p/>
    <w:p>
      <w:pPr>
        <w:pStyle w:val="Heading2"/>
      </w:pPr>
      <w:r>
        <w:t>5.2 Implementation Timeline</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1F4E78"/>
          </w:tcPr>
          <w:p>
            <w:r/>
            <w:r>
              <w:rPr>
                <w:b/>
                <w:color w:val="FFFFFF"/>
                <w:sz w:val="20"/>
              </w:rPr>
              <w:t>Phase</w:t>
            </w:r>
          </w:p>
        </w:tc>
        <w:tc>
          <w:tcPr>
            <w:tcW w:type="dxa" w:w="2304"/>
            <w:shd w:val="clear" w:fill="1F4E78"/>
          </w:tcPr>
          <w:p>
            <w:r/>
            <w:r>
              <w:rPr>
                <w:b/>
                <w:color w:val="FFFFFF"/>
                <w:sz w:val="20"/>
              </w:rPr>
              <w:t>Period</w:t>
            </w:r>
          </w:p>
        </w:tc>
        <w:tc>
          <w:tcPr>
            <w:tcW w:type="dxa" w:w="4896"/>
            <w:shd w:val="clear" w:fill="1F4E78"/>
          </w:tcPr>
          <w:p>
            <w:r/>
            <w:r>
              <w:rPr>
                <w:b/>
                <w:color w:val="FFFFFF"/>
                <w:sz w:val="20"/>
              </w:rPr>
              <w:t>Activities</w:t>
            </w:r>
          </w:p>
        </w:tc>
      </w:tr>
      <w:tr>
        <w:tc>
          <w:tcPr>
            <w:tcW w:type="dxa" w:w="2304"/>
          </w:tcPr>
          <w:p>
            <w:r/>
            <w:r>
              <w:rPr>
                <w:sz w:val="20"/>
              </w:rPr>
              <w:t>Phase 1 — Quick wins</w:t>
            </w:r>
          </w:p>
        </w:tc>
        <w:tc>
          <w:tcPr>
            <w:tcW w:type="dxa" w:w="2304"/>
          </w:tcPr>
          <w:p>
            <w:r/>
            <w:r>
              <w:rPr>
                <w:sz w:val="20"/>
              </w:rPr>
              <w:t>Weeks 1–2 (by 2026-11-15)</w:t>
            </w:r>
          </w:p>
        </w:tc>
        <w:tc>
          <w:tcPr>
            <w:tcW w:type="dxa" w:w="4896"/>
          </w:tcPr>
          <w:p>
            <w:r/>
            <w:r>
              <w:rPr>
                <w:sz w:val="20"/>
              </w:rPr>
              <w:t>FIND-01 (TLS for LDAP outpost) and FIND-04 (non-root worker); re-test and capture evidence</w:t>
            </w:r>
          </w:p>
        </w:tc>
      </w:tr>
      <w:tr>
        <w:tc>
          <w:tcPr>
            <w:tcW w:type="dxa" w:w="2304"/>
          </w:tcPr>
          <w:p>
            <w:r/>
            <w:r>
              <w:rPr>
                <w:sz w:val="20"/>
              </w:rPr>
              <w:t>Phase 2 — Governance</w:t>
            </w:r>
          </w:p>
        </w:tc>
        <w:tc>
          <w:tcPr>
            <w:tcW w:type="dxa" w:w="2304"/>
          </w:tcPr>
          <w:p>
            <w:r/>
            <w:r>
              <w:rPr>
                <w:sz w:val="20"/>
              </w:rPr>
              <w:t>Weeks 3–4 (by 2026-11-30)</w:t>
            </w:r>
          </w:p>
        </w:tc>
        <w:tc>
          <w:tcPr>
            <w:tcW w:type="dxa" w:w="4896"/>
          </w:tcPr>
          <w:p>
            <w:r/>
            <w:r>
              <w:rPr>
                <w:sz w:val="20"/>
              </w:rPr>
              <w:t>FIND-02 (retention schedule + backup/restore test) and FIND-03 (secrets handling procedure)</w:t>
            </w:r>
          </w:p>
        </w:tc>
      </w:tr>
      <w:tr>
        <w:tc>
          <w:tcPr>
            <w:tcW w:type="dxa" w:w="2304"/>
          </w:tcPr>
          <w:p>
            <w:r/>
            <w:r>
              <w:rPr>
                <w:sz w:val="20"/>
              </w:rPr>
              <w:t>Phase 3 — Validation</w:t>
            </w:r>
          </w:p>
        </w:tc>
        <w:tc>
          <w:tcPr>
            <w:tcW w:type="dxa" w:w="2304"/>
          </w:tcPr>
          <w:p>
            <w:r/>
            <w:r>
              <w:rPr>
                <w:sz w:val="20"/>
              </w:rPr>
              <w:t>Week 5</w:t>
            </w:r>
          </w:p>
        </w:tc>
        <w:tc>
          <w:tcPr>
            <w:tcW w:type="dxa" w:w="4896"/>
          </w:tcPr>
          <w:p>
            <w:r/>
            <w:r>
              <w:rPr>
                <w:sz w:val="20"/>
              </w:rPr>
              <w:t>Independent validation of all four remediations; update evidence log; close or re-date findings</w:t>
            </w:r>
          </w:p>
        </w:tc>
      </w:tr>
    </w:tbl>
    <w:p/>
    <w:p>
      <w:pPr>
        <w:pStyle w:val="Heading2"/>
      </w:pPr>
      <w:r>
        <w:t>5.3 Progress Tracking Methods</w:t>
      </w:r>
    </w:p>
    <w:p>
      <w:r>
        <w:t>A remediation tracker (spreadsheet) is maintained with the following fields: Finding ID, recommendation, risk rating, owner, target date, revised date (if any), status, evidence of completion, validator, and close date.</w:t>
      </w:r>
    </w:p>
    <w:p>
      <w:r>
        <w:t>Status definitions:</w:t>
      </w:r>
    </w:p>
    <w:p>
      <w:pPr>
        <w:pStyle w:val="ListBullet"/>
      </w:pPr>
      <w:r>
        <w:t>Open — recommendation agreed, work not started.</w:t>
      </w:r>
    </w:p>
    <w:p>
      <w:pPr>
        <w:pStyle w:val="ListBullet"/>
      </w:pPr>
      <w:r>
        <w:t>In Progress — remediation work underway.</w:t>
      </w:r>
    </w:p>
    <w:p>
      <w:pPr>
        <w:pStyle w:val="ListBullet"/>
      </w:pPr>
      <w:r>
        <w:t>Awaiting Validation — owner asserts completion; validator has not yet re-tested.</w:t>
      </w:r>
    </w:p>
    <w:p>
      <w:pPr>
        <w:pStyle w:val="ListBullet"/>
      </w:pPr>
      <w:r>
        <w:t>Closed — validator confirmed effective remediation with evidence.</w:t>
      </w:r>
    </w:p>
    <w:p>
      <w:pPr>
        <w:pStyle w:val="ListBullet"/>
      </w:pPr>
      <w:r>
        <w:t>Deferred — formally risk-accepted by the project lead with rationale and review date (requires documented acceptance).</w:t>
      </w:r>
    </w:p>
    <w:p>
      <w:r>
        <w:t>Metrics reported: % of findings remediated on time; aging of open findings (days past target); % of remediations passing validation on first attempt.</w:t>
      </w:r>
    </w:p>
    <w:p>
      <w:r>
        <w:t>Reporting cadence: the IAM engineer updates the tracker weekly; a summary (open findings, overdue items, newly closed) is reviewed with the project lead every two weeks until all Medium findings are closed.</w:t>
      </w:r>
    </w:p>
    <w:p>
      <w:pPr>
        <w:pStyle w:val="Heading1"/>
      </w:pPr>
      <w:r>
        <w:t>6. Conclusion</w:t>
      </w:r>
    </w:p>
    <w:p>
      <w:r>
        <w:t>The audit of EISP authentication controls found a well-architected IAM implementation: mandatory MFA through Authentik, least-privilege RBAC roles constrained by a Zero Trust permission boundary, SAML federation hardened against assertion replay, and time-limited sessions. Evidence collection across the three in-scope controls (EISP-A1, EISP-A2, EISP-A3) was sufficient to support the assessment, and testing methodology combined design review with reperformance-based effectiveness testing.</w:t>
      </w:r>
    </w:p>
    <w:p>
      <w:r>
        <w:t>Four findings (two Medium, two Low) were raised, all remediable within the existing architecture — none requires redesign, and none indicates compromise. The highest-value improvements are enabling TLS verification on the LDAP outpost and formalizing log retention, both of which directly strengthen the evidentiary basis for PCI DSS Requirements 4, 8, and 10. Execution of the Section 5 remediation plan, with disciplined tracking to closure, will bring EISP's authentication controls to a demonstrably compliant state suitable for showcasing IAM engineering competence.</w:t>
      </w:r>
    </w:p>
    <w:sectPr w:rsidR="00FC693F" w:rsidRPr="0006063C" w:rsidSect="00034616">
      <w:footerReference w:type="default" r:id="rId9"/>
      <w:pgSz w:w="12240" w:h="15840"/>
      <w:pgMar w:top="1296"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 xml:space="preserve">CMP-EISP-03  |  Enterprise Identity Security Platform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