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32"/>
        </w:rPr>
        <w:t>ENTERPRISE IDENTITY SECURITY PLATFORM (EISP)</w:t>
      </w:r>
    </w:p>
    <w:p>
      <w:pPr>
        <w:jc w:val="center"/>
      </w:pPr>
      <w:r>
        <w:rPr>
          <w:b/>
          <w:color w:val="1F4E79"/>
          <w:sz w:val="44"/>
        </w:rPr>
        <w:t>Documentation &amp; Reporting</w:t>
      </w:r>
    </w:p>
    <w:p/>
    <w:p>
      <w:pPr>
        <w:jc w:val="center"/>
      </w:pPr>
      <w:r>
        <w:rPr>
          <w:b/>
          <w:sz w:val="24"/>
        </w:rPr>
        <w:t xml:space="preserve">Document ID: </w:t>
      </w:r>
      <w:r>
        <w:rPr>
          <w:sz w:val="24"/>
        </w:rPr>
        <w:t>CMP-EISP-04</w:t>
      </w:r>
    </w:p>
    <w:p>
      <w:pPr>
        <w:jc w:val="center"/>
      </w:pPr>
      <w:r>
        <w:rPr>
          <w:b/>
          <w:sz w:val="24"/>
        </w:rPr>
        <w:t xml:space="preserve">Version: </w:t>
      </w:r>
      <w:r>
        <w:rPr>
          <w:sz w:val="24"/>
        </w:rPr>
        <w:t>1.0</w:t>
      </w:r>
    </w:p>
    <w:p>
      <w:pPr>
        <w:jc w:val="center"/>
      </w:pPr>
      <w:r>
        <w:rPr>
          <w:b/>
          <w:sz w:val="24"/>
        </w:rPr>
        <w:t xml:space="preserve">Date: </w:t>
      </w:r>
      <w:r>
        <w:rPr>
          <w:sz w:val="24"/>
        </w:rPr>
        <w:t>October 2026</w:t>
      </w:r>
    </w:p>
    <w:p>
      <w:pPr>
        <w:jc w:val="center"/>
      </w:pPr>
      <w:r>
        <w:rPr>
          <w:b/>
          <w:sz w:val="24"/>
        </w:rPr>
        <w:t xml:space="preserve">Prepared by: </w:t>
      </w:r>
      <w:r>
        <w:rPr>
          <w:sz w:val="24"/>
        </w:rPr>
        <w:t>Manisha Gupta</w:t>
      </w:r>
    </w:p>
    <w:p>
      <w:pPr>
        <w:jc w:val="center"/>
      </w:pPr>
      <w:r>
        <w:rPr>
          <w:b/>
          <w:sz w:val="24"/>
        </w:rPr>
        <w:t xml:space="preserve">Classification: </w:t>
      </w:r>
      <w:r>
        <w:rPr>
          <w:sz w:val="24"/>
        </w:rPr>
        <w:t>Confidential</w:t>
      </w:r>
    </w:p>
    <w:p>
      <w:r>
        <w:br w:type="page"/>
      </w:r>
    </w:p>
    <w:p>
      <w:pPr>
        <w:pStyle w:val="Heading1"/>
      </w:pPr>
      <w:r>
        <w:t>1. Executive Summary</w:t>
      </w:r>
    </w:p>
    <w:p>
      <w:r>
        <w:rPr>
          <w:b w:val="0"/>
          <w:i w:val="0"/>
        </w:rPr>
        <w:t>This document defines the documentation, reporting, records management, and continuous monitoring framework for the Enterprise Identity Security Platform (EISP) — an Authentik-based identity provider with Terraform-managed AWS IAM, built as an IAM-engineer hands-on project.</w:t>
      </w:r>
    </w:p>
    <w:p>
      <w:r>
        <w:rPr>
          <w:b w:val="0"/>
          <w:i w:val="0"/>
        </w:rPr>
        <w:t>EISP centralizes authentication and identity lifecycle management. Authentik (server and worker services, version 2026.2.2) runs on Docker Compose backed by a PostgreSQL 16 database, with an LDAP outpost exposing LDAPS for legacy application integration and SAML federation (authentik-saml) into AWS. Access to AWS is governed by three Terraform-managed RBAC roles — EISP-Developer-Role, EISP-SecurityAnalyst-Role, and EISP-IAMEngineer-Role — each bound by the EISP-PermissionBoundary Zero Trust ceiling (us-east-1 only; billing and organization actions explicitly denied), 4-hour STS session limits, and explicit-deny statements that block privilege escalation.</w:t>
      </w:r>
    </w:p>
    <w:p>
      <w:r>
        <w:rPr>
          <w:b w:val="0"/>
          <w:i w:val="0"/>
        </w:rPr>
        <w:t>Documentation is the backbone of every compliance program. PCI DSS v4.0 Requirement 12, the NIST SP 800-53 CA (Assessment, Authorization, and Monitoring) family, and Sarbanes-Oxley expectations all require the same thing: documented policies, documented procedures, and retained evidence proving the controls operate. A control without documentation cannot be tested; a test without evidence cannot satisfy an auditor.</w:t>
      </w:r>
    </w:p>
    <w:p>
      <w:r>
        <w:rPr>
          <w:b w:val="0"/>
          <w:i w:val="0"/>
        </w:rPr>
        <w:t>This document provides four things: (1) a documentation package — hierarchy, standard templates, version control, distribution, and a controlled document inventory; (2) a complete sample quarterly compliance status report written as a real management deliverable; (3) record management procedures including classification and a retention schedule; and (4) a monitoring system with KPIs, a reporting framework, and escalation criteria. Together they make EISP's compliance posture demonstrable, repeatable, and auditable.</w:t>
      </w:r>
    </w:p>
    <w:p>
      <w:r>
        <w:rPr>
          <w:b w:val="0"/>
          <w:i/>
        </w:rPr>
        <w:t>Intended audience: project stakeholders and assessors, the IAM engineer operating EISP, and any internal or external auditor evaluating the platform's controls.</w:t>
      </w:r>
    </w:p>
    <w:p>
      <w:pPr>
        <w:pStyle w:val="Heading1"/>
      </w:pPr>
      <w:r>
        <w:t>2. Documentation Package</w:t>
      </w:r>
    </w:p>
    <w:p>
      <w:r>
        <w:rPr>
          <w:b w:val="0"/>
          <w:i w:val="0"/>
        </w:rPr>
        <w:t>A documentation package is the controlled set of documents that describes what the compliance program requires, how it operates, and what evidence it produces. For EISP it ensures that identity and access decisions — who gets access, to what, approved by whom — are written down, versioned, and retrievable.</w:t>
      </w:r>
    </w:p>
    <w:p>
      <w:pPr>
        <w:pStyle w:val="Heading2"/>
      </w:pPr>
      <w:r>
        <w:t>2.1 Document Hierarchy</w:t>
      </w:r>
    </w:p>
    <w:p>
      <w:r>
        <w:rPr>
          <w:b w:val="0"/>
          <w:i w:val="0"/>
        </w:rPr>
        <w:t>EISP uses a five-level documentation hierarchy. Each level has a distinct purpose, authority, and review cycle: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20"/>
              </w:rPr>
              <w:t>Level</w:t>
            </w:r>
          </w:p>
        </w:tc>
        <w:tc>
          <w:tcPr>
            <w:tcW w:type="dxa" w:w="1440"/>
            <w:shd w:val="clear" w:fill="1F4E79"/>
          </w:tcPr>
          <w:p>
            <w:r/>
            <w:r>
              <w:rPr>
                <w:b/>
                <w:color w:val="FFFFFF"/>
                <w:sz w:val="20"/>
              </w:rPr>
              <w:t>Type</w:t>
            </w:r>
          </w:p>
        </w:tc>
        <w:tc>
          <w:tcPr>
            <w:tcW w:type="dxa" w:w="1440"/>
            <w:shd w:val="clear" w:fill="1F4E79"/>
          </w:tcPr>
          <w:p>
            <w:r/>
            <w:r>
              <w:rPr>
                <w:b/>
                <w:color w:val="FFFFFF"/>
                <w:sz w:val="20"/>
              </w:rPr>
              <w:t>Description</w:t>
            </w:r>
          </w:p>
        </w:tc>
        <w:tc>
          <w:tcPr>
            <w:tcW w:type="dxa" w:w="1440"/>
            <w:shd w:val="clear" w:fill="1F4E79"/>
          </w:tcPr>
          <w:p>
            <w:r/>
            <w:r>
              <w:rPr>
                <w:b/>
                <w:color w:val="FFFFFF"/>
                <w:sz w:val="20"/>
              </w:rPr>
              <w:t>EISP Example</w:t>
            </w:r>
          </w:p>
        </w:tc>
        <w:tc>
          <w:tcPr>
            <w:tcW w:type="dxa" w:w="1440"/>
            <w:shd w:val="clear" w:fill="1F4E79"/>
          </w:tcPr>
          <w:p>
            <w:r/>
            <w:r>
              <w:rPr>
                <w:b/>
                <w:color w:val="FFFFFF"/>
                <w:sz w:val="20"/>
              </w:rPr>
              <w:t>Approval Authority</w:t>
            </w:r>
          </w:p>
        </w:tc>
        <w:tc>
          <w:tcPr>
            <w:tcW w:type="dxa" w:w="1440"/>
            <w:shd w:val="clear" w:fill="1F4E79"/>
          </w:tcPr>
          <w:p>
            <w:r/>
            <w:r>
              <w:rPr>
                <w:b/>
                <w:color w:val="FFFFFF"/>
                <w:sz w:val="20"/>
              </w:rPr>
              <w:t>Review Cycle</w:t>
            </w:r>
          </w:p>
        </w:tc>
      </w:tr>
      <w:tr>
        <w:tc>
          <w:tcPr>
            <w:tcW w:type="dxa" w:w="1440"/>
          </w:tcPr>
          <w:p>
            <w:r>
              <w:rPr>
                <w:sz w:val="20"/>
              </w:rPr>
              <w:t>L1</w:t>
            </w:r>
          </w:p>
        </w:tc>
        <w:tc>
          <w:tcPr>
            <w:tcW w:type="dxa" w:w="1440"/>
          </w:tcPr>
          <w:p>
            <w:r>
              <w:rPr>
                <w:sz w:val="20"/>
              </w:rPr>
              <w:t>Policy</w:t>
            </w:r>
          </w:p>
        </w:tc>
        <w:tc>
          <w:tcPr>
            <w:tcW w:type="dxa" w:w="1440"/>
          </w:tcPr>
          <w:p>
            <w:r>
              <w:rPr>
                <w:sz w:val="20"/>
              </w:rPr>
              <w:t>Management statement of intent; mandatory; states what must be achieved.</w:t>
            </w:r>
          </w:p>
        </w:tc>
        <w:tc>
          <w:tcPr>
            <w:tcW w:type="dxa" w:w="1440"/>
          </w:tcPr>
          <w:p>
            <w:r>
              <w:rPr>
                <w:sz w:val="20"/>
              </w:rPr>
              <w:t>EISP Access Control Policy</w:t>
            </w:r>
          </w:p>
        </w:tc>
        <w:tc>
          <w:tcPr>
            <w:tcW w:type="dxa" w:w="1440"/>
          </w:tcPr>
          <w:p>
            <w:r>
              <w:rPr>
                <w:sz w:val="20"/>
              </w:rPr>
              <w:t>Project sponsor / CCO</w:t>
            </w:r>
          </w:p>
        </w:tc>
        <w:tc>
          <w:tcPr>
            <w:tcW w:type="dxa" w:w="1440"/>
          </w:tcPr>
          <w:p>
            <w:r>
              <w:rPr>
                <w:sz w:val="20"/>
              </w:rPr>
              <w:t>Annual</w:t>
            </w:r>
          </w:p>
        </w:tc>
      </w:tr>
      <w:tr>
        <w:tc>
          <w:tcPr>
            <w:tcW w:type="dxa" w:w="1440"/>
          </w:tcPr>
          <w:p>
            <w:r>
              <w:rPr>
                <w:sz w:val="20"/>
              </w:rPr>
              <w:t>L2</w:t>
            </w:r>
          </w:p>
        </w:tc>
        <w:tc>
          <w:tcPr>
            <w:tcW w:type="dxa" w:w="1440"/>
          </w:tcPr>
          <w:p>
            <w:r>
              <w:rPr>
                <w:sz w:val="20"/>
              </w:rPr>
              <w:t>Standard</w:t>
            </w:r>
          </w:p>
        </w:tc>
        <w:tc>
          <w:tcPr>
            <w:tcW w:type="dxa" w:w="1440"/>
          </w:tcPr>
          <w:p>
            <w:r>
              <w:rPr>
                <w:sz w:val="20"/>
              </w:rPr>
              <w:t>Mandatory technical or operational rules implementing a policy.</w:t>
            </w:r>
          </w:p>
        </w:tc>
        <w:tc>
          <w:tcPr>
            <w:tcW w:type="dxa" w:w="1440"/>
          </w:tcPr>
          <w:p>
            <w:r>
              <w:rPr>
                <w:sz w:val="20"/>
              </w:rPr>
              <w:t>Password &amp; MFA Standard; Logging &amp; Monitoring Standard</w:t>
            </w:r>
          </w:p>
        </w:tc>
        <w:tc>
          <w:tcPr>
            <w:tcW w:type="dxa" w:w="1440"/>
          </w:tcPr>
          <w:p>
            <w:r>
              <w:rPr>
                <w:sz w:val="20"/>
              </w:rPr>
              <w:t>CCO</w:t>
            </w:r>
          </w:p>
        </w:tc>
        <w:tc>
          <w:tcPr>
            <w:tcW w:type="dxa" w:w="1440"/>
          </w:tcPr>
          <w:p>
            <w:r>
              <w:rPr>
                <w:sz w:val="20"/>
              </w:rPr>
              <w:t>Annual</w:t>
            </w:r>
          </w:p>
        </w:tc>
      </w:tr>
      <w:tr>
        <w:tc>
          <w:tcPr>
            <w:tcW w:type="dxa" w:w="1440"/>
          </w:tcPr>
          <w:p>
            <w:r>
              <w:rPr>
                <w:sz w:val="20"/>
              </w:rPr>
              <w:t>L3</w:t>
            </w:r>
          </w:p>
        </w:tc>
        <w:tc>
          <w:tcPr>
            <w:tcW w:type="dxa" w:w="1440"/>
          </w:tcPr>
          <w:p>
            <w:r>
              <w:rPr>
                <w:sz w:val="20"/>
              </w:rPr>
              <w:t>Procedure</w:t>
            </w:r>
          </w:p>
        </w:tc>
        <w:tc>
          <w:tcPr>
            <w:tcW w:type="dxa" w:w="1440"/>
          </w:tcPr>
          <w:p>
            <w:r>
              <w:rPr>
                <w:sz w:val="20"/>
              </w:rPr>
              <w:t>Step-by-step instructions for executing a process.</w:t>
            </w:r>
          </w:p>
        </w:tc>
        <w:tc>
          <w:tcPr>
            <w:tcW w:type="dxa" w:w="1440"/>
          </w:tcPr>
          <w:p>
            <w:r>
              <w:rPr>
                <w:sz w:val="20"/>
              </w:rPr>
              <w:t>Quarterly User Access Review Procedure; Joiner/Mover/Leaver Provisioning Procedure</w:t>
            </w:r>
          </w:p>
        </w:tc>
        <w:tc>
          <w:tcPr>
            <w:tcW w:type="dxa" w:w="1440"/>
          </w:tcPr>
          <w:p>
            <w:r>
              <w:rPr>
                <w:sz w:val="20"/>
              </w:rPr>
              <w:t>IAM Engineer lead</w:t>
            </w:r>
          </w:p>
        </w:tc>
        <w:tc>
          <w:tcPr>
            <w:tcW w:type="dxa" w:w="1440"/>
          </w:tcPr>
          <w:p>
            <w:r>
              <w:rPr>
                <w:sz w:val="20"/>
              </w:rPr>
              <w:t>Annual or on change</w:t>
            </w:r>
          </w:p>
        </w:tc>
      </w:tr>
      <w:tr>
        <w:tc>
          <w:tcPr>
            <w:tcW w:type="dxa" w:w="1440"/>
          </w:tcPr>
          <w:p>
            <w:r>
              <w:rPr>
                <w:sz w:val="20"/>
              </w:rPr>
              <w:t>L4</w:t>
            </w:r>
          </w:p>
        </w:tc>
        <w:tc>
          <w:tcPr>
            <w:tcW w:type="dxa" w:w="1440"/>
          </w:tcPr>
          <w:p>
            <w:r>
              <w:rPr>
                <w:sz w:val="20"/>
              </w:rPr>
              <w:t>Guideline</w:t>
            </w:r>
          </w:p>
        </w:tc>
        <w:tc>
          <w:tcPr>
            <w:tcW w:type="dxa" w:w="1440"/>
          </w:tcPr>
          <w:p>
            <w:r>
              <w:rPr>
                <w:sz w:val="20"/>
              </w:rPr>
              <w:t>Recommended (non-mandatory) practices.</w:t>
            </w:r>
          </w:p>
        </w:tc>
        <w:tc>
          <w:tcPr>
            <w:tcW w:type="dxa" w:w="1440"/>
          </w:tcPr>
          <w:p>
            <w:r>
              <w:rPr>
                <w:sz w:val="20"/>
              </w:rPr>
              <w:t>Secure Terraform Development Guideline</w:t>
            </w:r>
          </w:p>
        </w:tc>
        <w:tc>
          <w:tcPr>
            <w:tcW w:type="dxa" w:w="1440"/>
          </w:tcPr>
          <w:p>
            <w:r>
              <w:rPr>
                <w:sz w:val="20"/>
              </w:rPr>
              <w:t>IAM Engineer</w:t>
            </w:r>
          </w:p>
        </w:tc>
        <w:tc>
          <w:tcPr>
            <w:tcW w:type="dxa" w:w="1440"/>
          </w:tcPr>
          <w:p>
            <w:r>
              <w:rPr>
                <w:sz w:val="20"/>
              </w:rPr>
              <w:t>As needed</w:t>
            </w:r>
          </w:p>
        </w:tc>
      </w:tr>
      <w:tr>
        <w:tc>
          <w:tcPr>
            <w:tcW w:type="dxa" w:w="1440"/>
          </w:tcPr>
          <w:p>
            <w:r>
              <w:rPr>
                <w:sz w:val="20"/>
              </w:rPr>
              <w:t>L5</w:t>
            </w:r>
          </w:p>
        </w:tc>
        <w:tc>
          <w:tcPr>
            <w:tcW w:type="dxa" w:w="1440"/>
          </w:tcPr>
          <w:p>
            <w:r>
              <w:rPr>
                <w:sz w:val="20"/>
              </w:rPr>
              <w:t>Record</w:t>
            </w:r>
          </w:p>
        </w:tc>
        <w:tc>
          <w:tcPr>
            <w:tcW w:type="dxa" w:w="1440"/>
          </w:tcPr>
          <w:p>
            <w:r>
              <w:rPr>
                <w:sz w:val="20"/>
              </w:rPr>
              <w:t>Evidence that an activity was performed.</w:t>
            </w:r>
          </w:p>
        </w:tc>
        <w:tc>
          <w:tcPr>
            <w:tcW w:type="dxa" w:w="1440"/>
          </w:tcPr>
          <w:p>
            <w:r>
              <w:rPr>
                <w:sz w:val="20"/>
              </w:rPr>
              <w:t>Signed access-review worksheets; Authentik event log exports</w:t>
            </w:r>
          </w:p>
        </w:tc>
        <w:tc>
          <w:tcPr>
            <w:tcW w:type="dxa" w:w="1440"/>
          </w:tcPr>
          <w:p>
            <w:r>
              <w:rPr>
                <w:sz w:val="20"/>
              </w:rPr>
              <w:t>N/A (generated)</w:t>
            </w:r>
          </w:p>
        </w:tc>
        <w:tc>
          <w:tcPr>
            <w:tcW w:type="dxa" w:w="1440"/>
          </w:tcPr>
          <w:p>
            <w:r>
              <w:rPr>
                <w:sz w:val="20"/>
              </w:rPr>
              <w:t>N/A</w:t>
            </w:r>
          </w:p>
        </w:tc>
      </w:tr>
    </w:tbl>
    <w:p/>
    <w:p>
      <w:r>
        <w:rPr>
          <w:b w:val="0"/>
          <w:i w:val="0"/>
        </w:rPr>
        <w:t>The levels connect downward and upward: policies require standards, standards are implemented by procedures, and records prove procedures were followed. An auditor starts at L5 (records) and traces upward to L1 (policy) to confirm the control environment is complete.</w:t>
      </w:r>
    </w:p>
    <w:p>
      <w:pPr>
        <w:pStyle w:val="Heading2"/>
      </w:pPr>
      <w:r>
        <w:t>2.2 Standard Templates Inventory</w:t>
      </w:r>
    </w:p>
    <w:p>
      <w:r>
        <w:rPr>
          <w:b w:val="0"/>
          <w:i w:val="0"/>
        </w:rPr>
        <w:t>Standard templates keep every EISP document consistent in structure and enforce required sections (purpose, scope, responsibilities, approval). The controlled template set 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Template ID</w:t>
            </w:r>
          </w:p>
        </w:tc>
        <w:tc>
          <w:tcPr>
            <w:tcW w:type="dxa" w:w="2160"/>
            <w:shd w:val="clear" w:fill="1F4E79"/>
          </w:tcPr>
          <w:p>
            <w:r/>
            <w:r>
              <w:rPr>
                <w:b/>
                <w:color w:val="FFFFFF"/>
                <w:sz w:val="20"/>
              </w:rPr>
              <w:t>Template Name</w:t>
            </w:r>
          </w:p>
        </w:tc>
        <w:tc>
          <w:tcPr>
            <w:tcW w:type="dxa" w:w="2160"/>
            <w:shd w:val="clear" w:fill="1F4E79"/>
          </w:tcPr>
          <w:p>
            <w:r/>
            <w:r>
              <w:rPr>
                <w:b/>
                <w:color w:val="FFFFFF"/>
                <w:sz w:val="20"/>
              </w:rPr>
              <w:t>Purpose</w:t>
            </w:r>
          </w:p>
        </w:tc>
        <w:tc>
          <w:tcPr>
            <w:tcW w:type="dxa" w:w="2160"/>
            <w:shd w:val="clear" w:fill="1F4E79"/>
          </w:tcPr>
          <w:p>
            <w:r/>
            <w:r>
              <w:rPr>
                <w:b/>
                <w:color w:val="FFFFFF"/>
                <w:sz w:val="20"/>
              </w:rPr>
              <w:t>Owner</w:t>
            </w:r>
          </w:p>
        </w:tc>
      </w:tr>
      <w:tr>
        <w:tc>
          <w:tcPr>
            <w:tcW w:type="dxa" w:w="2160"/>
          </w:tcPr>
          <w:p>
            <w:r>
              <w:rPr>
                <w:sz w:val="20"/>
              </w:rPr>
              <w:t>TMP-POL-01</w:t>
            </w:r>
          </w:p>
        </w:tc>
        <w:tc>
          <w:tcPr>
            <w:tcW w:type="dxa" w:w="2160"/>
          </w:tcPr>
          <w:p>
            <w:r>
              <w:rPr>
                <w:sz w:val="20"/>
              </w:rPr>
              <w:t>Policy Template</w:t>
            </w:r>
          </w:p>
        </w:tc>
        <w:tc>
          <w:tcPr>
            <w:tcW w:type="dxa" w:w="2160"/>
          </w:tcPr>
          <w:p>
            <w:r>
              <w:rPr>
                <w:sz w:val="20"/>
              </w:rPr>
              <w:t>Structure for all L1 policies: purpose, scope, statements, roles, enforcement, approval.</w:t>
            </w:r>
          </w:p>
        </w:tc>
        <w:tc>
          <w:tcPr>
            <w:tcW w:type="dxa" w:w="2160"/>
          </w:tcPr>
          <w:p>
            <w:r>
              <w:rPr>
                <w:sz w:val="20"/>
              </w:rPr>
              <w:t>CCO</w:t>
            </w:r>
          </w:p>
        </w:tc>
      </w:tr>
      <w:tr>
        <w:tc>
          <w:tcPr>
            <w:tcW w:type="dxa" w:w="2160"/>
          </w:tcPr>
          <w:p>
            <w:r>
              <w:rPr>
                <w:sz w:val="20"/>
              </w:rPr>
              <w:t>TMP-STD-01</w:t>
            </w:r>
          </w:p>
        </w:tc>
        <w:tc>
          <w:tcPr>
            <w:tcW w:type="dxa" w:w="2160"/>
          </w:tcPr>
          <w:p>
            <w:r>
              <w:rPr>
                <w:sz w:val="20"/>
              </w:rPr>
              <w:t>Standard Template</w:t>
            </w:r>
          </w:p>
        </w:tc>
        <w:tc>
          <w:tcPr>
            <w:tcW w:type="dxa" w:w="2160"/>
          </w:tcPr>
          <w:p>
            <w:r>
              <w:rPr>
                <w:sz w:val="20"/>
              </w:rPr>
              <w:t>Structure for L2 standards: mandatory rules, technical parameters, compliance mapping.</w:t>
            </w:r>
          </w:p>
        </w:tc>
        <w:tc>
          <w:tcPr>
            <w:tcW w:type="dxa" w:w="2160"/>
          </w:tcPr>
          <w:p>
            <w:r>
              <w:rPr>
                <w:sz w:val="20"/>
              </w:rPr>
              <w:t>CCO</w:t>
            </w:r>
          </w:p>
        </w:tc>
      </w:tr>
      <w:tr>
        <w:tc>
          <w:tcPr>
            <w:tcW w:type="dxa" w:w="2160"/>
          </w:tcPr>
          <w:p>
            <w:r>
              <w:rPr>
                <w:sz w:val="20"/>
              </w:rPr>
              <w:t>TMP-PROC-01</w:t>
            </w:r>
          </w:p>
        </w:tc>
        <w:tc>
          <w:tcPr>
            <w:tcW w:type="dxa" w:w="2160"/>
          </w:tcPr>
          <w:p>
            <w:r>
              <w:rPr>
                <w:sz w:val="20"/>
              </w:rPr>
              <w:t>Procedure Template</w:t>
            </w:r>
          </w:p>
        </w:tc>
        <w:tc>
          <w:tcPr>
            <w:tcW w:type="dxa" w:w="2160"/>
          </w:tcPr>
          <w:p>
            <w:r>
              <w:rPr>
                <w:sz w:val="20"/>
              </w:rPr>
              <w:t>Step-by-step format with inputs, outputs, owners, and evidence per step.</w:t>
            </w:r>
          </w:p>
        </w:tc>
        <w:tc>
          <w:tcPr>
            <w:tcW w:type="dxa" w:w="2160"/>
          </w:tcPr>
          <w:p>
            <w:r>
              <w:rPr>
                <w:sz w:val="20"/>
              </w:rPr>
              <w:t>IAM Engineer</w:t>
            </w:r>
          </w:p>
        </w:tc>
      </w:tr>
      <w:tr>
        <w:tc>
          <w:tcPr>
            <w:tcW w:type="dxa" w:w="2160"/>
          </w:tcPr>
          <w:p>
            <w:r>
              <w:rPr>
                <w:sz w:val="20"/>
              </w:rPr>
              <w:t>TMP-RISK-01</w:t>
            </w:r>
          </w:p>
        </w:tc>
        <w:tc>
          <w:tcPr>
            <w:tcW w:type="dxa" w:w="2160"/>
          </w:tcPr>
          <w:p>
            <w:r>
              <w:rPr>
                <w:sz w:val="20"/>
              </w:rPr>
              <w:t>Risk Assessment Template</w:t>
            </w:r>
          </w:p>
        </w:tc>
        <w:tc>
          <w:tcPr>
            <w:tcW w:type="dxa" w:w="2160"/>
          </w:tcPr>
          <w:p>
            <w:r>
              <w:rPr>
                <w:sz w:val="20"/>
              </w:rPr>
              <w:t>Risk register format: ID, description, likelihood, impact, treatment.</w:t>
            </w:r>
          </w:p>
        </w:tc>
        <w:tc>
          <w:tcPr>
            <w:tcW w:type="dxa" w:w="2160"/>
          </w:tcPr>
          <w:p>
            <w:r>
              <w:rPr>
                <w:sz w:val="20"/>
              </w:rPr>
              <w:t>Security Analyst</w:t>
            </w:r>
          </w:p>
        </w:tc>
      </w:tr>
      <w:tr>
        <w:tc>
          <w:tcPr>
            <w:tcW w:type="dxa" w:w="2160"/>
          </w:tcPr>
          <w:p>
            <w:r>
              <w:rPr>
                <w:sz w:val="20"/>
              </w:rPr>
              <w:t>TMP-AUD-01</w:t>
            </w:r>
          </w:p>
        </w:tc>
        <w:tc>
          <w:tcPr>
            <w:tcW w:type="dxa" w:w="2160"/>
          </w:tcPr>
          <w:p>
            <w:r>
              <w:rPr>
                <w:sz w:val="20"/>
              </w:rPr>
              <w:t>Audit Workpaper</w:t>
            </w:r>
          </w:p>
        </w:tc>
        <w:tc>
          <w:tcPr>
            <w:tcW w:type="dxa" w:w="2160"/>
          </w:tcPr>
          <w:p>
            <w:r>
              <w:rPr>
                <w:sz w:val="20"/>
              </w:rPr>
              <w:t>Workpaper format for control testing: objective, procedure, sample, result, conclusion.</w:t>
            </w:r>
          </w:p>
        </w:tc>
        <w:tc>
          <w:tcPr>
            <w:tcW w:type="dxa" w:w="2160"/>
          </w:tcPr>
          <w:p>
            <w:r>
              <w:rPr>
                <w:sz w:val="20"/>
              </w:rPr>
              <w:t>IAM Engineer</w:t>
            </w:r>
          </w:p>
        </w:tc>
      </w:tr>
      <w:tr>
        <w:tc>
          <w:tcPr>
            <w:tcW w:type="dxa" w:w="2160"/>
          </w:tcPr>
          <w:p>
            <w:r>
              <w:rPr>
                <w:sz w:val="20"/>
              </w:rPr>
              <w:t>TMP-EVD-01</w:t>
            </w:r>
          </w:p>
        </w:tc>
        <w:tc>
          <w:tcPr>
            <w:tcW w:type="dxa" w:w="2160"/>
          </w:tcPr>
          <w:p>
            <w:r>
              <w:rPr>
                <w:sz w:val="20"/>
              </w:rPr>
              <w:t>Evidence Log</w:t>
            </w:r>
          </w:p>
        </w:tc>
        <w:tc>
          <w:tcPr>
            <w:tcW w:type="dxa" w:w="2160"/>
          </w:tcPr>
          <w:p>
            <w:r>
              <w:rPr>
                <w:sz w:val="20"/>
              </w:rPr>
              <w:t>Chain-of-custody log: evidence ID, description, collector, date, storage location, hash.</w:t>
            </w:r>
          </w:p>
        </w:tc>
        <w:tc>
          <w:tcPr>
            <w:tcW w:type="dxa" w:w="2160"/>
          </w:tcPr>
          <w:p>
            <w:r>
              <w:rPr>
                <w:sz w:val="20"/>
              </w:rPr>
              <w:t>IAM Engineer</w:t>
            </w:r>
          </w:p>
        </w:tc>
      </w:tr>
      <w:tr>
        <w:tc>
          <w:tcPr>
            <w:tcW w:type="dxa" w:w="2160"/>
          </w:tcPr>
          <w:p>
            <w:r>
              <w:rPr>
                <w:sz w:val="20"/>
              </w:rPr>
              <w:t>TMP-INC-01</w:t>
            </w:r>
          </w:p>
        </w:tc>
        <w:tc>
          <w:tcPr>
            <w:tcW w:type="dxa" w:w="2160"/>
          </w:tcPr>
          <w:p>
            <w:r>
              <w:rPr>
                <w:sz w:val="20"/>
              </w:rPr>
              <w:t>Incident Report</w:t>
            </w:r>
          </w:p>
        </w:tc>
        <w:tc>
          <w:tcPr>
            <w:tcW w:type="dxa" w:w="2160"/>
          </w:tcPr>
          <w:p>
            <w:r>
              <w:rPr>
                <w:sz w:val="20"/>
              </w:rPr>
              <w:t>Incident documentation: classification, timeline, containment, reporting, follow-up.</w:t>
            </w:r>
          </w:p>
        </w:tc>
        <w:tc>
          <w:tcPr>
            <w:tcW w:type="dxa" w:w="2160"/>
          </w:tcPr>
          <w:p>
            <w:r>
              <w:rPr>
                <w:sz w:val="20"/>
              </w:rPr>
              <w:t>Security Analyst</w:t>
            </w:r>
          </w:p>
        </w:tc>
      </w:tr>
      <w:tr>
        <w:tc>
          <w:tcPr>
            <w:tcW w:type="dxa" w:w="2160"/>
          </w:tcPr>
          <w:p>
            <w:r>
              <w:rPr>
                <w:sz w:val="20"/>
              </w:rPr>
              <w:t>TMP-TRN-01</w:t>
            </w:r>
          </w:p>
        </w:tc>
        <w:tc>
          <w:tcPr>
            <w:tcW w:type="dxa" w:w="2160"/>
          </w:tcPr>
          <w:p>
            <w:r>
              <w:rPr>
                <w:sz w:val="20"/>
              </w:rPr>
              <w:t>Training Record</w:t>
            </w:r>
          </w:p>
        </w:tc>
        <w:tc>
          <w:tcPr>
            <w:tcW w:type="dxa" w:w="2160"/>
          </w:tcPr>
          <w:p>
            <w:r>
              <w:rPr>
                <w:sz w:val="20"/>
              </w:rPr>
              <w:t>Per-person training evidence: course, date, score, attestation.</w:t>
            </w:r>
          </w:p>
        </w:tc>
        <w:tc>
          <w:tcPr>
            <w:tcW w:type="dxa" w:w="2160"/>
          </w:tcPr>
          <w:p>
            <w:r>
              <w:rPr>
                <w:sz w:val="20"/>
              </w:rPr>
              <w:t>CCO</w:t>
            </w:r>
          </w:p>
        </w:tc>
      </w:tr>
      <w:tr>
        <w:tc>
          <w:tcPr>
            <w:tcW w:type="dxa" w:w="2160"/>
          </w:tcPr>
          <w:p>
            <w:r>
              <w:rPr>
                <w:sz w:val="20"/>
              </w:rPr>
              <w:t>TMP-CHG-01</w:t>
            </w:r>
          </w:p>
        </w:tc>
        <w:tc>
          <w:tcPr>
            <w:tcW w:type="dxa" w:w="2160"/>
          </w:tcPr>
          <w:p>
            <w:r>
              <w:rPr>
                <w:sz w:val="20"/>
              </w:rPr>
              <w:t>Change Request</w:t>
            </w:r>
          </w:p>
        </w:tc>
        <w:tc>
          <w:tcPr>
            <w:tcW w:type="dxa" w:w="2160"/>
          </w:tcPr>
          <w:p>
            <w:r>
              <w:rPr>
                <w:sz w:val="20"/>
              </w:rPr>
              <w:t>Change control: description, risk, testing, approval, rollback plan.</w:t>
            </w:r>
          </w:p>
        </w:tc>
        <w:tc>
          <w:tcPr>
            <w:tcW w:type="dxa" w:w="2160"/>
          </w:tcPr>
          <w:p>
            <w:r>
              <w:rPr>
                <w:sz w:val="20"/>
              </w:rPr>
              <w:t>IAM Engineer</w:t>
            </w:r>
          </w:p>
        </w:tc>
      </w:tr>
      <w:tr>
        <w:tc>
          <w:tcPr>
            <w:tcW w:type="dxa" w:w="2160"/>
          </w:tcPr>
          <w:p>
            <w:r>
              <w:rPr>
                <w:sz w:val="20"/>
              </w:rPr>
              <w:t>TMP-RVW-01</w:t>
            </w:r>
          </w:p>
        </w:tc>
        <w:tc>
          <w:tcPr>
            <w:tcW w:type="dxa" w:w="2160"/>
          </w:tcPr>
          <w:p>
            <w:r>
              <w:rPr>
                <w:sz w:val="20"/>
              </w:rPr>
              <w:t>Access Recertification Worksheet</w:t>
            </w:r>
          </w:p>
        </w:tc>
        <w:tc>
          <w:tcPr>
            <w:tcW w:type="dxa" w:w="2160"/>
          </w:tcPr>
          <w:p>
            <w:r>
              <w:rPr>
                <w:sz w:val="20"/>
              </w:rPr>
              <w:t>Quarterly reviewer worksheet: account, entitlements, reviewer decision, sign-off.</w:t>
            </w:r>
          </w:p>
        </w:tc>
        <w:tc>
          <w:tcPr>
            <w:tcW w:type="dxa" w:w="2160"/>
          </w:tcPr>
          <w:p>
            <w:r>
              <w:rPr>
                <w:sz w:val="20"/>
              </w:rPr>
              <w:t>IAM Engineer</w:t>
            </w:r>
          </w:p>
        </w:tc>
      </w:tr>
      <w:tr>
        <w:tc>
          <w:tcPr>
            <w:tcW w:type="dxa" w:w="2160"/>
          </w:tcPr>
          <w:p>
            <w:r>
              <w:rPr>
                <w:sz w:val="20"/>
              </w:rPr>
              <w:t>TMP-RPT-01</w:t>
            </w:r>
          </w:p>
        </w:tc>
        <w:tc>
          <w:tcPr>
            <w:tcW w:type="dxa" w:w="2160"/>
          </w:tcPr>
          <w:p>
            <w:r>
              <w:rPr>
                <w:sz w:val="20"/>
              </w:rPr>
              <w:t>Compliance Status Report</w:t>
            </w:r>
          </w:p>
        </w:tc>
        <w:tc>
          <w:tcPr>
            <w:tcW w:type="dxa" w:w="2160"/>
          </w:tcPr>
          <w:p>
            <w:r>
              <w:rPr>
                <w:sz w:val="20"/>
              </w:rPr>
              <w:t>Quarterly management report structure (see Section 3).</w:t>
            </w:r>
          </w:p>
        </w:tc>
        <w:tc>
          <w:tcPr>
            <w:tcW w:type="dxa" w:w="2160"/>
          </w:tcPr>
          <w:p>
            <w:r>
              <w:rPr>
                <w:sz w:val="20"/>
              </w:rPr>
              <w:t>CCO</w:t>
            </w:r>
          </w:p>
        </w:tc>
      </w:tr>
    </w:tbl>
    <w:p/>
    <w:p>
      <w:pPr>
        <w:pStyle w:val="Heading2"/>
      </w:pPr>
      <w:r>
        <w:t>2.3 Version Control Procedures</w:t>
      </w:r>
    </w:p>
    <w:p>
      <w:pPr>
        <w:pStyle w:val="Heading3"/>
      </w:pPr>
      <w:r>
        <w:t>2.3.1 Numbering scheme</w:t>
      </w:r>
    </w:p>
    <w:p>
      <w:pPr>
        <w:pStyle w:val="ListBullet"/>
      </w:pPr>
      <w:r>
        <w:t>Versions use MAJOR.MINOR format (e.g., 1.0, 1.1, 2.0).</w:t>
      </w:r>
    </w:p>
    <w:p>
      <w:pPr>
        <w:pStyle w:val="ListBullet"/>
      </w:pPr>
      <w:r>
        <w:t>MAJOR increments on substantive changes (new requirements, changed responsibilities, new controls). MINOR increments on editorial changes (typos, formatting, clarifications).</w:t>
      </w:r>
    </w:p>
    <w:p>
      <w:pPr>
        <w:pStyle w:val="ListBullet"/>
      </w:pPr>
      <w:r>
        <w:t>1.0 denotes the first approved version. Drafts are marked DRAFT with a date (e.g., DRAFT 2026-10-09) and are never cited as authoritative.</w:t>
      </w:r>
    </w:p>
    <w:p>
      <w:pPr>
        <w:pStyle w:val="Heading3"/>
      </w:pPr>
      <w:r>
        <w:t>2.3.2 Change log</w:t>
      </w:r>
    </w:p>
    <w:p>
      <w:r>
        <w:rPr>
          <w:b w:val="0"/>
          <w:i w:val="0"/>
        </w:rPr>
        <w:t>Every controlled document carries a change log table with these fields: Version | Date | Author | Sections Changed | Description of Change | Approved By.</w:t>
      </w:r>
    </w:p>
    <w:p>
      <w:pPr>
        <w:pStyle w:val="Heading3"/>
      </w:pPr>
      <w:r>
        <w:t>2.3.3 Change approval workflow</w:t>
      </w:r>
    </w:p>
    <w:p>
      <w:pPr>
        <w:pStyle w:val="ListNumber"/>
      </w:pPr>
      <w:r>
        <w:t>Propose: author submits a change request (TMP-CHG-01) describing the change and its rationale.</w:t>
      </w:r>
    </w:p>
    <w:p>
      <w:pPr>
        <w:pStyle w:val="ListNumber"/>
      </w:pPr>
      <w:r>
        <w:t>Impact assessment: document owner assesses effects on related documents, controls, and compliance mappings.</w:t>
      </w:r>
    </w:p>
    <w:p>
      <w:pPr>
        <w:pStyle w:val="ListNumber"/>
      </w:pPr>
      <w:r>
        <w:t>Review: owner reviews the revised draft for accuracy and consistency.</w:t>
      </w:r>
    </w:p>
    <w:p>
      <w:pPr>
        <w:pStyle w:val="ListNumber"/>
      </w:pPr>
      <w:r>
        <w:t>Approval: CCO approves L1/L2 documents; IAM Engineer lead approves L3/L4 documents.</w:t>
      </w:r>
    </w:p>
    <w:p>
      <w:pPr>
        <w:pStyle w:val="ListNumber"/>
      </w:pPr>
      <w:r>
        <w:t>Publish: new version is published to the controlled repository; previous version is archived read-only and watermarked SUPERSEDED.</w:t>
      </w:r>
    </w:p>
    <w:p>
      <w:pPr>
        <w:pStyle w:val="ListNumber"/>
      </w:pPr>
      <w:r>
        <w:t>Communicate: affected stakeholders are notified of material changes; re-acknowledgment is required for policies.</w:t>
      </w:r>
    </w:p>
    <w:p>
      <w:pPr>
        <w:pStyle w:val="Heading2"/>
      </w:pPr>
      <w:r>
        <w:t>2.4 Distribution Procedures</w:t>
      </w:r>
    </w:p>
    <w:p>
      <w:pPr>
        <w:pStyle w:val="ListBullet"/>
      </w:pPr>
      <w:r>
        <w:t>Publication: approved documents are published only to the central controlled repository (version-controlled docs repository). No uncontrolled copies (email attachments, personal drives) are authoritative.</w:t>
      </w:r>
    </w:p>
    <w:p>
      <w:pPr>
        <w:pStyle w:val="ListBullet"/>
      </w:pPr>
      <w:r>
        <w:t>Access: distribution follows least privilege — e.g., full IAM policy JSON is available to the IAM Engineer and Security Analyst roles; general staff receive policy summaries.</w:t>
      </w:r>
    </w:p>
    <w:p>
      <w:pPr>
        <w:pStyle w:val="ListBullet"/>
      </w:pPr>
      <w:r>
        <w:t>Acknowledgment tracking: all personnel must read and acknowledge L1 policies and L2 standards; acknowledgments are recorded as training records (TMP-TRN-01) and tracked to 100% completion.</w:t>
      </w:r>
    </w:p>
    <w:p>
      <w:pPr>
        <w:pStyle w:val="ListBullet"/>
      </w:pPr>
      <w:r>
        <w:t>Superseded versions: retained per the retention schedule (Section 4.2), marked SUPERSEDED, and excluded from active distribution.</w:t>
      </w:r>
    </w:p>
    <w:p>
      <w:pPr>
        <w:pStyle w:val="Heading2"/>
      </w:pPr>
      <w:r>
        <w:t>2.5 Controlled Document Inventory</w:t>
      </w:r>
    </w:p>
    <w:p>
      <w:r>
        <w:rPr>
          <w:b w:val="0"/>
          <w:i w:val="0"/>
        </w:rPr>
        <w:t>The current controlled document inventory for EISP:</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4E79"/>
          </w:tcPr>
          <w:p>
            <w:r/>
            <w:r>
              <w:rPr>
                <w:b/>
                <w:color w:val="FFFFFF"/>
                <w:sz w:val="20"/>
              </w:rPr>
              <w:t>Doc ID</w:t>
            </w:r>
          </w:p>
        </w:tc>
        <w:tc>
          <w:tcPr>
            <w:tcW w:type="dxa" w:w="1234"/>
            <w:shd w:val="clear" w:fill="1F4E79"/>
          </w:tcPr>
          <w:p>
            <w:r/>
            <w:r>
              <w:rPr>
                <w:b/>
                <w:color w:val="FFFFFF"/>
                <w:sz w:val="20"/>
              </w:rPr>
              <w:t>Title</w:t>
            </w:r>
          </w:p>
        </w:tc>
        <w:tc>
          <w:tcPr>
            <w:tcW w:type="dxa" w:w="1234"/>
            <w:shd w:val="clear" w:fill="1F4E79"/>
          </w:tcPr>
          <w:p>
            <w:r/>
            <w:r>
              <w:rPr>
                <w:b/>
                <w:color w:val="FFFFFF"/>
                <w:sz w:val="20"/>
              </w:rPr>
              <w:t>Type</w:t>
            </w:r>
          </w:p>
        </w:tc>
        <w:tc>
          <w:tcPr>
            <w:tcW w:type="dxa" w:w="1234"/>
            <w:shd w:val="clear" w:fill="1F4E79"/>
          </w:tcPr>
          <w:p>
            <w:r/>
            <w:r>
              <w:rPr>
                <w:b/>
                <w:color w:val="FFFFFF"/>
                <w:sz w:val="20"/>
              </w:rPr>
              <w:t>Version</w:t>
            </w:r>
          </w:p>
        </w:tc>
        <w:tc>
          <w:tcPr>
            <w:tcW w:type="dxa" w:w="1234"/>
            <w:shd w:val="clear" w:fill="1F4E79"/>
          </w:tcPr>
          <w:p>
            <w:r/>
            <w:r>
              <w:rPr>
                <w:b/>
                <w:color w:val="FFFFFF"/>
                <w:sz w:val="20"/>
              </w:rPr>
              <w:t>Owner</w:t>
            </w:r>
          </w:p>
        </w:tc>
        <w:tc>
          <w:tcPr>
            <w:tcW w:type="dxa" w:w="1234"/>
            <w:shd w:val="clear" w:fill="1F4E79"/>
          </w:tcPr>
          <w:p>
            <w:r/>
            <w:r>
              <w:rPr>
                <w:b/>
                <w:color w:val="FFFFFF"/>
                <w:sz w:val="20"/>
              </w:rPr>
              <w:t>Location</w:t>
            </w:r>
          </w:p>
        </w:tc>
        <w:tc>
          <w:tcPr>
            <w:tcW w:type="dxa" w:w="1234"/>
            <w:shd w:val="clear" w:fill="1F4E79"/>
          </w:tcPr>
          <w:p>
            <w:r/>
            <w:r>
              <w:rPr>
                <w:b/>
                <w:color w:val="FFFFFF"/>
                <w:sz w:val="20"/>
              </w:rPr>
              <w:t>Next Review</w:t>
            </w:r>
          </w:p>
        </w:tc>
      </w:tr>
      <w:tr>
        <w:tc>
          <w:tcPr>
            <w:tcW w:type="dxa" w:w="1234"/>
          </w:tcPr>
          <w:p>
            <w:r>
              <w:rPr>
                <w:sz w:val="20"/>
              </w:rPr>
              <w:t>EISP-IAM-004</w:t>
            </w:r>
          </w:p>
        </w:tc>
        <w:tc>
          <w:tcPr>
            <w:tcW w:type="dxa" w:w="1234"/>
          </w:tcPr>
          <w:p>
            <w:r>
              <w:rPr>
                <w:sz w:val="20"/>
              </w:rPr>
              <w:t>IAM Policies Design Document (3 RBAC policies)</w:t>
            </w:r>
          </w:p>
        </w:tc>
        <w:tc>
          <w:tcPr>
            <w:tcW w:type="dxa" w:w="1234"/>
          </w:tcPr>
          <w:p>
            <w:r>
              <w:rPr>
                <w:sz w:val="20"/>
              </w:rPr>
              <w:t>Policy design</w:t>
            </w:r>
          </w:p>
        </w:tc>
        <w:tc>
          <w:tcPr>
            <w:tcW w:type="dxa" w:w="1234"/>
          </w:tcPr>
          <w:p>
            <w:r>
              <w:rPr>
                <w:sz w:val="20"/>
              </w:rPr>
              <w:t>1.0</w:t>
            </w:r>
          </w:p>
        </w:tc>
        <w:tc>
          <w:tcPr>
            <w:tcW w:type="dxa" w:w="1234"/>
          </w:tcPr>
          <w:p>
            <w:r>
              <w:rPr>
                <w:sz w:val="20"/>
              </w:rPr>
              <w:t>Manisha Gupta</w:t>
            </w:r>
          </w:p>
        </w:tc>
        <w:tc>
          <w:tcPr>
            <w:tcW w:type="dxa" w:w="1234"/>
          </w:tcPr>
          <w:p>
            <w:r>
              <w:rPr>
                <w:sz w:val="20"/>
              </w:rPr>
              <w:t>semester3/EISP_IAM_Policies.docx</w:t>
            </w:r>
          </w:p>
        </w:tc>
        <w:tc>
          <w:tcPr>
            <w:tcW w:type="dxa" w:w="1234"/>
          </w:tcPr>
          <w:p>
            <w:r>
              <w:rPr>
                <w:sz w:val="20"/>
              </w:rPr>
              <w:t>Oct 2027</w:t>
            </w:r>
          </w:p>
        </w:tc>
      </w:tr>
      <w:tr>
        <w:tc>
          <w:tcPr>
            <w:tcW w:type="dxa" w:w="1234"/>
          </w:tcPr>
          <w:p>
            <w:r>
              <w:rPr>
                <w:sz w:val="20"/>
              </w:rPr>
              <w:t>EISP-ARC-001</w:t>
            </w:r>
          </w:p>
        </w:tc>
        <w:tc>
          <w:tcPr>
            <w:tcW w:type="dxa" w:w="1234"/>
          </w:tcPr>
          <w:p>
            <w:r>
              <w:rPr>
                <w:sz w:val="20"/>
              </w:rPr>
              <w:t>Authentik Docker Compose deployment</w:t>
            </w:r>
          </w:p>
        </w:tc>
        <w:tc>
          <w:tcPr>
            <w:tcW w:type="dxa" w:w="1234"/>
          </w:tcPr>
          <w:p>
            <w:r>
              <w:rPr>
                <w:sz w:val="20"/>
              </w:rPr>
              <w:t>Config baseline</w:t>
            </w:r>
          </w:p>
        </w:tc>
        <w:tc>
          <w:tcPr>
            <w:tcW w:type="dxa" w:w="1234"/>
          </w:tcPr>
          <w:p>
            <w:r>
              <w:rPr>
                <w:sz w:val="20"/>
              </w:rPr>
              <w:t>1.0</w:t>
            </w:r>
          </w:p>
        </w:tc>
        <w:tc>
          <w:tcPr>
            <w:tcW w:type="dxa" w:w="1234"/>
          </w:tcPr>
          <w:p>
            <w:r>
              <w:rPr>
                <w:sz w:val="20"/>
              </w:rPr>
              <w:t>Manisha Gupta</w:t>
            </w:r>
          </w:p>
        </w:tc>
        <w:tc>
          <w:tcPr>
            <w:tcW w:type="dxa" w:w="1234"/>
          </w:tcPr>
          <w:p>
            <w:r>
              <w:rPr>
                <w:sz w:val="20"/>
              </w:rPr>
              <w:t>eisp_authentik/docker-compose.yml</w:t>
            </w:r>
          </w:p>
        </w:tc>
        <w:tc>
          <w:tcPr>
            <w:tcW w:type="dxa" w:w="1234"/>
          </w:tcPr>
          <w:p>
            <w:r>
              <w:rPr>
                <w:sz w:val="20"/>
              </w:rPr>
              <w:t>On change</w:t>
            </w:r>
          </w:p>
        </w:tc>
      </w:tr>
      <w:tr>
        <w:tc>
          <w:tcPr>
            <w:tcW w:type="dxa" w:w="1234"/>
          </w:tcPr>
          <w:p>
            <w:r>
              <w:rPr>
                <w:sz w:val="20"/>
              </w:rPr>
              <w:t>EISP-IAC-001</w:t>
            </w:r>
          </w:p>
        </w:tc>
        <w:tc>
          <w:tcPr>
            <w:tcW w:type="dxa" w:w="1234"/>
          </w:tcPr>
          <w:p>
            <w:r>
              <w:rPr>
                <w:sz w:val="20"/>
              </w:rPr>
              <w:t>AWS IAM Terraform configuration (roles, policies, boundary)</w:t>
            </w:r>
          </w:p>
        </w:tc>
        <w:tc>
          <w:tcPr>
            <w:tcW w:type="dxa" w:w="1234"/>
          </w:tcPr>
          <w:p>
            <w:r>
              <w:rPr>
                <w:sz w:val="20"/>
              </w:rPr>
              <w:t>Config baseline</w:t>
            </w:r>
          </w:p>
        </w:tc>
        <w:tc>
          <w:tcPr>
            <w:tcW w:type="dxa" w:w="1234"/>
          </w:tcPr>
          <w:p>
            <w:r>
              <w:rPr>
                <w:sz w:val="20"/>
              </w:rPr>
              <w:t>1.0</w:t>
            </w:r>
          </w:p>
        </w:tc>
        <w:tc>
          <w:tcPr>
            <w:tcW w:type="dxa" w:w="1234"/>
          </w:tcPr>
          <w:p>
            <w:r>
              <w:rPr>
                <w:sz w:val="20"/>
              </w:rPr>
              <w:t>Manisha Gupta</w:t>
            </w:r>
          </w:p>
        </w:tc>
        <w:tc>
          <w:tcPr>
            <w:tcW w:type="dxa" w:w="1234"/>
          </w:tcPr>
          <w:p>
            <w:r>
              <w:rPr>
                <w:sz w:val="20"/>
              </w:rPr>
              <w:t>eisp-iam/main.tf</w:t>
            </w:r>
          </w:p>
        </w:tc>
        <w:tc>
          <w:tcPr>
            <w:tcW w:type="dxa" w:w="1234"/>
          </w:tcPr>
          <w:p>
            <w:r>
              <w:rPr>
                <w:sz w:val="20"/>
              </w:rPr>
              <w:t>On change</w:t>
            </w:r>
          </w:p>
        </w:tc>
      </w:tr>
      <w:tr>
        <w:tc>
          <w:tcPr>
            <w:tcW w:type="dxa" w:w="1234"/>
          </w:tcPr>
          <w:p>
            <w:r>
              <w:rPr>
                <w:sz w:val="20"/>
              </w:rPr>
              <w:t>EISP-SAML-001</w:t>
            </w:r>
          </w:p>
        </w:tc>
        <w:tc>
          <w:tcPr>
            <w:tcW w:type="dxa" w:w="1234"/>
          </w:tcPr>
          <w:p>
            <w:r>
              <w:rPr>
                <w:sz w:val="20"/>
              </w:rPr>
              <w:t>SAML service-provider metadata (authentik-saml)</w:t>
            </w:r>
          </w:p>
        </w:tc>
        <w:tc>
          <w:tcPr>
            <w:tcW w:type="dxa" w:w="1234"/>
          </w:tcPr>
          <w:p>
            <w:r>
              <w:rPr>
                <w:sz w:val="20"/>
              </w:rPr>
              <w:t>Config baseline</w:t>
            </w:r>
          </w:p>
        </w:tc>
        <w:tc>
          <w:tcPr>
            <w:tcW w:type="dxa" w:w="1234"/>
          </w:tcPr>
          <w:p>
            <w:r>
              <w:rPr>
                <w:sz w:val="20"/>
              </w:rPr>
              <w:t>1.0</w:t>
            </w:r>
          </w:p>
        </w:tc>
        <w:tc>
          <w:tcPr>
            <w:tcW w:type="dxa" w:w="1234"/>
          </w:tcPr>
          <w:p>
            <w:r>
              <w:rPr>
                <w:sz w:val="20"/>
              </w:rPr>
              <w:t>Manisha Gupta</w:t>
            </w:r>
          </w:p>
        </w:tc>
        <w:tc>
          <w:tcPr>
            <w:tcW w:type="dxa" w:w="1234"/>
          </w:tcPr>
          <w:p>
            <w:r>
              <w:rPr>
                <w:sz w:val="20"/>
              </w:rPr>
              <w:t>eisp-iam/authentik-metadata.xml</w:t>
            </w:r>
          </w:p>
        </w:tc>
        <w:tc>
          <w:tcPr>
            <w:tcW w:type="dxa" w:w="1234"/>
          </w:tcPr>
          <w:p>
            <w:r>
              <w:rPr>
                <w:sz w:val="20"/>
              </w:rPr>
              <w:t>On change</w:t>
            </w:r>
          </w:p>
        </w:tc>
      </w:tr>
      <w:tr>
        <w:tc>
          <w:tcPr>
            <w:tcW w:type="dxa" w:w="1234"/>
          </w:tcPr>
          <w:p>
            <w:r>
              <w:rPr>
                <w:sz w:val="20"/>
              </w:rPr>
              <w:t>EISP-BRD-001</w:t>
            </w:r>
          </w:p>
        </w:tc>
        <w:tc>
          <w:tcPr>
            <w:tcW w:type="dxa" w:w="1234"/>
          </w:tcPr>
          <w:p>
            <w:r>
              <w:rPr>
                <w:sz w:val="20"/>
              </w:rPr>
              <w:t>Business Requirements Document</w:t>
            </w:r>
          </w:p>
        </w:tc>
        <w:tc>
          <w:tcPr>
            <w:tcW w:type="dxa" w:w="1234"/>
          </w:tcPr>
          <w:p>
            <w:r>
              <w:rPr>
                <w:sz w:val="20"/>
              </w:rPr>
              <w:t>Requirement</w:t>
            </w:r>
          </w:p>
        </w:tc>
        <w:tc>
          <w:tcPr>
            <w:tcW w:type="dxa" w:w="1234"/>
          </w:tcPr>
          <w:p>
            <w:r>
              <w:rPr>
                <w:sz w:val="20"/>
              </w:rPr>
              <w:t>1.0</w:t>
            </w:r>
          </w:p>
        </w:tc>
        <w:tc>
          <w:tcPr>
            <w:tcW w:type="dxa" w:w="1234"/>
          </w:tcPr>
          <w:p>
            <w:r>
              <w:rPr>
                <w:sz w:val="20"/>
              </w:rPr>
              <w:t>Manisha Gupta</w:t>
            </w:r>
          </w:p>
        </w:tc>
        <w:tc>
          <w:tcPr>
            <w:tcW w:type="dxa" w:w="1234"/>
          </w:tcPr>
          <w:p>
            <w:r>
              <w:rPr>
                <w:sz w:val="20"/>
              </w:rPr>
              <w:t>semester3/EISP_BRD_v1.docx</w:t>
            </w:r>
          </w:p>
        </w:tc>
        <w:tc>
          <w:tcPr>
            <w:tcW w:type="dxa" w:w="1234"/>
          </w:tcPr>
          <w:p>
            <w:r>
              <w:rPr>
                <w:sz w:val="20"/>
              </w:rPr>
              <w:t>As needed</w:t>
            </w:r>
          </w:p>
        </w:tc>
      </w:tr>
      <w:tr>
        <w:tc>
          <w:tcPr>
            <w:tcW w:type="dxa" w:w="1234"/>
          </w:tcPr>
          <w:p>
            <w:r>
              <w:rPr>
                <w:sz w:val="20"/>
              </w:rPr>
              <w:t>EISP-FRD-001</w:t>
            </w:r>
          </w:p>
        </w:tc>
        <w:tc>
          <w:tcPr>
            <w:tcW w:type="dxa" w:w="1234"/>
          </w:tcPr>
          <w:p>
            <w:r>
              <w:rPr>
                <w:sz w:val="20"/>
              </w:rPr>
              <w:t>Functional Requirements Document</w:t>
            </w:r>
          </w:p>
        </w:tc>
        <w:tc>
          <w:tcPr>
            <w:tcW w:type="dxa" w:w="1234"/>
          </w:tcPr>
          <w:p>
            <w:r>
              <w:rPr>
                <w:sz w:val="20"/>
              </w:rPr>
              <w:t>Requirement</w:t>
            </w:r>
          </w:p>
        </w:tc>
        <w:tc>
          <w:tcPr>
            <w:tcW w:type="dxa" w:w="1234"/>
          </w:tcPr>
          <w:p>
            <w:r>
              <w:rPr>
                <w:sz w:val="20"/>
              </w:rPr>
              <w:t>1.0</w:t>
            </w:r>
          </w:p>
        </w:tc>
        <w:tc>
          <w:tcPr>
            <w:tcW w:type="dxa" w:w="1234"/>
          </w:tcPr>
          <w:p>
            <w:r>
              <w:rPr>
                <w:sz w:val="20"/>
              </w:rPr>
              <w:t>Manisha Gupta</w:t>
            </w:r>
          </w:p>
        </w:tc>
        <w:tc>
          <w:tcPr>
            <w:tcW w:type="dxa" w:w="1234"/>
          </w:tcPr>
          <w:p>
            <w:r>
              <w:rPr>
                <w:sz w:val="20"/>
              </w:rPr>
              <w:t>semester3/EISP_FRD_v1.docx</w:t>
            </w:r>
          </w:p>
        </w:tc>
        <w:tc>
          <w:tcPr>
            <w:tcW w:type="dxa" w:w="1234"/>
          </w:tcPr>
          <w:p>
            <w:r>
              <w:rPr>
                <w:sz w:val="20"/>
              </w:rPr>
              <w:t>As needed</w:t>
            </w:r>
          </w:p>
        </w:tc>
      </w:tr>
      <w:tr>
        <w:tc>
          <w:tcPr>
            <w:tcW w:type="dxa" w:w="1234"/>
          </w:tcPr>
          <w:p>
            <w:r>
              <w:rPr>
                <w:sz w:val="20"/>
              </w:rPr>
              <w:t>EISP-DES-001</w:t>
            </w:r>
          </w:p>
        </w:tc>
        <w:tc>
          <w:tcPr>
            <w:tcW w:type="dxa" w:w="1234"/>
          </w:tcPr>
          <w:p>
            <w:r>
              <w:rPr>
                <w:sz w:val="20"/>
              </w:rPr>
              <w:t>EISP Design Document</w:t>
            </w:r>
          </w:p>
        </w:tc>
        <w:tc>
          <w:tcPr>
            <w:tcW w:type="dxa" w:w="1234"/>
          </w:tcPr>
          <w:p>
            <w:r>
              <w:rPr>
                <w:sz w:val="20"/>
              </w:rPr>
              <w:t>Design</w:t>
            </w:r>
          </w:p>
        </w:tc>
        <w:tc>
          <w:tcPr>
            <w:tcW w:type="dxa" w:w="1234"/>
          </w:tcPr>
          <w:p>
            <w:r>
              <w:rPr>
                <w:sz w:val="20"/>
              </w:rPr>
              <w:t>1.1</w:t>
            </w:r>
          </w:p>
        </w:tc>
        <w:tc>
          <w:tcPr>
            <w:tcW w:type="dxa" w:w="1234"/>
          </w:tcPr>
          <w:p>
            <w:r>
              <w:rPr>
                <w:sz w:val="20"/>
              </w:rPr>
              <w:t>Manisha Gupta</w:t>
            </w:r>
          </w:p>
        </w:tc>
        <w:tc>
          <w:tcPr>
            <w:tcW w:type="dxa" w:w="1234"/>
          </w:tcPr>
          <w:p>
            <w:r>
              <w:rPr>
                <w:sz w:val="20"/>
              </w:rPr>
              <w:t>semester3/Manisha_Gupta_EISP_Design_Document_v1.1.docx</w:t>
            </w:r>
          </w:p>
        </w:tc>
        <w:tc>
          <w:tcPr>
            <w:tcW w:type="dxa" w:w="1234"/>
          </w:tcPr>
          <w:p>
            <w:r>
              <w:rPr>
                <w:sz w:val="20"/>
              </w:rPr>
              <w:t>As needed</w:t>
            </w:r>
          </w:p>
        </w:tc>
      </w:tr>
      <w:tr>
        <w:tc>
          <w:tcPr>
            <w:tcW w:type="dxa" w:w="1234"/>
          </w:tcPr>
          <w:p>
            <w:r>
              <w:rPr>
                <w:sz w:val="20"/>
              </w:rPr>
              <w:t>EISP-RISK-001</w:t>
            </w:r>
          </w:p>
        </w:tc>
        <w:tc>
          <w:tcPr>
            <w:tcW w:type="dxa" w:w="1234"/>
          </w:tcPr>
          <w:p>
            <w:r>
              <w:rPr>
                <w:sz w:val="20"/>
              </w:rPr>
              <w:t>Risk Register</w:t>
            </w:r>
          </w:p>
        </w:tc>
        <w:tc>
          <w:tcPr>
            <w:tcW w:type="dxa" w:w="1234"/>
          </w:tcPr>
          <w:p>
            <w:r>
              <w:rPr>
                <w:sz w:val="20"/>
              </w:rPr>
              <w:t>Record</w:t>
            </w:r>
          </w:p>
        </w:tc>
        <w:tc>
          <w:tcPr>
            <w:tcW w:type="dxa" w:w="1234"/>
          </w:tcPr>
          <w:p>
            <w:r>
              <w:rPr>
                <w:sz w:val="20"/>
              </w:rPr>
              <w:t>1.0</w:t>
            </w:r>
          </w:p>
        </w:tc>
        <w:tc>
          <w:tcPr>
            <w:tcW w:type="dxa" w:w="1234"/>
          </w:tcPr>
          <w:p>
            <w:r>
              <w:rPr>
                <w:sz w:val="20"/>
              </w:rPr>
              <w:t>Manisha Gupta</w:t>
            </w:r>
          </w:p>
        </w:tc>
        <w:tc>
          <w:tcPr>
            <w:tcW w:type="dxa" w:w="1234"/>
          </w:tcPr>
          <w:p>
            <w:r>
              <w:rPr>
                <w:sz w:val="20"/>
              </w:rPr>
              <w:t>semester3/EISP_Risk_Register.xlsx</w:t>
            </w:r>
          </w:p>
        </w:tc>
        <w:tc>
          <w:tcPr>
            <w:tcW w:type="dxa" w:w="1234"/>
          </w:tcPr>
          <w:p>
            <w:r>
              <w:rPr>
                <w:sz w:val="20"/>
              </w:rPr>
              <w:t>Quarterly</w:t>
            </w:r>
          </w:p>
        </w:tc>
      </w:tr>
      <w:tr>
        <w:tc>
          <w:tcPr>
            <w:tcW w:type="dxa" w:w="1234"/>
          </w:tcPr>
          <w:p>
            <w:r>
              <w:rPr>
                <w:sz w:val="20"/>
              </w:rPr>
              <w:t>EISP-PLAN-001</w:t>
            </w:r>
          </w:p>
        </w:tc>
        <w:tc>
          <w:tcPr>
            <w:tcW w:type="dxa" w:w="1234"/>
          </w:tcPr>
          <w:p>
            <w:r>
              <w:rPr>
                <w:sz w:val="20"/>
              </w:rPr>
              <w:t>Project Plan</w:t>
            </w:r>
          </w:p>
        </w:tc>
        <w:tc>
          <w:tcPr>
            <w:tcW w:type="dxa" w:w="1234"/>
          </w:tcPr>
          <w:p>
            <w:r>
              <w:rPr>
                <w:sz w:val="20"/>
              </w:rPr>
              <w:t>Plan</w:t>
            </w:r>
          </w:p>
        </w:tc>
        <w:tc>
          <w:tcPr>
            <w:tcW w:type="dxa" w:w="1234"/>
          </w:tcPr>
          <w:p>
            <w:r>
              <w:rPr>
                <w:sz w:val="20"/>
              </w:rPr>
              <w:t>Revised</w:t>
            </w:r>
          </w:p>
        </w:tc>
        <w:tc>
          <w:tcPr>
            <w:tcW w:type="dxa" w:w="1234"/>
          </w:tcPr>
          <w:p>
            <w:r>
              <w:rPr>
                <w:sz w:val="20"/>
              </w:rPr>
              <w:t>Manisha Gupta</w:t>
            </w:r>
          </w:p>
        </w:tc>
        <w:tc>
          <w:tcPr>
            <w:tcW w:type="dxa" w:w="1234"/>
          </w:tcPr>
          <w:p>
            <w:r>
              <w:rPr>
                <w:sz w:val="20"/>
              </w:rPr>
              <w:t>semester3/EISP_Updated_ProjectPlan_revised.xlsx</w:t>
            </w:r>
          </w:p>
        </w:tc>
        <w:tc>
          <w:tcPr>
            <w:tcW w:type="dxa" w:w="1234"/>
          </w:tcPr>
          <w:p>
            <w:r>
              <w:rPr>
                <w:sz w:val="20"/>
              </w:rPr>
              <w:t>Monthly</w:t>
            </w:r>
          </w:p>
        </w:tc>
      </w:tr>
      <w:tr>
        <w:tc>
          <w:tcPr>
            <w:tcW w:type="dxa" w:w="1234"/>
          </w:tcPr>
          <w:p>
            <w:r>
              <w:rPr>
                <w:sz w:val="20"/>
              </w:rPr>
              <w:t>CMP-EISP-04</w:t>
            </w:r>
          </w:p>
        </w:tc>
        <w:tc>
          <w:tcPr>
            <w:tcW w:type="dxa" w:w="1234"/>
          </w:tcPr>
          <w:p>
            <w:r>
              <w:rPr>
                <w:sz w:val="20"/>
              </w:rPr>
              <w:t>Documentation &amp; Reporting (this document)</w:t>
            </w:r>
          </w:p>
        </w:tc>
        <w:tc>
          <w:tcPr>
            <w:tcW w:type="dxa" w:w="1234"/>
          </w:tcPr>
          <w:p>
            <w:r>
              <w:rPr>
                <w:sz w:val="20"/>
              </w:rPr>
              <w:t>Compliance doc</w:t>
            </w:r>
          </w:p>
        </w:tc>
        <w:tc>
          <w:tcPr>
            <w:tcW w:type="dxa" w:w="1234"/>
          </w:tcPr>
          <w:p>
            <w:r>
              <w:rPr>
                <w:sz w:val="20"/>
              </w:rPr>
              <w:t>1.0</w:t>
            </w:r>
          </w:p>
        </w:tc>
        <w:tc>
          <w:tcPr>
            <w:tcW w:type="dxa" w:w="1234"/>
          </w:tcPr>
          <w:p>
            <w:r>
              <w:rPr>
                <w:sz w:val="20"/>
              </w:rPr>
              <w:t>Manisha Gupta</w:t>
            </w:r>
          </w:p>
        </w:tc>
        <w:tc>
          <w:tcPr>
            <w:tcW w:type="dxa" w:w="1234"/>
          </w:tcPr>
          <w:p>
            <w:r>
              <w:rPr>
                <w:sz w:val="20"/>
              </w:rPr>
              <w:t>eisp-compliance-docs/</w:t>
            </w:r>
          </w:p>
        </w:tc>
        <w:tc>
          <w:tcPr>
            <w:tcW w:type="dxa" w:w="1234"/>
          </w:tcPr>
          <w:p>
            <w:r>
              <w:rPr>
                <w:sz w:val="20"/>
              </w:rPr>
              <w:t>Oct 2027</w:t>
            </w:r>
          </w:p>
        </w:tc>
      </w:tr>
    </w:tbl>
    <w:p/>
    <w:p>
      <w:pPr>
        <w:pStyle w:val="Heading1"/>
      </w:pPr>
      <w:r>
        <w:t>3. Compliance Status Report for Management</w:t>
      </w:r>
    </w:p>
    <w:p>
      <w:r>
        <w:rPr>
          <w:b w:val="0"/>
          <w:i w:val="0"/>
        </w:rPr>
        <w:t>Below is a complete sample quarterly compliance status report for EISP, written as it would be delivered to executive leadership. It follows template TMP-RPT-01.</w:t>
      </w:r>
    </w:p>
    <w:p>
      <w:pPr>
        <w:pStyle w:val="Heading2"/>
      </w:pPr>
      <w:r>
        <w:t>3.0 Report Header</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9"/>
          </w:tcPr>
          <w:p>
            <w:r/>
            <w:r>
              <w:rPr>
                <w:b/>
                <w:color w:val="FFFFFF"/>
                <w:sz w:val="20"/>
              </w:rPr>
              <w:t>Field</w:t>
            </w:r>
          </w:p>
        </w:tc>
        <w:tc>
          <w:tcPr>
            <w:tcW w:type="dxa" w:w="4320"/>
            <w:shd w:val="clear" w:fill="1F4E79"/>
          </w:tcPr>
          <w:p>
            <w:r/>
            <w:r>
              <w:rPr>
                <w:b/>
                <w:color w:val="FFFFFF"/>
                <w:sz w:val="20"/>
              </w:rPr>
              <w:t>Detail</w:t>
            </w:r>
          </w:p>
        </w:tc>
      </w:tr>
      <w:tr>
        <w:tc>
          <w:tcPr>
            <w:tcW w:type="dxa" w:w="4320"/>
          </w:tcPr>
          <w:p>
            <w:r>
              <w:rPr>
                <w:sz w:val="20"/>
              </w:rPr>
              <w:t>Report title</w:t>
            </w:r>
          </w:p>
        </w:tc>
        <w:tc>
          <w:tcPr>
            <w:tcW w:type="dxa" w:w="4320"/>
          </w:tcPr>
          <w:p>
            <w:r>
              <w:rPr>
                <w:sz w:val="20"/>
              </w:rPr>
              <w:t>EISP Quarterly Compliance Status Report — Q3 2026</w:t>
            </w:r>
          </w:p>
        </w:tc>
      </w:tr>
      <w:tr>
        <w:tc>
          <w:tcPr>
            <w:tcW w:type="dxa" w:w="4320"/>
          </w:tcPr>
          <w:p>
            <w:r>
              <w:rPr>
                <w:sz w:val="20"/>
              </w:rPr>
              <w:t>Reporting period</w:t>
            </w:r>
          </w:p>
        </w:tc>
        <w:tc>
          <w:tcPr>
            <w:tcW w:type="dxa" w:w="4320"/>
          </w:tcPr>
          <w:p>
            <w:r>
              <w:rPr>
                <w:sz w:val="20"/>
              </w:rPr>
              <w:t>1 July 2026 – 30 September 2026</w:t>
            </w:r>
          </w:p>
        </w:tc>
      </w:tr>
      <w:tr>
        <w:tc>
          <w:tcPr>
            <w:tcW w:type="dxa" w:w="4320"/>
          </w:tcPr>
          <w:p>
            <w:r>
              <w:rPr>
                <w:sz w:val="20"/>
              </w:rPr>
              <w:t>Prepared by</w:t>
            </w:r>
          </w:p>
        </w:tc>
        <w:tc>
          <w:tcPr>
            <w:tcW w:type="dxa" w:w="4320"/>
          </w:tcPr>
          <w:p>
            <w:r>
              <w:rPr>
                <w:sz w:val="20"/>
              </w:rPr>
              <w:t>Manisha Gupta, IAM Engineer</w:t>
            </w:r>
          </w:p>
        </w:tc>
      </w:tr>
      <w:tr>
        <w:tc>
          <w:tcPr>
            <w:tcW w:type="dxa" w:w="4320"/>
          </w:tcPr>
          <w:p>
            <w:r>
              <w:rPr>
                <w:sz w:val="20"/>
              </w:rPr>
              <w:t>Date issued</w:t>
            </w:r>
          </w:p>
        </w:tc>
        <w:tc>
          <w:tcPr>
            <w:tcW w:type="dxa" w:w="4320"/>
          </w:tcPr>
          <w:p>
            <w:r>
              <w:rPr>
                <w:sz w:val="20"/>
              </w:rPr>
              <w:t>October 2026</w:t>
            </w:r>
          </w:p>
        </w:tc>
      </w:tr>
      <w:tr>
        <w:tc>
          <w:tcPr>
            <w:tcW w:type="dxa" w:w="4320"/>
          </w:tcPr>
          <w:p>
            <w:r>
              <w:rPr>
                <w:sz w:val="20"/>
              </w:rPr>
              <w:t>Classification</w:t>
            </w:r>
          </w:p>
        </w:tc>
        <w:tc>
          <w:tcPr>
            <w:tcW w:type="dxa" w:w="4320"/>
          </w:tcPr>
          <w:p>
            <w:r>
              <w:rPr>
                <w:sz w:val="20"/>
              </w:rPr>
              <w:t>Confidential</w:t>
            </w:r>
          </w:p>
        </w:tc>
      </w:tr>
      <w:tr>
        <w:tc>
          <w:tcPr>
            <w:tcW w:type="dxa" w:w="4320"/>
          </w:tcPr>
          <w:p>
            <w:r>
              <w:rPr>
                <w:sz w:val="20"/>
              </w:rPr>
              <w:t>Distribution</w:t>
            </w:r>
          </w:p>
        </w:tc>
        <w:tc>
          <w:tcPr>
            <w:tcW w:type="dxa" w:w="4320"/>
          </w:tcPr>
          <w:p>
            <w:r>
              <w:rPr>
                <w:sz w:val="20"/>
              </w:rPr>
              <w:t>Project sponsor, Compliance Committee</w:t>
            </w:r>
          </w:p>
        </w:tc>
      </w:tr>
    </w:tbl>
    <w:p/>
    <w:p>
      <w:pPr>
        <w:pStyle w:val="Heading2"/>
      </w:pPr>
      <w:r>
        <w:t>3.1 Executive Summary</w:t>
      </w:r>
    </w:p>
    <w:p>
      <w:r>
        <w:rPr>
          <w:b w:val="0"/>
          <w:i w:val="0"/>
        </w:rPr>
        <w:t>EISP's compliance posture for Q3 2026 is assessed as LARGELY COMPLIANT, with remediation in progress on identified gaps. Twelve controls were assessed across three domains: identity lifecycle management, authentication assurance, and AWS IAM configuration governance.</w:t>
      </w:r>
    </w:p>
    <w:p>
      <w:r>
        <w:rPr>
          <w:b w:val="0"/>
          <w:i w:val="0"/>
        </w:rPr>
        <w:t>Six findings were recorded: 2 High, 2 Medium, and 2 Low severity; no Critical findings. Both High findings relate to container and secrets hardening of the Authentik deployment (worker running as root with Docker socket access; LDAP outpost using an insecure flag and hardcoded API token). Remediation plans with owners and Q4 2026 target dates are approved and tracked in Section 3.5.</w:t>
      </w:r>
    </w:p>
    <w:p>
      <w:r>
        <w:rPr>
          <w:b w:val="0"/>
          <w:i w:val="0"/>
        </w:rPr>
        <w:t>Control strengths confirmed this quarter include: the EISP-PermissionBoundary Zero Trust ceiling applied to all three IAM roles, SAML federation trust enforcing the SAML:aud condition, 4-hour STS session limits, explicit-deny statements blocking privilege escalation, and default resource tagging (Classification=Confidential, ZeroTrust=true). No compliance incidents or control failures affecting production-equivalent workloads occurred during the period.</w:t>
      </w:r>
    </w:p>
    <w:p>
      <w:pPr>
        <w:pStyle w:val="Heading2"/>
      </w:pPr>
      <w:r>
        <w:t>3.2 Scope and Methodology</w:t>
      </w:r>
    </w:p>
    <w:p>
      <w:pPr>
        <w:pStyle w:val="Heading3"/>
      </w:pPr>
      <w:r>
        <w:t>3.2.1 Scope</w:t>
      </w:r>
    </w:p>
    <w:p>
      <w:pPr>
        <w:pStyle w:val="ListBullet"/>
      </w:pPr>
      <w:r>
        <w:t>In scope: Authentik IdP deployment (server and worker services v2026.2.2, PostgreSQL 16 database, LDAP outpost), AWS IAM Terraform configuration (EISP-Developer-Role, EISP-SecurityAnalyst-Role, EISP-IAMEngineer-Role; the three RBAC policies; EISP-PermissionBoundary; authentik-saml federation), and identity lifecycle procedures (provisioning, recertification).</w:t>
      </w:r>
    </w:p>
    <w:p>
      <w:pPr>
        <w:pStyle w:val="ListBullet"/>
      </w:pPr>
      <w:r>
        <w:t>Out of scope: the traefik/whoami test application (non-production lab component) and host network firewall rules (managed outside EISP).</w:t>
      </w:r>
    </w:p>
    <w:p>
      <w:pPr>
        <w:pStyle w:val="Heading3"/>
      </w:pPr>
      <w:r>
        <w:t>3.2.2 Methodology</w:t>
      </w:r>
    </w:p>
    <w:p>
      <w:pPr>
        <w:pStyle w:val="ListBullet"/>
      </w:pPr>
      <w:r>
        <w:t>Configuration inspection: docker-compose.yml, main.tf (490 lines), authentik-metadata.xml, and EISP-IAM-004 policy JSON reviewed against PCI DSS v4.0 and NIST SP 800-53 control baselines.</w:t>
      </w:r>
    </w:p>
    <w:p>
      <w:pPr>
        <w:pStyle w:val="ListBullet"/>
      </w:pPr>
      <w:r>
        <w:t>Document review: IAM Policies Design Document, risk register, and change history.</w:t>
      </w:r>
    </w:p>
    <w:p>
      <w:pPr>
        <w:pStyle w:val="ListBullet"/>
      </w:pPr>
      <w:r>
        <w:t>Log sampling: Authentik event log sample (n=50 authentication events) and CloudTrail lookup for IAM changes in the period.</w:t>
      </w:r>
    </w:p>
    <w:p>
      <w:pPr>
        <w:pStyle w:val="ListBullet"/>
      </w:pPr>
      <w:r>
        <w:t>Interviews: walkthrough with the IAM Engineer (platform operator).</w:t>
      </w:r>
    </w:p>
    <w:p>
      <w:pPr>
        <w:pStyle w:val="Heading2"/>
      </w:pPr>
      <w:r>
        <w:t>3.3 Key Findings</w:t>
      </w:r>
    </w:p>
    <w:p>
      <w:r>
        <w:rPr>
          <w:b w:val="0"/>
          <w:i w:val="0"/>
        </w:rPr>
        <w:t>Findings are rated Critical / High / Medium / Low based on exploitability and impact on identity assurance: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Finding ID</w:t>
            </w:r>
          </w:p>
        </w:tc>
        <w:tc>
          <w:tcPr>
            <w:tcW w:type="dxa" w:w="2160"/>
            <w:shd w:val="clear" w:fill="1F4E79"/>
          </w:tcPr>
          <w:p>
            <w:r/>
            <w:r>
              <w:rPr>
                <w:b/>
                <w:color w:val="FFFFFF"/>
                <w:sz w:val="20"/>
              </w:rPr>
              <w:t>Area</w:t>
            </w:r>
          </w:p>
        </w:tc>
        <w:tc>
          <w:tcPr>
            <w:tcW w:type="dxa" w:w="2160"/>
            <w:shd w:val="clear" w:fill="1F4E79"/>
          </w:tcPr>
          <w:p>
            <w:r/>
            <w:r>
              <w:rPr>
                <w:b/>
                <w:color w:val="FFFFFF"/>
                <w:sz w:val="20"/>
              </w:rPr>
              <w:t>Severity</w:t>
            </w:r>
          </w:p>
        </w:tc>
        <w:tc>
          <w:tcPr>
            <w:tcW w:type="dxa" w:w="2160"/>
            <w:shd w:val="clear" w:fill="1F4E79"/>
          </w:tcPr>
          <w:p>
            <w:r/>
            <w:r>
              <w:rPr>
                <w:b/>
                <w:color w:val="FFFFFF"/>
                <w:sz w:val="20"/>
              </w:rPr>
              <w:t>Finding</w:t>
            </w:r>
          </w:p>
        </w:tc>
      </w:tr>
      <w:tr>
        <w:tc>
          <w:tcPr>
            <w:tcW w:type="dxa" w:w="2160"/>
          </w:tcPr>
          <w:p>
            <w:r>
              <w:rPr>
                <w:sz w:val="20"/>
              </w:rPr>
              <w:t>F-2026-01</w:t>
            </w:r>
          </w:p>
        </w:tc>
        <w:tc>
          <w:tcPr>
            <w:tcW w:type="dxa" w:w="2160"/>
          </w:tcPr>
          <w:p>
            <w:r>
              <w:rPr>
                <w:sz w:val="20"/>
              </w:rPr>
              <w:t>Container security</w:t>
            </w:r>
          </w:p>
        </w:tc>
        <w:tc>
          <w:tcPr>
            <w:tcW w:type="dxa" w:w="2160"/>
          </w:tcPr>
          <w:p>
            <w:r>
              <w:rPr>
                <w:sz w:val="20"/>
              </w:rPr>
              <w:t>High</w:t>
            </w:r>
          </w:p>
        </w:tc>
        <w:tc>
          <w:tcPr>
            <w:tcW w:type="dxa" w:w="2160"/>
          </w:tcPr>
          <w:p>
            <w:r>
              <w:rPr>
                <w:sz w:val="20"/>
              </w:rPr>
              <w:t>The Authentik worker container runs as root (user: root) with /var/run/docker.sock mounted. A container escape would compromise the host and the identity provider itself.</w:t>
            </w:r>
          </w:p>
        </w:tc>
      </w:tr>
      <w:tr>
        <w:tc>
          <w:tcPr>
            <w:tcW w:type="dxa" w:w="2160"/>
          </w:tcPr>
          <w:p>
            <w:r>
              <w:rPr>
                <w:sz w:val="20"/>
              </w:rPr>
              <w:t>F-2026-02</w:t>
            </w:r>
          </w:p>
        </w:tc>
        <w:tc>
          <w:tcPr>
            <w:tcW w:type="dxa" w:w="2160"/>
          </w:tcPr>
          <w:p>
            <w:r>
              <w:rPr>
                <w:sz w:val="20"/>
              </w:rPr>
              <w:t>Secrets management</w:t>
            </w:r>
          </w:p>
        </w:tc>
        <w:tc>
          <w:tcPr>
            <w:tcW w:type="dxa" w:w="2160"/>
          </w:tcPr>
          <w:p>
            <w:r>
              <w:rPr>
                <w:sz w:val="20"/>
              </w:rPr>
              <w:t>High</w:t>
            </w:r>
          </w:p>
        </w:tc>
        <w:tc>
          <w:tcPr>
            <w:tcW w:type="dxa" w:w="2160"/>
          </w:tcPr>
          <w:p>
            <w:r>
              <w:rPr>
                <w:sz w:val="20"/>
              </w:rPr>
              <w:t>The LDAP outpost is configured with AUTHENTIK_INSECURE=true and a hardcoded API token committed in docker-compose.yml, exposing the token and permitting unencrypted LDAP binds.</w:t>
            </w:r>
          </w:p>
        </w:tc>
      </w:tr>
      <w:tr>
        <w:tc>
          <w:tcPr>
            <w:tcW w:type="dxa" w:w="2160"/>
          </w:tcPr>
          <w:p>
            <w:r>
              <w:rPr>
                <w:sz w:val="20"/>
              </w:rPr>
              <w:t>F-2026-03</w:t>
            </w:r>
          </w:p>
        </w:tc>
        <w:tc>
          <w:tcPr>
            <w:tcW w:type="dxa" w:w="2160"/>
          </w:tcPr>
          <w:p>
            <w:r>
              <w:rPr>
                <w:sz w:val="20"/>
              </w:rPr>
              <w:t>Authentication assurance</w:t>
            </w:r>
          </w:p>
        </w:tc>
        <w:tc>
          <w:tcPr>
            <w:tcW w:type="dxa" w:w="2160"/>
          </w:tcPr>
          <w:p>
            <w:r>
              <w:rPr>
                <w:sz w:val="20"/>
              </w:rPr>
              <w:t>Medium</w:t>
            </w:r>
          </w:p>
        </w:tc>
        <w:tc>
          <w:tcPr>
            <w:tcW w:type="dxa" w:w="2160"/>
          </w:tcPr>
          <w:p>
            <w:r>
              <w:rPr>
                <w:sz w:val="20"/>
              </w:rPr>
              <w:t>MFA enrollment is not enforced or measured across Authentik users; no enrollment report exists (PCI DSS Req 8.4; NIST IA-2).</w:t>
            </w:r>
          </w:p>
        </w:tc>
      </w:tr>
      <w:tr>
        <w:tc>
          <w:tcPr>
            <w:tcW w:type="dxa" w:w="2160"/>
          </w:tcPr>
          <w:p>
            <w:r>
              <w:rPr>
                <w:sz w:val="20"/>
              </w:rPr>
              <w:t>F-2026-04</w:t>
            </w:r>
          </w:p>
        </w:tc>
        <w:tc>
          <w:tcPr>
            <w:tcW w:type="dxa" w:w="2160"/>
          </w:tcPr>
          <w:p>
            <w:r>
              <w:rPr>
                <w:sz w:val="20"/>
              </w:rPr>
              <w:t>Access governance</w:t>
            </w:r>
          </w:p>
        </w:tc>
        <w:tc>
          <w:tcPr>
            <w:tcW w:type="dxa" w:w="2160"/>
          </w:tcPr>
          <w:p>
            <w:r>
              <w:rPr>
                <w:sz w:val="20"/>
              </w:rPr>
              <w:t>Medium</w:t>
            </w:r>
          </w:p>
        </w:tc>
        <w:tc>
          <w:tcPr>
            <w:tcW w:type="dxa" w:w="2160"/>
          </w:tcPr>
          <w:p>
            <w:r>
              <w:rPr>
                <w:sz w:val="20"/>
              </w:rPr>
              <w:t>The first quarterly access recertification of Authentik groups and AWS IAM role assignments has not yet been performed (due Q4 2026).</w:t>
            </w:r>
          </w:p>
        </w:tc>
      </w:tr>
      <w:tr>
        <w:tc>
          <w:tcPr>
            <w:tcW w:type="dxa" w:w="2160"/>
          </w:tcPr>
          <w:p>
            <w:r>
              <w:rPr>
                <w:sz w:val="20"/>
              </w:rPr>
              <w:t>F-2026-05</w:t>
            </w:r>
          </w:p>
        </w:tc>
        <w:tc>
          <w:tcPr>
            <w:tcW w:type="dxa" w:w="2160"/>
          </w:tcPr>
          <w:p>
            <w:r>
              <w:rPr>
                <w:sz w:val="20"/>
              </w:rPr>
              <w:t>Attack surface</w:t>
            </w:r>
          </w:p>
        </w:tc>
        <w:tc>
          <w:tcPr>
            <w:tcW w:type="dxa" w:w="2160"/>
          </w:tcPr>
          <w:p>
            <w:r>
              <w:rPr>
                <w:sz w:val="20"/>
              </w:rPr>
              <w:t>Low</w:t>
            </w:r>
          </w:p>
        </w:tc>
        <w:tc>
          <w:tcPr>
            <w:tcW w:type="dxa" w:w="2160"/>
          </w:tcPr>
          <w:p>
            <w:r>
              <w:rPr>
                <w:sz w:val="20"/>
              </w:rPr>
              <w:t>The traefik/whoami test application is deployed without authentication. Acceptable for lab testing; must be removed before any production-equivalent use.</w:t>
            </w:r>
          </w:p>
        </w:tc>
      </w:tr>
      <w:tr>
        <w:tc>
          <w:tcPr>
            <w:tcW w:type="dxa" w:w="2160"/>
          </w:tcPr>
          <w:p>
            <w:r>
              <w:rPr>
                <w:sz w:val="20"/>
              </w:rPr>
              <w:t>F-2026-06</w:t>
            </w:r>
          </w:p>
        </w:tc>
        <w:tc>
          <w:tcPr>
            <w:tcW w:type="dxa" w:w="2160"/>
          </w:tcPr>
          <w:p>
            <w:r>
              <w:rPr>
                <w:sz w:val="20"/>
              </w:rPr>
              <w:t>Change control</w:t>
            </w:r>
          </w:p>
        </w:tc>
        <w:tc>
          <w:tcPr>
            <w:tcW w:type="dxa" w:w="2160"/>
          </w:tcPr>
          <w:p>
            <w:r>
              <w:rPr>
                <w:sz w:val="20"/>
              </w:rPr>
              <w:t>Low</w:t>
            </w:r>
          </w:p>
        </w:tc>
        <w:tc>
          <w:tcPr>
            <w:tcW w:type="dxa" w:w="2160"/>
          </w:tcPr>
          <w:p>
            <w:r>
              <w:rPr>
                <w:sz w:val="20"/>
              </w:rPr>
              <w:t>The Terraform state backend, state-file encryption, and locking are not documented, and drift detection is not yet automated.</w:t>
            </w:r>
          </w:p>
        </w:tc>
      </w:tr>
    </w:tbl>
    <w:p/>
    <w:p>
      <w:pPr>
        <w:pStyle w:val="Heading3"/>
      </w:pPr>
      <w:r>
        <w:t>3.3.1 Positive observations (controls operating effectively)</w:t>
      </w:r>
    </w:p>
    <w:p>
      <w:pPr>
        <w:pStyle w:val="ListBullet"/>
      </w:pPr>
      <w:r>
        <w:t>EISP-PermissionBoundary attached to all three roles: hard ceiling limiting actions to us-east-1 with unconditional deny of billing, organizations, and account actions — privilege escalation is structurally blocked.</w:t>
      </w:r>
    </w:p>
    <w:p>
      <w:pPr>
        <w:pStyle w:val="ListBullet"/>
      </w:pPr>
      <w:r>
        <w:t>SAML federation trust enforces the SAML:aud condition (https://signin.aws.amazon.com/saml), preventing assertion replay to other services.</w:t>
      </w:r>
    </w:p>
    <w:p>
      <w:pPr>
        <w:pStyle w:val="ListBullet"/>
      </w:pPr>
      <w:r>
        <w:t>4-hour maximum STS session duration on EISP-Developer-Role enforces time-limited access (Zero Trust).</w:t>
      </w:r>
    </w:p>
    <w:p>
      <w:pPr>
        <w:pStyle w:val="ListBullet"/>
      </w:pPr>
      <w:r>
        <w:t>Explicit-deny statements (DenyAdminEscalation, DenyDataAccess, DenyIAMModifications, DenyVPCModifications) block sensitive actions by default rather than by omission.</w:t>
      </w:r>
    </w:p>
    <w:p>
      <w:pPr>
        <w:pStyle w:val="ListBullet"/>
      </w:pPr>
      <w:r>
        <w:t>Default tagging (Project=EISP, Classification=Confidential, ZeroTrust=true, ManagedBy=Terraform) applied to every Terraform-managed resource — no anonymous infrastructure.</w:t>
      </w:r>
    </w:p>
    <w:p>
      <w:pPr>
        <w:pStyle w:val="Heading2"/>
      </w:pPr>
      <w:r>
        <w:t>3.4 Risk Heat Map</w:t>
      </w:r>
    </w:p>
    <w:p>
      <w:r>
        <w:rPr>
          <w:b w:val="0"/>
          <w:i w:val="0"/>
        </w:rPr>
        <w:t>Findings plotted by likelihood (1–5) and impact (1–5). Shading: green = Low (1–6), amber = Medium (8–12), red = High (15–25).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20"/>
              </w:rPr>
              <w:t>Impact \ Likelihood</w:t>
            </w:r>
          </w:p>
        </w:tc>
        <w:tc>
          <w:tcPr>
            <w:tcW w:type="dxa" w:w="1440"/>
            <w:shd w:val="clear" w:fill="1F4E79"/>
          </w:tcPr>
          <w:p>
            <w:r/>
            <w:r>
              <w:rPr>
                <w:b/>
                <w:color w:val="FFFFFF"/>
                <w:sz w:val="20"/>
              </w:rPr>
              <w:t>1</w:t>
            </w:r>
          </w:p>
        </w:tc>
        <w:tc>
          <w:tcPr>
            <w:tcW w:type="dxa" w:w="1440"/>
            <w:shd w:val="clear" w:fill="1F4E79"/>
          </w:tcPr>
          <w:p>
            <w:r/>
            <w:r>
              <w:rPr>
                <w:b/>
                <w:color w:val="FFFFFF"/>
                <w:sz w:val="20"/>
              </w:rPr>
              <w:t>2</w:t>
            </w:r>
          </w:p>
        </w:tc>
        <w:tc>
          <w:tcPr>
            <w:tcW w:type="dxa" w:w="1440"/>
            <w:shd w:val="clear" w:fill="1F4E79"/>
          </w:tcPr>
          <w:p>
            <w:r/>
            <w:r>
              <w:rPr>
                <w:b/>
                <w:color w:val="FFFFFF"/>
                <w:sz w:val="20"/>
              </w:rPr>
              <w:t>3</w:t>
            </w:r>
          </w:p>
        </w:tc>
        <w:tc>
          <w:tcPr>
            <w:tcW w:type="dxa" w:w="1440"/>
            <w:shd w:val="clear" w:fill="1F4E79"/>
          </w:tcPr>
          <w:p>
            <w:r/>
            <w:r>
              <w:rPr>
                <w:b/>
                <w:color w:val="FFFFFF"/>
                <w:sz w:val="20"/>
              </w:rPr>
              <w:t>4</w:t>
            </w:r>
          </w:p>
        </w:tc>
        <w:tc>
          <w:tcPr>
            <w:tcW w:type="dxa" w:w="1440"/>
            <w:shd w:val="clear" w:fill="1F4E79"/>
          </w:tcPr>
          <w:p>
            <w:r/>
            <w:r>
              <w:rPr>
                <w:b/>
                <w:color w:val="FFFFFF"/>
                <w:sz w:val="20"/>
              </w:rPr>
              <w:t>5</w:t>
            </w:r>
          </w:p>
        </w:tc>
      </w:tr>
      <w:tr>
        <w:tc>
          <w:tcPr>
            <w:tcW w:type="dxa" w:w="1440"/>
            <w:shd w:val="clear" w:fill="1F4E79"/>
          </w:tcPr>
          <w:p>
            <w:r/>
            <w:r>
              <w:rPr>
                <w:b/>
                <w:color w:val="FFFFFF"/>
                <w:sz w:val="20"/>
              </w:rPr>
              <w:t>5</w:t>
            </w:r>
          </w:p>
        </w:tc>
        <w:tc>
          <w:tcPr>
            <w:tcW w:type="dxa" w:w="1440"/>
            <w:shd w:val="clear" w:fill="C6EFCE"/>
          </w:tcPr>
          <w:p>
            <w:r/>
          </w:p>
        </w:tc>
        <w:tc>
          <w:tcPr>
            <w:tcW w:type="dxa" w:w="1440"/>
            <w:shd w:val="clear" w:fill="FFEB9C"/>
          </w:tcPr>
          <w:p>
            <w:r/>
            <w:r>
              <w:rPr>
                <w:b/>
                <w:sz w:val="20"/>
              </w:rPr>
              <w:t>F-2026-01</w:t>
            </w:r>
          </w:p>
        </w:tc>
        <w:tc>
          <w:tcPr>
            <w:tcW w:type="dxa" w:w="1440"/>
            <w:shd w:val="clear" w:fill="FFC7CE"/>
          </w:tcPr>
          <w:p>
            <w:r/>
          </w:p>
        </w:tc>
        <w:tc>
          <w:tcPr>
            <w:tcW w:type="dxa" w:w="1440"/>
            <w:shd w:val="clear" w:fill="FFC7CE"/>
          </w:tcPr>
          <w:p>
            <w:r/>
          </w:p>
        </w:tc>
        <w:tc>
          <w:tcPr>
            <w:tcW w:type="dxa" w:w="1440"/>
            <w:shd w:val="clear" w:fill="FFC7CE"/>
          </w:tcPr>
          <w:p>
            <w:r/>
          </w:p>
        </w:tc>
      </w:tr>
      <w:tr>
        <w:tc>
          <w:tcPr>
            <w:tcW w:type="dxa" w:w="1440"/>
            <w:shd w:val="clear" w:fill="1F4E79"/>
          </w:tcPr>
          <w:p>
            <w:r/>
            <w:r>
              <w:rPr>
                <w:b/>
                <w:color w:val="FFFFFF"/>
                <w:sz w:val="20"/>
              </w:rPr>
              <w:t>4</w:t>
            </w:r>
          </w:p>
        </w:tc>
        <w:tc>
          <w:tcPr>
            <w:tcW w:type="dxa" w:w="1440"/>
            <w:shd w:val="clear" w:fill="C6EFCE"/>
          </w:tcPr>
          <w:p>
            <w:r/>
          </w:p>
        </w:tc>
        <w:tc>
          <w:tcPr>
            <w:tcW w:type="dxa" w:w="1440"/>
            <w:shd w:val="clear" w:fill="FFEB9C"/>
          </w:tcPr>
          <w:p>
            <w:r/>
          </w:p>
        </w:tc>
        <w:tc>
          <w:tcPr>
            <w:tcW w:type="dxa" w:w="1440"/>
            <w:shd w:val="clear" w:fill="FFEB9C"/>
          </w:tcPr>
          <w:p>
            <w:r/>
            <w:r>
              <w:rPr>
                <w:b/>
                <w:sz w:val="20"/>
              </w:rPr>
              <w:t>F-2026-02</w:t>
            </w:r>
          </w:p>
        </w:tc>
        <w:tc>
          <w:tcPr>
            <w:tcW w:type="dxa" w:w="1440"/>
            <w:shd w:val="clear" w:fill="FFC7CE"/>
          </w:tcPr>
          <w:p>
            <w:r/>
          </w:p>
        </w:tc>
        <w:tc>
          <w:tcPr>
            <w:tcW w:type="dxa" w:w="1440"/>
            <w:shd w:val="clear" w:fill="FFC7CE"/>
          </w:tcPr>
          <w:p>
            <w:r/>
          </w:p>
        </w:tc>
      </w:tr>
      <w:tr>
        <w:tc>
          <w:tcPr>
            <w:tcW w:type="dxa" w:w="1440"/>
            <w:shd w:val="clear" w:fill="1F4E79"/>
          </w:tcPr>
          <w:p>
            <w:r/>
            <w:r>
              <w:rPr>
                <w:b/>
                <w:color w:val="FFFFFF"/>
                <w:sz w:val="20"/>
              </w:rPr>
              <w:t>3</w:t>
            </w:r>
          </w:p>
        </w:tc>
        <w:tc>
          <w:tcPr>
            <w:tcW w:type="dxa" w:w="1440"/>
            <w:shd w:val="clear" w:fill="C6EFCE"/>
          </w:tcPr>
          <w:p>
            <w:r/>
          </w:p>
        </w:tc>
        <w:tc>
          <w:tcPr>
            <w:tcW w:type="dxa" w:w="1440"/>
            <w:shd w:val="clear" w:fill="C6EFCE"/>
          </w:tcPr>
          <w:p>
            <w:r/>
            <w:r>
              <w:rPr>
                <w:b/>
                <w:sz w:val="20"/>
              </w:rPr>
              <w:t>F-2026-04</w:t>
            </w:r>
          </w:p>
        </w:tc>
        <w:tc>
          <w:tcPr>
            <w:tcW w:type="dxa" w:w="1440"/>
            <w:shd w:val="clear" w:fill="FFEB9C"/>
          </w:tcPr>
          <w:p>
            <w:r/>
            <w:r>
              <w:rPr>
                <w:b/>
                <w:sz w:val="20"/>
              </w:rPr>
              <w:t>F-2026-03</w:t>
            </w:r>
          </w:p>
        </w:tc>
        <w:tc>
          <w:tcPr>
            <w:tcW w:type="dxa" w:w="1440"/>
            <w:shd w:val="clear" w:fill="FFEB9C"/>
          </w:tcPr>
          <w:p>
            <w:r/>
          </w:p>
        </w:tc>
        <w:tc>
          <w:tcPr>
            <w:tcW w:type="dxa" w:w="1440"/>
            <w:shd w:val="clear" w:fill="FFC7CE"/>
          </w:tcPr>
          <w:p>
            <w:r/>
          </w:p>
        </w:tc>
      </w:tr>
      <w:tr>
        <w:tc>
          <w:tcPr>
            <w:tcW w:type="dxa" w:w="1440"/>
            <w:shd w:val="clear" w:fill="1F4E79"/>
          </w:tcPr>
          <w:p>
            <w:r/>
            <w:r>
              <w:rPr>
                <w:b/>
                <w:color w:val="FFFFFF"/>
                <w:sz w:val="20"/>
              </w:rPr>
              <w:t>2</w:t>
            </w:r>
          </w:p>
        </w:tc>
        <w:tc>
          <w:tcPr>
            <w:tcW w:type="dxa" w:w="1440"/>
            <w:shd w:val="clear" w:fill="C6EFCE"/>
          </w:tcPr>
          <w:p>
            <w:r/>
          </w:p>
        </w:tc>
        <w:tc>
          <w:tcPr>
            <w:tcW w:type="dxa" w:w="1440"/>
            <w:shd w:val="clear" w:fill="C6EFCE"/>
          </w:tcPr>
          <w:p>
            <w:r/>
            <w:r>
              <w:rPr>
                <w:b/>
                <w:sz w:val="20"/>
              </w:rPr>
              <w:t>F-2026-06</w:t>
            </w:r>
          </w:p>
        </w:tc>
        <w:tc>
          <w:tcPr>
            <w:tcW w:type="dxa" w:w="1440"/>
            <w:shd w:val="clear" w:fill="C6EFCE"/>
          </w:tcPr>
          <w:p>
            <w:r/>
          </w:p>
        </w:tc>
        <w:tc>
          <w:tcPr>
            <w:tcW w:type="dxa" w:w="1440"/>
            <w:shd w:val="clear" w:fill="FFEB9C"/>
          </w:tcPr>
          <w:p>
            <w:r/>
          </w:p>
        </w:tc>
        <w:tc>
          <w:tcPr>
            <w:tcW w:type="dxa" w:w="1440"/>
            <w:shd w:val="clear" w:fill="FFEB9C"/>
          </w:tcPr>
          <w:p>
            <w:r/>
          </w:p>
        </w:tc>
      </w:tr>
      <w:tr>
        <w:tc>
          <w:tcPr>
            <w:tcW w:type="dxa" w:w="1440"/>
            <w:shd w:val="clear" w:fill="1F4E79"/>
          </w:tcPr>
          <w:p>
            <w:r/>
            <w:r>
              <w:rPr>
                <w:b/>
                <w:color w:val="FFFFFF"/>
                <w:sz w:val="20"/>
              </w:rPr>
              <w:t>1</w:t>
            </w:r>
          </w:p>
        </w:tc>
        <w:tc>
          <w:tcPr>
            <w:tcW w:type="dxa" w:w="1440"/>
            <w:shd w:val="clear" w:fill="C6EFCE"/>
          </w:tcPr>
          <w:p>
            <w:r/>
          </w:p>
        </w:tc>
        <w:tc>
          <w:tcPr>
            <w:tcW w:type="dxa" w:w="1440"/>
            <w:shd w:val="clear" w:fill="C6EFCE"/>
          </w:tcPr>
          <w:p>
            <w:r/>
          </w:p>
        </w:tc>
        <w:tc>
          <w:tcPr>
            <w:tcW w:type="dxa" w:w="1440"/>
            <w:shd w:val="clear" w:fill="C6EFCE"/>
          </w:tcPr>
          <w:p>
            <w:r/>
          </w:p>
        </w:tc>
        <w:tc>
          <w:tcPr>
            <w:tcW w:type="dxa" w:w="1440"/>
            <w:shd w:val="clear" w:fill="C6EFCE"/>
          </w:tcPr>
          <w:p>
            <w:r/>
            <w:r>
              <w:rPr>
                <w:b/>
                <w:sz w:val="20"/>
              </w:rPr>
              <w:t>F-2026-05</w:t>
            </w:r>
          </w:p>
        </w:tc>
        <w:tc>
          <w:tcPr>
            <w:tcW w:type="dxa" w:w="1440"/>
            <w:shd w:val="clear" w:fill="C6EFCE"/>
          </w:tcPr>
          <w:p>
            <w:r/>
          </w:p>
        </w:tc>
      </w:tr>
    </w:tbl>
    <w:p/>
    <w:p>
      <w:r>
        <w:rPr>
          <w:b w:val="0"/>
          <w:i/>
        </w:rPr>
        <w:t>Reading: F-2026-01 and F-2026-02 sit in the High zone and are prioritized for Q4 remediation; F-2026-03 and F-2026-04 are Medium; F-2026-05 and F-2026-06 are Low.</w:t>
      </w:r>
    </w:p>
    <w:p>
      <w:pPr>
        <w:pStyle w:val="Heading2"/>
      </w:pPr>
      <w:r>
        <w:t>3.5 Recommendations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20"/>
              </w:rPr>
              <w:t>Rec ID</w:t>
            </w:r>
          </w:p>
        </w:tc>
        <w:tc>
          <w:tcPr>
            <w:tcW w:type="dxa" w:w="1440"/>
            <w:shd w:val="clear" w:fill="1F4E79"/>
          </w:tcPr>
          <w:p>
            <w:r/>
            <w:r>
              <w:rPr>
                <w:b/>
                <w:color w:val="FFFFFF"/>
                <w:sz w:val="20"/>
              </w:rPr>
              <w:t>Finding</w:t>
            </w:r>
          </w:p>
        </w:tc>
        <w:tc>
          <w:tcPr>
            <w:tcW w:type="dxa" w:w="1440"/>
            <w:shd w:val="clear" w:fill="1F4E79"/>
          </w:tcPr>
          <w:p>
            <w:r/>
            <w:r>
              <w:rPr>
                <w:b/>
                <w:color w:val="FFFFFF"/>
                <w:sz w:val="20"/>
              </w:rPr>
              <w:t>Recommendation</w:t>
            </w:r>
          </w:p>
        </w:tc>
        <w:tc>
          <w:tcPr>
            <w:tcW w:type="dxa" w:w="1440"/>
            <w:shd w:val="clear" w:fill="1F4E79"/>
          </w:tcPr>
          <w:p>
            <w:r/>
            <w:r>
              <w:rPr>
                <w:b/>
                <w:color w:val="FFFFFF"/>
                <w:sz w:val="20"/>
              </w:rPr>
              <w:t>Owner</w:t>
            </w:r>
          </w:p>
        </w:tc>
        <w:tc>
          <w:tcPr>
            <w:tcW w:type="dxa" w:w="1440"/>
            <w:shd w:val="clear" w:fill="1F4E79"/>
          </w:tcPr>
          <w:p>
            <w:r/>
            <w:r>
              <w:rPr>
                <w:b/>
                <w:color w:val="FFFFFF"/>
                <w:sz w:val="20"/>
              </w:rPr>
              <w:t>Target Date</w:t>
            </w:r>
          </w:p>
        </w:tc>
        <w:tc>
          <w:tcPr>
            <w:tcW w:type="dxa" w:w="1440"/>
            <w:shd w:val="clear" w:fill="1F4E79"/>
          </w:tcPr>
          <w:p>
            <w:r/>
            <w:r>
              <w:rPr>
                <w:b/>
                <w:color w:val="FFFFFF"/>
                <w:sz w:val="20"/>
              </w:rPr>
              <w:t>Priority</w:t>
            </w:r>
          </w:p>
        </w:tc>
      </w:tr>
      <w:tr>
        <w:tc>
          <w:tcPr>
            <w:tcW w:type="dxa" w:w="1440"/>
          </w:tcPr>
          <w:p>
            <w:r>
              <w:rPr>
                <w:sz w:val="20"/>
              </w:rPr>
              <w:t>R-01</w:t>
            </w:r>
          </w:p>
        </w:tc>
        <w:tc>
          <w:tcPr>
            <w:tcW w:type="dxa" w:w="1440"/>
          </w:tcPr>
          <w:p>
            <w:r>
              <w:rPr>
                <w:sz w:val="20"/>
              </w:rPr>
              <w:t>F-2026-01</w:t>
            </w:r>
          </w:p>
        </w:tc>
        <w:tc>
          <w:tcPr>
            <w:tcW w:type="dxa" w:w="1440"/>
          </w:tcPr>
          <w:p>
            <w:r>
              <w:rPr>
                <w:sz w:val="20"/>
              </w:rPr>
              <w:t>Run the Authentik worker as a non-root user; remove the docker.sock mount or front it with a restricted socket proxy.</w:t>
            </w:r>
          </w:p>
        </w:tc>
        <w:tc>
          <w:tcPr>
            <w:tcW w:type="dxa" w:w="1440"/>
          </w:tcPr>
          <w:p>
            <w:r>
              <w:rPr>
                <w:sz w:val="20"/>
              </w:rPr>
              <w:t>Manisha Gupta</w:t>
            </w:r>
          </w:p>
        </w:tc>
        <w:tc>
          <w:tcPr>
            <w:tcW w:type="dxa" w:w="1440"/>
          </w:tcPr>
          <w:p>
            <w:r>
              <w:rPr>
                <w:sz w:val="20"/>
              </w:rPr>
              <w:t>2026-11-30</w:t>
            </w:r>
          </w:p>
        </w:tc>
        <w:tc>
          <w:tcPr>
            <w:tcW w:type="dxa" w:w="1440"/>
          </w:tcPr>
          <w:p>
            <w:r>
              <w:rPr>
                <w:sz w:val="20"/>
              </w:rPr>
              <w:t>High</w:t>
            </w:r>
          </w:p>
        </w:tc>
      </w:tr>
      <w:tr>
        <w:tc>
          <w:tcPr>
            <w:tcW w:type="dxa" w:w="1440"/>
          </w:tcPr>
          <w:p>
            <w:r>
              <w:rPr>
                <w:sz w:val="20"/>
              </w:rPr>
              <w:t>R-02</w:t>
            </w:r>
          </w:p>
        </w:tc>
        <w:tc>
          <w:tcPr>
            <w:tcW w:type="dxa" w:w="1440"/>
          </w:tcPr>
          <w:p>
            <w:r>
              <w:rPr>
                <w:sz w:val="20"/>
              </w:rPr>
              <w:t>F-2026-02</w:t>
            </w:r>
          </w:p>
        </w:tc>
        <w:tc>
          <w:tcPr>
            <w:tcW w:type="dxa" w:w="1440"/>
          </w:tcPr>
          <w:p>
            <w:r>
              <w:rPr>
                <w:sz w:val="20"/>
              </w:rPr>
              <w:t>Move the LDAP outpost API token to a secrets manager / .env file (never commit secrets); set AUTHENTIK_INSECURE=false with proper TLS for LDAPS.</w:t>
            </w:r>
          </w:p>
        </w:tc>
        <w:tc>
          <w:tcPr>
            <w:tcW w:type="dxa" w:w="1440"/>
          </w:tcPr>
          <w:p>
            <w:r>
              <w:rPr>
                <w:sz w:val="20"/>
              </w:rPr>
              <w:t>Manisha Gupta</w:t>
            </w:r>
          </w:p>
        </w:tc>
        <w:tc>
          <w:tcPr>
            <w:tcW w:type="dxa" w:w="1440"/>
          </w:tcPr>
          <w:p>
            <w:r>
              <w:rPr>
                <w:sz w:val="20"/>
              </w:rPr>
              <w:t>2026-11-15</w:t>
            </w:r>
          </w:p>
        </w:tc>
        <w:tc>
          <w:tcPr>
            <w:tcW w:type="dxa" w:w="1440"/>
          </w:tcPr>
          <w:p>
            <w:r>
              <w:rPr>
                <w:sz w:val="20"/>
              </w:rPr>
              <w:t>High</w:t>
            </w:r>
          </w:p>
        </w:tc>
      </w:tr>
      <w:tr>
        <w:tc>
          <w:tcPr>
            <w:tcW w:type="dxa" w:w="1440"/>
          </w:tcPr>
          <w:p>
            <w:r>
              <w:rPr>
                <w:sz w:val="20"/>
              </w:rPr>
              <w:t>R-03</w:t>
            </w:r>
          </w:p>
        </w:tc>
        <w:tc>
          <w:tcPr>
            <w:tcW w:type="dxa" w:w="1440"/>
          </w:tcPr>
          <w:p>
            <w:r>
              <w:rPr>
                <w:sz w:val="20"/>
              </w:rPr>
              <w:t>F-2026-03</w:t>
            </w:r>
          </w:p>
        </w:tc>
        <w:tc>
          <w:tcPr>
            <w:tcW w:type="dxa" w:w="1440"/>
          </w:tcPr>
          <w:p>
            <w:r>
              <w:rPr>
                <w:sz w:val="20"/>
              </w:rPr>
              <w:t>Enforce MFA enrollment via Authentik policy; produce a monthly MFA enrollment report (KPI-01).</w:t>
            </w:r>
          </w:p>
        </w:tc>
        <w:tc>
          <w:tcPr>
            <w:tcW w:type="dxa" w:w="1440"/>
          </w:tcPr>
          <w:p>
            <w:r>
              <w:rPr>
                <w:sz w:val="20"/>
              </w:rPr>
              <w:t>Manisha Gupta</w:t>
            </w:r>
          </w:p>
        </w:tc>
        <w:tc>
          <w:tcPr>
            <w:tcW w:type="dxa" w:w="1440"/>
          </w:tcPr>
          <w:p>
            <w:r>
              <w:rPr>
                <w:sz w:val="20"/>
              </w:rPr>
              <w:t>2026-12-15</w:t>
            </w:r>
          </w:p>
        </w:tc>
        <w:tc>
          <w:tcPr>
            <w:tcW w:type="dxa" w:w="1440"/>
          </w:tcPr>
          <w:p>
            <w:r>
              <w:rPr>
                <w:sz w:val="20"/>
              </w:rPr>
              <w:t>Medium</w:t>
            </w:r>
          </w:p>
        </w:tc>
      </w:tr>
      <w:tr>
        <w:tc>
          <w:tcPr>
            <w:tcW w:type="dxa" w:w="1440"/>
          </w:tcPr>
          <w:p>
            <w:r>
              <w:rPr>
                <w:sz w:val="20"/>
              </w:rPr>
              <w:t>R-04</w:t>
            </w:r>
          </w:p>
        </w:tc>
        <w:tc>
          <w:tcPr>
            <w:tcW w:type="dxa" w:w="1440"/>
          </w:tcPr>
          <w:p>
            <w:r>
              <w:rPr>
                <w:sz w:val="20"/>
              </w:rPr>
              <w:t>F-2026-04</w:t>
            </w:r>
          </w:p>
        </w:tc>
        <w:tc>
          <w:tcPr>
            <w:tcW w:type="dxa" w:w="1440"/>
          </w:tcPr>
          <w:p>
            <w:r>
              <w:rPr>
                <w:sz w:val="20"/>
              </w:rPr>
              <w:t>Execute the first quarterly access recertification using TMP-RVW-01 for Authentik groups and AWS IAM role assignments.</w:t>
            </w:r>
          </w:p>
        </w:tc>
        <w:tc>
          <w:tcPr>
            <w:tcW w:type="dxa" w:w="1440"/>
          </w:tcPr>
          <w:p>
            <w:r>
              <w:rPr>
                <w:sz w:val="20"/>
              </w:rPr>
              <w:t>Manisha Gupta</w:t>
            </w:r>
          </w:p>
        </w:tc>
        <w:tc>
          <w:tcPr>
            <w:tcW w:type="dxa" w:w="1440"/>
          </w:tcPr>
          <w:p>
            <w:r>
              <w:rPr>
                <w:sz w:val="20"/>
              </w:rPr>
              <w:t>2026-12-31</w:t>
            </w:r>
          </w:p>
        </w:tc>
        <w:tc>
          <w:tcPr>
            <w:tcW w:type="dxa" w:w="1440"/>
          </w:tcPr>
          <w:p>
            <w:r>
              <w:rPr>
                <w:sz w:val="20"/>
              </w:rPr>
              <w:t>Medium</w:t>
            </w:r>
          </w:p>
        </w:tc>
      </w:tr>
      <w:tr>
        <w:tc>
          <w:tcPr>
            <w:tcW w:type="dxa" w:w="1440"/>
          </w:tcPr>
          <w:p>
            <w:r>
              <w:rPr>
                <w:sz w:val="20"/>
              </w:rPr>
              <w:t>R-05</w:t>
            </w:r>
          </w:p>
        </w:tc>
        <w:tc>
          <w:tcPr>
            <w:tcW w:type="dxa" w:w="1440"/>
          </w:tcPr>
          <w:p>
            <w:r>
              <w:rPr>
                <w:sz w:val="20"/>
              </w:rPr>
              <w:t>F-2026-05</w:t>
            </w:r>
          </w:p>
        </w:tc>
        <w:tc>
          <w:tcPr>
            <w:tcW w:type="dxa" w:w="1440"/>
          </w:tcPr>
          <w:p>
            <w:r>
              <w:rPr>
                <w:sz w:val="20"/>
              </w:rPr>
              <w:t>Remove the whoami service from docker-compose.yml before any production-equivalent use (gate in promotion checklist).</w:t>
            </w:r>
          </w:p>
        </w:tc>
        <w:tc>
          <w:tcPr>
            <w:tcW w:type="dxa" w:w="1440"/>
          </w:tcPr>
          <w:p>
            <w:r>
              <w:rPr>
                <w:sz w:val="20"/>
              </w:rPr>
              <w:t>Manisha Gupta</w:t>
            </w:r>
          </w:p>
        </w:tc>
        <w:tc>
          <w:tcPr>
            <w:tcW w:type="dxa" w:w="1440"/>
          </w:tcPr>
          <w:p>
            <w:r>
              <w:rPr>
                <w:sz w:val="20"/>
              </w:rPr>
              <w:t>On promotion</w:t>
            </w:r>
          </w:p>
        </w:tc>
        <w:tc>
          <w:tcPr>
            <w:tcW w:type="dxa" w:w="1440"/>
          </w:tcPr>
          <w:p>
            <w:r>
              <w:rPr>
                <w:sz w:val="20"/>
              </w:rPr>
              <w:t>Low</w:t>
            </w:r>
          </w:p>
        </w:tc>
      </w:tr>
      <w:tr>
        <w:tc>
          <w:tcPr>
            <w:tcW w:type="dxa" w:w="1440"/>
          </w:tcPr>
          <w:p>
            <w:r>
              <w:rPr>
                <w:sz w:val="20"/>
              </w:rPr>
              <w:t>R-06</w:t>
            </w:r>
          </w:p>
        </w:tc>
        <w:tc>
          <w:tcPr>
            <w:tcW w:type="dxa" w:w="1440"/>
          </w:tcPr>
          <w:p>
            <w:r>
              <w:rPr>
                <w:sz w:val="20"/>
              </w:rPr>
              <w:t>F-2026-06</w:t>
            </w:r>
          </w:p>
        </w:tc>
        <w:tc>
          <w:tcPr>
            <w:tcW w:type="dxa" w:w="1440"/>
          </w:tcPr>
          <w:p>
            <w:r>
              <w:rPr>
                <w:sz w:val="20"/>
              </w:rPr>
              <w:t>Document the Terraform backend (S3 with encryption + DynamoDB locking) and add automated drift detection (terraform plan) to CI.</w:t>
            </w:r>
          </w:p>
        </w:tc>
        <w:tc>
          <w:tcPr>
            <w:tcW w:type="dxa" w:w="1440"/>
          </w:tcPr>
          <w:p>
            <w:r>
              <w:rPr>
                <w:sz w:val="20"/>
              </w:rPr>
              <w:t>Manisha Gupta</w:t>
            </w:r>
          </w:p>
        </w:tc>
        <w:tc>
          <w:tcPr>
            <w:tcW w:type="dxa" w:w="1440"/>
          </w:tcPr>
          <w:p>
            <w:r>
              <w:rPr>
                <w:sz w:val="20"/>
              </w:rPr>
              <w:t>2026-11-30</w:t>
            </w:r>
          </w:p>
        </w:tc>
        <w:tc>
          <w:tcPr>
            <w:tcW w:type="dxa" w:w="1440"/>
          </w:tcPr>
          <w:p>
            <w:r>
              <w:rPr>
                <w:sz w:val="20"/>
              </w:rPr>
              <w:t>Low</w:t>
            </w:r>
          </w:p>
        </w:tc>
      </w:tr>
    </w:tbl>
    <w:p/>
    <w:p>
      <w:pPr>
        <w:pStyle w:val="Heading2"/>
      </w:pPr>
      <w:r>
        <w:t>3.6 Management Response</w:t>
      </w:r>
    </w:p>
    <w:p>
      <w:r>
        <w:rPr>
          <w:b w:val="0"/>
          <w:i/>
        </w:rPr>
        <w:t>Management acknowledges the six findings and approves the remediation plan above. Findings F-2026-01 and F-2026-02 are accepted as the top Q4 priorities given their High rating. No formal risk acceptances are requested: F-2026-05 is accepted as lab-only with a removal gate before production-equivalent use. Progress against R-01 through R-06 will be reported in the Q4 2026 compliance status report. — Project Sponsor, October 2026</w:t>
      </w:r>
    </w:p>
    <w:p>
      <w:pPr>
        <w:pStyle w:val="Heading2"/>
      </w:pPr>
      <w:r>
        <w:t>3.7 Appendices</w:t>
      </w:r>
    </w:p>
    <w:p>
      <w:pPr>
        <w:pStyle w:val="ListBullet"/>
      </w:pPr>
      <w:r>
        <w:t>Appendix A — Evidence inventory (evidence log TMP-EVD-01 extracts for this quarter).</w:t>
      </w:r>
    </w:p>
    <w:p>
      <w:pPr>
        <w:pStyle w:val="ListBullet"/>
      </w:pPr>
      <w:r>
        <w:t>Appendix B — Detailed control test results and sampling documentation.</w:t>
      </w:r>
    </w:p>
    <w:p>
      <w:pPr>
        <w:pStyle w:val="ListBullet"/>
      </w:pPr>
      <w:r>
        <w:t>Appendix C — Glossary: IdP, SAML, RBAC, permission boundary, STS, LDAPS, MFA.</w:t>
      </w:r>
    </w:p>
    <w:p>
      <w:pPr>
        <w:pStyle w:val="Heading1"/>
      </w:pPr>
      <w:r>
        <w:t>4. Record Management Procedures</w:t>
      </w:r>
    </w:p>
    <w:p>
      <w:r>
        <w:rPr>
          <w:b w:val="0"/>
          <w:i w:val="0"/>
        </w:rPr>
        <w:t>Records are the evidence that EISP's controls operate. This section defines how compliance records are classified, how long they are kept, who may access them, and how they are destroyed.</w:t>
      </w:r>
    </w:p>
    <w:p>
      <w:pPr>
        <w:pStyle w:val="Heading2"/>
      </w:pPr>
      <w:r>
        <w:t>4.1 Records Classification Scheme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Classification</w:t>
            </w:r>
          </w:p>
        </w:tc>
        <w:tc>
          <w:tcPr>
            <w:tcW w:type="dxa" w:w="2160"/>
            <w:shd w:val="clear" w:fill="1F4E79"/>
          </w:tcPr>
          <w:p>
            <w:r/>
            <w:r>
              <w:rPr>
                <w:b/>
                <w:color w:val="FFFFFF"/>
                <w:sz w:val="20"/>
              </w:rPr>
              <w:t>Definition</w:t>
            </w:r>
          </w:p>
        </w:tc>
        <w:tc>
          <w:tcPr>
            <w:tcW w:type="dxa" w:w="2160"/>
            <w:shd w:val="clear" w:fill="1F4E79"/>
          </w:tcPr>
          <w:p>
            <w:r/>
            <w:r>
              <w:rPr>
                <w:b/>
                <w:color w:val="FFFFFF"/>
                <w:sz w:val="20"/>
              </w:rPr>
              <w:t>Handling Rules</w:t>
            </w:r>
          </w:p>
        </w:tc>
        <w:tc>
          <w:tcPr>
            <w:tcW w:type="dxa" w:w="2160"/>
            <w:shd w:val="clear" w:fill="1F4E79"/>
          </w:tcPr>
          <w:p>
            <w:r/>
            <w:r>
              <w:rPr>
                <w:b/>
                <w:color w:val="FFFFFF"/>
                <w:sz w:val="20"/>
              </w:rPr>
              <w:t>EISP Examples</w:t>
            </w:r>
          </w:p>
        </w:tc>
      </w:tr>
      <w:tr>
        <w:tc>
          <w:tcPr>
            <w:tcW w:type="dxa" w:w="2160"/>
          </w:tcPr>
          <w:p>
            <w:r>
              <w:rPr>
                <w:sz w:val="20"/>
              </w:rPr>
              <w:t>Confidential</w:t>
            </w:r>
          </w:p>
        </w:tc>
        <w:tc>
          <w:tcPr>
            <w:tcW w:type="dxa" w:w="2160"/>
          </w:tcPr>
          <w:p>
            <w:r>
              <w:rPr>
                <w:sz w:val="20"/>
              </w:rPr>
              <w:t>Identity data, credentials, security configurations; disclosure would enable compromise.</w:t>
            </w:r>
          </w:p>
        </w:tc>
        <w:tc>
          <w:tcPr>
            <w:tcW w:type="dxa" w:w="2160"/>
          </w:tcPr>
          <w:p>
            <w:r>
              <w:rPr>
                <w:sz w:val="20"/>
              </w:rPr>
              <w:t>Encrypted at rest and in transit; least-privilege access; no external transmission without approval.</w:t>
            </w:r>
          </w:p>
        </w:tc>
        <w:tc>
          <w:tcPr>
            <w:tcW w:type="dxa" w:w="2160"/>
          </w:tcPr>
          <w:p>
            <w:r>
              <w:rPr>
                <w:sz w:val="20"/>
              </w:rPr>
              <w:t>Authentik event logs, LDAP bind credentials, SAML metadata private keys, access review decisions.</w:t>
            </w:r>
          </w:p>
        </w:tc>
      </w:tr>
      <w:tr>
        <w:tc>
          <w:tcPr>
            <w:tcW w:type="dxa" w:w="2160"/>
          </w:tcPr>
          <w:p>
            <w:r>
              <w:rPr>
                <w:sz w:val="20"/>
              </w:rPr>
              <w:t>Internal</w:t>
            </w:r>
          </w:p>
        </w:tc>
        <w:tc>
          <w:tcPr>
            <w:tcW w:type="dxa" w:w="2160"/>
          </w:tcPr>
          <w:p>
            <w:r>
              <w:rPr>
                <w:sz w:val="20"/>
              </w:rPr>
              <w:t>Operational and compliance documentation for authorized personnel.</w:t>
            </w:r>
          </w:p>
        </w:tc>
        <w:tc>
          <w:tcPr>
            <w:tcW w:type="dxa" w:w="2160"/>
          </w:tcPr>
          <w:p>
            <w:r>
              <w:rPr>
                <w:sz w:val="20"/>
              </w:rPr>
              <w:t>Access limited to EISP team and auditors; stored in controlled repository.</w:t>
            </w:r>
          </w:p>
        </w:tc>
        <w:tc>
          <w:tcPr>
            <w:tcW w:type="dxa" w:w="2160"/>
          </w:tcPr>
          <w:p>
            <w:r>
              <w:rPr>
                <w:sz w:val="20"/>
              </w:rPr>
              <w:t>Procedures, compliance status reports, training records, change requests.</w:t>
            </w:r>
          </w:p>
        </w:tc>
      </w:tr>
      <w:tr>
        <w:tc>
          <w:tcPr>
            <w:tcW w:type="dxa" w:w="2160"/>
          </w:tcPr>
          <w:p>
            <w:r>
              <w:rPr>
                <w:sz w:val="20"/>
              </w:rPr>
              <w:t>Public</w:t>
            </w:r>
          </w:p>
        </w:tc>
        <w:tc>
          <w:tcPr>
            <w:tcW w:type="dxa" w:w="2160"/>
          </w:tcPr>
          <w:p>
            <w:r>
              <w:rPr>
                <w:sz w:val="20"/>
              </w:rPr>
              <w:t>Information approved for unrestricted distribution.</w:t>
            </w:r>
          </w:p>
        </w:tc>
        <w:tc>
          <w:tcPr>
            <w:tcW w:type="dxa" w:w="2160"/>
          </w:tcPr>
          <w:p>
            <w:r>
              <w:rPr>
                <w:sz w:val="20"/>
              </w:rPr>
              <w:t>May be published; still version-controlled.</w:t>
            </w:r>
          </w:p>
        </w:tc>
        <w:tc>
          <w:tcPr>
            <w:tcW w:type="dxa" w:w="2160"/>
          </w:tcPr>
          <w:p>
            <w:r>
              <w:rPr>
                <w:sz w:val="20"/>
              </w:rPr>
              <w:t>Project overview summaries, published policy abstracts.</w:t>
            </w:r>
          </w:p>
        </w:tc>
      </w:tr>
    </w:tbl>
    <w:p/>
    <w:p>
      <w:r>
        <w:rPr>
          <w:b w:val="0"/>
          <w:i w:val="0"/>
        </w:rPr>
        <w:t>Classification aligns with the Classification=Confidential default tag applied to every Terraform-managed EISP resource: identity infrastructure defaults to the highest handling standard.</w:t>
      </w:r>
    </w:p>
    <w:p>
      <w:pPr>
        <w:pStyle w:val="Heading2"/>
      </w:pPr>
      <w:r>
        <w:t>4.2 Retention Schedule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Record Type</w:t>
            </w:r>
          </w:p>
        </w:tc>
        <w:tc>
          <w:tcPr>
            <w:tcW w:type="dxa" w:w="2160"/>
            <w:shd w:val="clear" w:fill="1F4E79"/>
          </w:tcPr>
          <w:p>
            <w:r/>
            <w:r>
              <w:rPr>
                <w:b/>
                <w:color w:val="FFFFFF"/>
                <w:sz w:val="20"/>
              </w:rPr>
              <w:t>Retention Period</w:t>
            </w:r>
          </w:p>
        </w:tc>
        <w:tc>
          <w:tcPr>
            <w:tcW w:type="dxa" w:w="2160"/>
            <w:shd w:val="clear" w:fill="1F4E79"/>
          </w:tcPr>
          <w:p>
            <w:r/>
            <w:r>
              <w:rPr>
                <w:b/>
                <w:color w:val="FFFFFF"/>
                <w:sz w:val="20"/>
              </w:rPr>
              <w:t>Legal / Regulatory Basis</w:t>
            </w:r>
          </w:p>
        </w:tc>
        <w:tc>
          <w:tcPr>
            <w:tcW w:type="dxa" w:w="2160"/>
            <w:shd w:val="clear" w:fill="1F4E79"/>
          </w:tcPr>
          <w:p>
            <w:r/>
            <w:r>
              <w:rPr>
                <w:b/>
                <w:color w:val="FFFFFF"/>
                <w:sz w:val="20"/>
              </w:rPr>
              <w:t>Disposition Method</w:t>
            </w:r>
          </w:p>
        </w:tc>
      </w:tr>
      <w:tr>
        <w:tc>
          <w:tcPr>
            <w:tcW w:type="dxa" w:w="2160"/>
          </w:tcPr>
          <w:p>
            <w:r>
              <w:rPr>
                <w:sz w:val="20"/>
              </w:rPr>
              <w:t>Authentik event &amp; authentication logs</w:t>
            </w:r>
          </w:p>
        </w:tc>
        <w:tc>
          <w:tcPr>
            <w:tcW w:type="dxa" w:w="2160"/>
          </w:tcPr>
          <w:p>
            <w:r>
              <w:rPr>
                <w:sz w:val="20"/>
              </w:rPr>
              <w:t>1 year (3 months immediately available)</w:t>
            </w:r>
          </w:p>
        </w:tc>
        <w:tc>
          <w:tcPr>
            <w:tcW w:type="dxa" w:w="2160"/>
          </w:tcPr>
          <w:p>
            <w:r>
              <w:rPr>
                <w:sz w:val="20"/>
              </w:rPr>
              <w:t>PCI DSS Req 10.7</w:t>
            </w:r>
          </w:p>
        </w:tc>
        <w:tc>
          <w:tcPr>
            <w:tcW w:type="dxa" w:w="2160"/>
          </w:tcPr>
          <w:p>
            <w:r>
              <w:rPr>
                <w:sz w:val="20"/>
              </w:rPr>
              <w:t>Secure deletion after expiry</w:t>
            </w:r>
          </w:p>
        </w:tc>
      </w:tr>
      <w:tr>
        <w:tc>
          <w:tcPr>
            <w:tcW w:type="dxa" w:w="2160"/>
          </w:tcPr>
          <w:p>
            <w:r>
              <w:rPr>
                <w:sz w:val="20"/>
              </w:rPr>
              <w:t>AWS CloudTrail logs</w:t>
            </w:r>
          </w:p>
        </w:tc>
        <w:tc>
          <w:tcPr>
            <w:tcW w:type="dxa" w:w="2160"/>
          </w:tcPr>
          <w:p>
            <w:r>
              <w:rPr>
                <w:sz w:val="20"/>
              </w:rPr>
              <w:t>1 year hot; 6 years archive for access-change events</w:t>
            </w:r>
          </w:p>
        </w:tc>
        <w:tc>
          <w:tcPr>
            <w:tcW w:type="dxa" w:w="2160"/>
          </w:tcPr>
          <w:p>
            <w:r>
              <w:rPr>
                <w:sz w:val="20"/>
              </w:rPr>
              <w:t>PCI DSS Req 10.7; SOX record-keeping expectations</w:t>
            </w:r>
          </w:p>
        </w:tc>
        <w:tc>
          <w:tcPr>
            <w:tcW w:type="dxa" w:w="2160"/>
          </w:tcPr>
          <w:p>
            <w:r>
              <w:rPr>
                <w:sz w:val="20"/>
              </w:rPr>
              <w:t>Archive to encrypted cold storage, then secure deletion</w:t>
            </w:r>
          </w:p>
        </w:tc>
      </w:tr>
      <w:tr>
        <w:tc>
          <w:tcPr>
            <w:tcW w:type="dxa" w:w="2160"/>
          </w:tcPr>
          <w:p>
            <w:r>
              <w:rPr>
                <w:sz w:val="20"/>
              </w:rPr>
              <w:t>Access recertification evidence (signed worksheets)</w:t>
            </w:r>
          </w:p>
        </w:tc>
        <w:tc>
          <w:tcPr>
            <w:tcW w:type="dxa" w:w="2160"/>
          </w:tcPr>
          <w:p>
            <w:r>
              <w:rPr>
                <w:sz w:val="20"/>
              </w:rPr>
              <w:t>3 years</w:t>
            </w:r>
          </w:p>
        </w:tc>
        <w:tc>
          <w:tcPr>
            <w:tcW w:type="dxa" w:w="2160"/>
          </w:tcPr>
          <w:p>
            <w:r>
              <w:rPr>
                <w:sz w:val="20"/>
              </w:rPr>
              <w:t>PCI DSS Req 12; SOX ICFR evidence</w:t>
            </w:r>
          </w:p>
        </w:tc>
        <w:tc>
          <w:tcPr>
            <w:tcW w:type="dxa" w:w="2160"/>
          </w:tcPr>
          <w:p>
            <w:r>
              <w:rPr>
                <w:sz w:val="20"/>
              </w:rPr>
              <w:t>Secure deletion</w:t>
            </w:r>
          </w:p>
        </w:tc>
      </w:tr>
      <w:tr>
        <w:tc>
          <w:tcPr>
            <w:tcW w:type="dxa" w:w="2160"/>
          </w:tcPr>
          <w:p>
            <w:r>
              <w:rPr>
                <w:sz w:val="20"/>
              </w:rPr>
              <w:t>Terraform state &amp; change history</w:t>
            </w:r>
          </w:p>
        </w:tc>
        <w:tc>
          <w:tcPr>
            <w:tcW w:type="dxa" w:w="2160"/>
          </w:tcPr>
          <w:p>
            <w:r>
              <w:rPr>
                <w:sz w:val="20"/>
              </w:rPr>
              <w:t>3 years</w:t>
            </w:r>
          </w:p>
        </w:tc>
        <w:tc>
          <w:tcPr>
            <w:tcW w:type="dxa" w:w="2160"/>
          </w:tcPr>
          <w:p>
            <w:r>
              <w:rPr>
                <w:sz w:val="20"/>
              </w:rPr>
              <w:t>Change-control evidence; audit traceability</w:t>
            </w:r>
          </w:p>
        </w:tc>
        <w:tc>
          <w:tcPr>
            <w:tcW w:type="dxa" w:w="2160"/>
          </w:tcPr>
          <w:p>
            <w:r>
              <w:rPr>
                <w:sz w:val="20"/>
              </w:rPr>
              <w:t>Secure deletion</w:t>
            </w:r>
          </w:p>
        </w:tc>
      </w:tr>
      <w:tr>
        <w:tc>
          <w:tcPr>
            <w:tcW w:type="dxa" w:w="2160"/>
          </w:tcPr>
          <w:p>
            <w:r>
              <w:rPr>
                <w:sz w:val="20"/>
              </w:rPr>
              <w:t>IAM policy versions (superseded)</w:t>
            </w:r>
          </w:p>
        </w:tc>
        <w:tc>
          <w:tcPr>
            <w:tcW w:type="dxa" w:w="2160"/>
          </w:tcPr>
          <w:p>
            <w:r>
              <w:rPr>
                <w:sz w:val="20"/>
              </w:rPr>
              <w:t>3 years after supersession</w:t>
            </w:r>
          </w:p>
        </w:tc>
        <w:tc>
          <w:tcPr>
            <w:tcW w:type="dxa" w:w="2160"/>
          </w:tcPr>
          <w:p>
            <w:r>
              <w:rPr>
                <w:sz w:val="20"/>
              </w:rPr>
              <w:t>Demonstrates control evolution to auditors</w:t>
            </w:r>
          </w:p>
        </w:tc>
        <w:tc>
          <w:tcPr>
            <w:tcW w:type="dxa" w:w="2160"/>
          </w:tcPr>
          <w:p>
            <w:r>
              <w:rPr>
                <w:sz w:val="20"/>
              </w:rPr>
              <w:t>Archive, then secure deletion</w:t>
            </w:r>
          </w:p>
        </w:tc>
      </w:tr>
      <w:tr>
        <w:tc>
          <w:tcPr>
            <w:tcW w:type="dxa" w:w="2160"/>
          </w:tcPr>
          <w:p>
            <w:r>
              <w:rPr>
                <w:sz w:val="20"/>
              </w:rPr>
              <w:t>MFA enrollment records</w:t>
            </w:r>
          </w:p>
        </w:tc>
        <w:tc>
          <w:tcPr>
            <w:tcW w:type="dxa" w:w="2160"/>
          </w:tcPr>
          <w:p>
            <w:r>
              <w:rPr>
                <w:sz w:val="20"/>
              </w:rPr>
              <w:t>Employment + 1 year</w:t>
            </w:r>
          </w:p>
        </w:tc>
        <w:tc>
          <w:tcPr>
            <w:tcW w:type="dxa" w:w="2160"/>
          </w:tcPr>
          <w:p>
            <w:r>
              <w:rPr>
                <w:sz w:val="20"/>
              </w:rPr>
              <w:t>Authentication assurance evidence (NIST IA-2)</w:t>
            </w:r>
          </w:p>
        </w:tc>
        <w:tc>
          <w:tcPr>
            <w:tcW w:type="dxa" w:w="2160"/>
          </w:tcPr>
          <w:p>
            <w:r>
              <w:rPr>
                <w:sz w:val="20"/>
              </w:rPr>
              <w:t>Secure deletion</w:t>
            </w:r>
          </w:p>
        </w:tc>
      </w:tr>
      <w:tr>
        <w:tc>
          <w:tcPr>
            <w:tcW w:type="dxa" w:w="2160"/>
          </w:tcPr>
          <w:p>
            <w:r>
              <w:rPr>
                <w:sz w:val="20"/>
              </w:rPr>
              <w:t>SAML / LDAP configuration baselines</w:t>
            </w:r>
          </w:p>
        </w:tc>
        <w:tc>
          <w:tcPr>
            <w:tcW w:type="dxa" w:w="2160"/>
          </w:tcPr>
          <w:p>
            <w:r>
              <w:rPr>
                <w:sz w:val="20"/>
              </w:rPr>
              <w:t>3 years</w:t>
            </w:r>
          </w:p>
        </w:tc>
        <w:tc>
          <w:tcPr>
            <w:tcW w:type="dxa" w:w="2160"/>
          </w:tcPr>
          <w:p>
            <w:r>
              <w:rPr>
                <w:sz w:val="20"/>
              </w:rPr>
              <w:t>Configuration audit trail</w:t>
            </w:r>
          </w:p>
        </w:tc>
        <w:tc>
          <w:tcPr>
            <w:tcW w:type="dxa" w:w="2160"/>
          </w:tcPr>
          <w:p>
            <w:r>
              <w:rPr>
                <w:sz w:val="20"/>
              </w:rPr>
              <w:t>Secure deletion</w:t>
            </w:r>
          </w:p>
        </w:tc>
      </w:tr>
      <w:tr>
        <w:tc>
          <w:tcPr>
            <w:tcW w:type="dxa" w:w="2160"/>
          </w:tcPr>
          <w:p>
            <w:r>
              <w:rPr>
                <w:sz w:val="20"/>
              </w:rPr>
              <w:t>Training records &amp; policy attestations</w:t>
            </w:r>
          </w:p>
        </w:tc>
        <w:tc>
          <w:tcPr>
            <w:tcW w:type="dxa" w:w="2160"/>
          </w:tcPr>
          <w:p>
            <w:r>
              <w:rPr>
                <w:sz w:val="20"/>
              </w:rPr>
              <w:t>3 years</w:t>
            </w:r>
          </w:p>
        </w:tc>
        <w:tc>
          <w:tcPr>
            <w:tcW w:type="dxa" w:w="2160"/>
          </w:tcPr>
          <w:p>
            <w:r>
              <w:rPr>
                <w:sz w:val="20"/>
              </w:rPr>
              <w:t>PCI DSS Req 12.6; program effectiveness evidence</w:t>
            </w:r>
          </w:p>
        </w:tc>
        <w:tc>
          <w:tcPr>
            <w:tcW w:type="dxa" w:w="2160"/>
          </w:tcPr>
          <w:p>
            <w:r>
              <w:rPr>
                <w:sz w:val="20"/>
              </w:rPr>
              <w:t>Secure deletion</w:t>
            </w:r>
          </w:p>
        </w:tc>
      </w:tr>
      <w:tr>
        <w:tc>
          <w:tcPr>
            <w:tcW w:type="dxa" w:w="2160"/>
          </w:tcPr>
          <w:p>
            <w:r>
              <w:rPr>
                <w:sz w:val="20"/>
              </w:rPr>
              <w:t>Compliance status reports</w:t>
            </w:r>
          </w:p>
        </w:tc>
        <w:tc>
          <w:tcPr>
            <w:tcW w:type="dxa" w:w="2160"/>
          </w:tcPr>
          <w:p>
            <w:r>
              <w:rPr>
                <w:sz w:val="20"/>
              </w:rPr>
              <w:t>5 years</w:t>
            </w:r>
          </w:p>
        </w:tc>
        <w:tc>
          <w:tcPr>
            <w:tcW w:type="dxa" w:w="2160"/>
          </w:tcPr>
          <w:p>
            <w:r>
              <w:rPr>
                <w:sz w:val="20"/>
              </w:rPr>
              <w:t>Governance and oversight evidence</w:t>
            </w:r>
          </w:p>
        </w:tc>
        <w:tc>
          <w:tcPr>
            <w:tcW w:type="dxa" w:w="2160"/>
          </w:tcPr>
          <w:p>
            <w:r>
              <w:rPr>
                <w:sz w:val="20"/>
              </w:rPr>
              <w:t>Archive, then secure deletion</w:t>
            </w:r>
          </w:p>
        </w:tc>
      </w:tr>
      <w:tr>
        <w:tc>
          <w:tcPr>
            <w:tcW w:type="dxa" w:w="2160"/>
          </w:tcPr>
          <w:p>
            <w:r>
              <w:rPr>
                <w:sz w:val="20"/>
              </w:rPr>
              <w:t>Incident reports &amp; post-incident reviews</w:t>
            </w:r>
          </w:p>
        </w:tc>
        <w:tc>
          <w:tcPr>
            <w:tcW w:type="dxa" w:w="2160"/>
          </w:tcPr>
          <w:p>
            <w:r>
              <w:rPr>
                <w:sz w:val="20"/>
              </w:rPr>
              <w:t>5 years</w:t>
            </w:r>
          </w:p>
        </w:tc>
        <w:tc>
          <w:tcPr>
            <w:tcW w:type="dxa" w:w="2160"/>
          </w:tcPr>
          <w:p>
            <w:r>
              <w:rPr>
                <w:sz w:val="20"/>
              </w:rPr>
              <w:t>PCI DSS Req 12.10; lessons-learned</w:t>
            </w:r>
          </w:p>
        </w:tc>
        <w:tc>
          <w:tcPr>
            <w:tcW w:type="dxa" w:w="2160"/>
          </w:tcPr>
          <w:p>
            <w:r>
              <w:rPr>
                <w:sz w:val="20"/>
              </w:rPr>
              <w:t>Archive, then secure deletion</w:t>
            </w:r>
          </w:p>
        </w:tc>
      </w:tr>
      <w:tr>
        <w:tc>
          <w:tcPr>
            <w:tcW w:type="dxa" w:w="2160"/>
          </w:tcPr>
          <w:p>
            <w:r>
              <w:rPr>
                <w:sz w:val="20"/>
              </w:rPr>
              <w:t>Change request records</w:t>
            </w:r>
          </w:p>
        </w:tc>
        <w:tc>
          <w:tcPr>
            <w:tcW w:type="dxa" w:w="2160"/>
          </w:tcPr>
          <w:p>
            <w:r>
              <w:rPr>
                <w:sz w:val="20"/>
              </w:rPr>
              <w:t>3 years</w:t>
            </w:r>
          </w:p>
        </w:tc>
        <w:tc>
          <w:tcPr>
            <w:tcW w:type="dxa" w:w="2160"/>
          </w:tcPr>
          <w:p>
            <w:r>
              <w:rPr>
                <w:sz w:val="20"/>
              </w:rPr>
              <w:t>Change-control audit trail</w:t>
            </w:r>
          </w:p>
        </w:tc>
        <w:tc>
          <w:tcPr>
            <w:tcW w:type="dxa" w:w="2160"/>
          </w:tcPr>
          <w:p>
            <w:r>
              <w:rPr>
                <w:sz w:val="20"/>
              </w:rPr>
              <w:t>Secure deletion</w:t>
            </w:r>
          </w:p>
        </w:tc>
      </w:tr>
      <w:tr>
        <w:tc>
          <w:tcPr>
            <w:tcW w:type="dxa" w:w="2160"/>
          </w:tcPr>
          <w:p>
            <w:r>
              <w:rPr>
                <w:sz w:val="20"/>
              </w:rPr>
              <w:t>Penetration / vulnerability assessment reports</w:t>
            </w:r>
          </w:p>
        </w:tc>
        <w:tc>
          <w:tcPr>
            <w:tcW w:type="dxa" w:w="2160"/>
          </w:tcPr>
          <w:p>
            <w:r>
              <w:rPr>
                <w:sz w:val="20"/>
              </w:rPr>
              <w:t>3 years</w:t>
            </w:r>
          </w:p>
        </w:tc>
        <w:tc>
          <w:tcPr>
            <w:tcW w:type="dxa" w:w="2160"/>
          </w:tcPr>
          <w:p>
            <w:r>
              <w:rPr>
                <w:sz w:val="20"/>
              </w:rPr>
              <w:t>PCI DSS Req 11</w:t>
            </w:r>
          </w:p>
        </w:tc>
        <w:tc>
          <w:tcPr>
            <w:tcW w:type="dxa" w:w="2160"/>
          </w:tcPr>
          <w:p>
            <w:r>
              <w:rPr>
                <w:sz w:val="20"/>
              </w:rPr>
              <w:t>Secure deletion</w:t>
            </w:r>
          </w:p>
        </w:tc>
      </w:tr>
    </w:tbl>
    <w:p/>
    <w:p>
      <w:pPr>
        <w:pStyle w:val="Heading2"/>
      </w:pPr>
      <w:r>
        <w:t>4.3 Access Controls for Records</w:t>
      </w:r>
    </w:p>
    <w:p>
      <w:pPr>
        <w:pStyle w:val="ListBullet"/>
      </w:pPr>
      <w:r>
        <w:t>Least privilege: record stores grant access only to roles that need it — e.g., Authentik logs are readable by EISP-SecurityAnalyst-Role (read-only by design) and the IAM Engineer; no role may modify its own access-review evidence.</w:t>
      </w:r>
    </w:p>
    <w:p>
      <w:pPr>
        <w:pStyle w:val="ListBullet"/>
      </w:pPr>
      <w:r>
        <w:t>Encryption: AES-256 at rest and TLS 1.2+ in transit for all Confidential records.</w:t>
      </w:r>
    </w:p>
    <w:p>
      <w:pPr>
        <w:pStyle w:val="ListBullet"/>
      </w:pPr>
      <w:r>
        <w:t>Immutability: security logs are append-only (WORM or equivalent); administrators cannot alter or delete log data within the retention period.</w:t>
      </w:r>
    </w:p>
    <w:p>
      <w:pPr>
        <w:pStyle w:val="ListBullet"/>
      </w:pPr>
      <w:r>
        <w:t>Access logging: every access to Confidential record stores is itself logged and reviewable.</w:t>
      </w:r>
    </w:p>
    <w:p>
      <w:pPr>
        <w:pStyle w:val="Heading2"/>
      </w:pPr>
      <w:r>
        <w:t>4.4 Storage and Backup Requirements</w:t>
      </w:r>
    </w:p>
    <w:p>
      <w:pPr>
        <w:pStyle w:val="ListBullet"/>
      </w:pPr>
      <w:r>
        <w:t>Centralized, encrypted repository for all compliance records; no records on personal workstations.</w:t>
      </w:r>
    </w:p>
    <w:p>
      <w:pPr>
        <w:pStyle w:val="ListBullet"/>
      </w:pPr>
      <w:r>
        <w:t>Automated encrypted backups; backup restoration tested annually and after any storage migration.</w:t>
      </w:r>
    </w:p>
    <w:p>
      <w:pPr>
        <w:pStyle w:val="ListBullet"/>
      </w:pPr>
      <w:r>
        <w:t>Offsite (separate region/account) copy of Confidential records for resilience.</w:t>
      </w:r>
    </w:p>
    <w:p>
      <w:pPr>
        <w:pStyle w:val="Heading2"/>
      </w:pPr>
      <w:r>
        <w:t>4.5 Disposition and Destruction</w:t>
      </w:r>
    </w:p>
    <w:p>
      <w:pPr>
        <w:pStyle w:val="ListNumber"/>
      </w:pPr>
      <w:r>
        <w:t>Eligibility review: record owner confirms the retention period has expired and no legal hold applies.</w:t>
      </w:r>
    </w:p>
    <w:p>
      <w:pPr>
        <w:pStyle w:val="ListNumber"/>
      </w:pPr>
      <w:r>
        <w:t>Approval: record owner and CCO (or project sponsor) approve destruction in writing.</w:t>
      </w:r>
    </w:p>
    <w:p>
      <w:pPr>
        <w:pStyle w:val="ListNumber"/>
      </w:pPr>
      <w:r>
        <w:t>Execution: secure deletion — cryptographic erasure for encrypted stores or secure wipe per NIST SP 800-88 for media.</w:t>
      </w:r>
    </w:p>
    <w:p>
      <w:pPr>
        <w:pStyle w:val="ListNumber"/>
      </w:pPr>
      <w:r>
        <w:t>Certification: a certificate of destruction is filed as a record; the disposition is logged with date, method, and approvers.</w:t>
      </w:r>
    </w:p>
    <w:p>
      <w:pPr>
        <w:pStyle w:val="ListNumber"/>
      </w:pPr>
      <w:r>
        <w:t>Legal hold: any litigation, investigation, or regulatory request suspends disposition immediately until the hold is released in writing.</w:t>
      </w:r>
    </w:p>
    <w:p>
      <w:pPr>
        <w:pStyle w:val="Heading1"/>
      </w:pPr>
      <w:r>
        <w:t>5. Monitoring System</w:t>
      </w:r>
    </w:p>
    <w:p>
      <w:r>
        <w:rPr>
          <w:b w:val="0"/>
          <w:i w:val="0"/>
        </w:rPr>
        <w:t>Continuous monitoring keeps EISP's compliance posture current between formal assessments. It combines automated telemetry (Authentik events, CloudTrail, GuardDuty) with periodic human reviews (recertification, metrics review).</w:t>
      </w:r>
    </w:p>
    <w:p>
      <w:pPr>
        <w:pStyle w:val="Heading2"/>
      </w:pPr>
      <w:r>
        <w:t>5.1 Key Performance Indicators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20"/>
              </w:rPr>
              <w:t>KPI ID</w:t>
            </w:r>
          </w:p>
        </w:tc>
        <w:tc>
          <w:tcPr>
            <w:tcW w:type="dxa" w:w="1440"/>
            <w:shd w:val="clear" w:fill="1F4E79"/>
          </w:tcPr>
          <w:p>
            <w:r/>
            <w:r>
              <w:rPr>
                <w:b/>
                <w:color w:val="FFFFFF"/>
                <w:sz w:val="20"/>
              </w:rPr>
              <w:t>KPI</w:t>
            </w:r>
          </w:p>
        </w:tc>
        <w:tc>
          <w:tcPr>
            <w:tcW w:type="dxa" w:w="1440"/>
            <w:shd w:val="clear" w:fill="1F4E79"/>
          </w:tcPr>
          <w:p>
            <w:r/>
            <w:r>
              <w:rPr>
                <w:b/>
                <w:color w:val="FFFFFF"/>
                <w:sz w:val="20"/>
              </w:rPr>
              <w:t>Definition</w:t>
            </w:r>
          </w:p>
        </w:tc>
        <w:tc>
          <w:tcPr>
            <w:tcW w:type="dxa" w:w="1440"/>
            <w:shd w:val="clear" w:fill="1F4E79"/>
          </w:tcPr>
          <w:p>
            <w:r/>
            <w:r>
              <w:rPr>
                <w:b/>
                <w:color w:val="FFFFFF"/>
                <w:sz w:val="20"/>
              </w:rPr>
              <w:t>Target</w:t>
            </w:r>
          </w:p>
        </w:tc>
        <w:tc>
          <w:tcPr>
            <w:tcW w:type="dxa" w:w="1440"/>
            <w:shd w:val="clear" w:fill="1F4E79"/>
          </w:tcPr>
          <w:p>
            <w:r/>
            <w:r>
              <w:rPr>
                <w:b/>
                <w:color w:val="FFFFFF"/>
                <w:sz w:val="20"/>
              </w:rPr>
              <w:t>Frequency</w:t>
            </w:r>
          </w:p>
        </w:tc>
        <w:tc>
          <w:tcPr>
            <w:tcW w:type="dxa" w:w="1440"/>
            <w:shd w:val="clear" w:fill="1F4E79"/>
          </w:tcPr>
          <w:p>
            <w:r/>
            <w:r>
              <w:rPr>
                <w:b/>
                <w:color w:val="FFFFFF"/>
                <w:sz w:val="20"/>
              </w:rPr>
              <w:t>Owner</w:t>
            </w:r>
          </w:p>
        </w:tc>
      </w:tr>
      <w:tr>
        <w:tc>
          <w:tcPr>
            <w:tcW w:type="dxa" w:w="1440"/>
          </w:tcPr>
          <w:p>
            <w:r>
              <w:rPr>
                <w:sz w:val="20"/>
              </w:rPr>
              <w:t>KPI-01</w:t>
            </w:r>
          </w:p>
        </w:tc>
        <w:tc>
          <w:tcPr>
            <w:tcW w:type="dxa" w:w="1440"/>
          </w:tcPr>
          <w:p>
            <w:r>
              <w:rPr>
                <w:sz w:val="20"/>
              </w:rPr>
              <w:t>MFA enrollment %</w:t>
            </w:r>
          </w:p>
        </w:tc>
        <w:tc>
          <w:tcPr>
            <w:tcW w:type="dxa" w:w="1440"/>
          </w:tcPr>
          <w:p>
            <w:r>
              <w:rPr>
                <w:sz w:val="20"/>
              </w:rPr>
              <w:t>Users with MFA enrolled / total active users</w:t>
            </w:r>
          </w:p>
        </w:tc>
        <w:tc>
          <w:tcPr>
            <w:tcW w:type="dxa" w:w="1440"/>
          </w:tcPr>
          <w:p>
            <w:r>
              <w:rPr>
                <w:sz w:val="20"/>
              </w:rPr>
              <w:t>&gt;= 99%</w:t>
            </w:r>
          </w:p>
        </w:tc>
        <w:tc>
          <w:tcPr>
            <w:tcW w:type="dxa" w:w="1440"/>
          </w:tcPr>
          <w:p>
            <w:r>
              <w:rPr>
                <w:sz w:val="20"/>
              </w:rPr>
              <w:t>Monthly</w:t>
            </w:r>
          </w:p>
        </w:tc>
        <w:tc>
          <w:tcPr>
            <w:tcW w:type="dxa" w:w="1440"/>
          </w:tcPr>
          <w:p>
            <w:r>
              <w:rPr>
                <w:sz w:val="20"/>
              </w:rPr>
              <w:t>IAM Engineer</w:t>
            </w:r>
          </w:p>
        </w:tc>
      </w:tr>
      <w:tr>
        <w:tc>
          <w:tcPr>
            <w:tcW w:type="dxa" w:w="1440"/>
          </w:tcPr>
          <w:p>
            <w:r>
              <w:rPr>
                <w:sz w:val="20"/>
              </w:rPr>
              <w:t>KPI-02</w:t>
            </w:r>
          </w:p>
        </w:tc>
        <w:tc>
          <w:tcPr>
            <w:tcW w:type="dxa" w:w="1440"/>
          </w:tcPr>
          <w:p>
            <w:r>
              <w:rPr>
                <w:sz w:val="20"/>
              </w:rPr>
              <w:t>Orphaned / stale accounts</w:t>
            </w:r>
          </w:p>
        </w:tc>
        <w:tc>
          <w:tcPr>
            <w:tcW w:type="dxa" w:w="1440"/>
          </w:tcPr>
          <w:p>
            <w:r>
              <w:rPr>
                <w:sz w:val="20"/>
              </w:rPr>
              <w:t>Active accounts with no login for &gt; 30 days</w:t>
            </w:r>
          </w:p>
        </w:tc>
        <w:tc>
          <w:tcPr>
            <w:tcW w:type="dxa" w:w="1440"/>
          </w:tcPr>
          <w:p>
            <w:r>
              <w:rPr>
                <w:sz w:val="20"/>
              </w:rPr>
              <w:t>0</w:t>
            </w:r>
          </w:p>
        </w:tc>
        <w:tc>
          <w:tcPr>
            <w:tcW w:type="dxa" w:w="1440"/>
          </w:tcPr>
          <w:p>
            <w:r>
              <w:rPr>
                <w:sz w:val="20"/>
              </w:rPr>
              <w:t>Monthly</w:t>
            </w:r>
          </w:p>
        </w:tc>
        <w:tc>
          <w:tcPr>
            <w:tcW w:type="dxa" w:w="1440"/>
          </w:tcPr>
          <w:p>
            <w:r>
              <w:rPr>
                <w:sz w:val="20"/>
              </w:rPr>
              <w:t>IAM Engineer</w:t>
            </w:r>
          </w:p>
        </w:tc>
      </w:tr>
      <w:tr>
        <w:tc>
          <w:tcPr>
            <w:tcW w:type="dxa" w:w="1440"/>
          </w:tcPr>
          <w:p>
            <w:r>
              <w:rPr>
                <w:sz w:val="20"/>
              </w:rPr>
              <w:t>KPI-03</w:t>
            </w:r>
          </w:p>
        </w:tc>
        <w:tc>
          <w:tcPr>
            <w:tcW w:type="dxa" w:w="1440"/>
          </w:tcPr>
          <w:p>
            <w:r>
              <w:rPr>
                <w:sz w:val="20"/>
              </w:rPr>
              <w:t>Failed authentication rate</w:t>
            </w:r>
          </w:p>
        </w:tc>
        <w:tc>
          <w:tcPr>
            <w:tcW w:type="dxa" w:w="1440"/>
          </w:tcPr>
          <w:p>
            <w:r>
              <w:rPr>
                <w:sz w:val="20"/>
              </w:rPr>
              <w:t>Failed logins / total attempts; alert on spike vs baseline</w:t>
            </w:r>
          </w:p>
        </w:tc>
        <w:tc>
          <w:tcPr>
            <w:tcW w:type="dxa" w:w="1440"/>
          </w:tcPr>
          <w:p>
            <w:r>
              <w:rPr>
                <w:sz w:val="20"/>
              </w:rPr>
              <w:t>&lt; 2%; investigate spikes</w:t>
            </w:r>
          </w:p>
        </w:tc>
        <w:tc>
          <w:tcPr>
            <w:tcW w:type="dxa" w:w="1440"/>
          </w:tcPr>
          <w:p>
            <w:r>
              <w:rPr>
                <w:sz w:val="20"/>
              </w:rPr>
              <w:t>Weekly</w:t>
            </w:r>
          </w:p>
        </w:tc>
        <w:tc>
          <w:tcPr>
            <w:tcW w:type="dxa" w:w="1440"/>
          </w:tcPr>
          <w:p>
            <w:r>
              <w:rPr>
                <w:sz w:val="20"/>
              </w:rPr>
              <w:t>Security Analyst</w:t>
            </w:r>
          </w:p>
        </w:tc>
      </w:tr>
      <w:tr>
        <w:tc>
          <w:tcPr>
            <w:tcW w:type="dxa" w:w="1440"/>
          </w:tcPr>
          <w:p>
            <w:r>
              <w:rPr>
                <w:sz w:val="20"/>
              </w:rPr>
              <w:t>KPI-04</w:t>
            </w:r>
          </w:p>
        </w:tc>
        <w:tc>
          <w:tcPr>
            <w:tcW w:type="dxa" w:w="1440"/>
          </w:tcPr>
          <w:p>
            <w:r>
              <w:rPr>
                <w:sz w:val="20"/>
              </w:rPr>
              <w:t>Privileged access reviews on time</w:t>
            </w:r>
          </w:p>
        </w:tc>
        <w:tc>
          <w:tcPr>
            <w:tcW w:type="dxa" w:w="1440"/>
          </w:tcPr>
          <w:p>
            <w:r>
              <w:rPr>
                <w:sz w:val="20"/>
              </w:rPr>
              <w:t>Recertifications completed by due date / due</w:t>
            </w:r>
          </w:p>
        </w:tc>
        <w:tc>
          <w:tcPr>
            <w:tcW w:type="dxa" w:w="1440"/>
          </w:tcPr>
          <w:p>
            <w:r>
              <w:rPr>
                <w:sz w:val="20"/>
              </w:rPr>
              <w:t>100% quarterly</w:t>
            </w:r>
          </w:p>
        </w:tc>
        <w:tc>
          <w:tcPr>
            <w:tcW w:type="dxa" w:w="1440"/>
          </w:tcPr>
          <w:p>
            <w:r>
              <w:rPr>
                <w:sz w:val="20"/>
              </w:rPr>
              <w:t>Quarterly</w:t>
            </w:r>
          </w:p>
        </w:tc>
        <w:tc>
          <w:tcPr>
            <w:tcW w:type="dxa" w:w="1440"/>
          </w:tcPr>
          <w:p>
            <w:r>
              <w:rPr>
                <w:sz w:val="20"/>
              </w:rPr>
              <w:t>IAM Engineer</w:t>
            </w:r>
          </w:p>
        </w:tc>
      </w:tr>
      <w:tr>
        <w:tc>
          <w:tcPr>
            <w:tcW w:type="dxa" w:w="1440"/>
          </w:tcPr>
          <w:p>
            <w:r>
              <w:rPr>
                <w:sz w:val="20"/>
              </w:rPr>
              <w:t>KPI-05</w:t>
            </w:r>
          </w:p>
        </w:tc>
        <w:tc>
          <w:tcPr>
            <w:tcW w:type="dxa" w:w="1440"/>
          </w:tcPr>
          <w:p>
            <w:r>
              <w:rPr>
                <w:sz w:val="20"/>
              </w:rPr>
              <w:t>Mean time to deprovision</w:t>
            </w:r>
          </w:p>
        </w:tc>
        <w:tc>
          <w:tcPr>
            <w:tcW w:type="dxa" w:w="1440"/>
          </w:tcPr>
          <w:p>
            <w:r>
              <w:rPr>
                <w:sz w:val="20"/>
              </w:rPr>
              <w:t>Hours from termination event to all access removed</w:t>
            </w:r>
          </w:p>
        </w:tc>
        <w:tc>
          <w:tcPr>
            <w:tcW w:type="dxa" w:w="1440"/>
          </w:tcPr>
          <w:p>
            <w:r>
              <w:rPr>
                <w:sz w:val="20"/>
              </w:rPr>
              <w:t>&lt; 24 hours</w:t>
            </w:r>
          </w:p>
        </w:tc>
        <w:tc>
          <w:tcPr>
            <w:tcW w:type="dxa" w:w="1440"/>
          </w:tcPr>
          <w:p>
            <w:r>
              <w:rPr>
                <w:sz w:val="20"/>
              </w:rPr>
              <w:t>Monthly</w:t>
            </w:r>
          </w:p>
        </w:tc>
        <w:tc>
          <w:tcPr>
            <w:tcW w:type="dxa" w:w="1440"/>
          </w:tcPr>
          <w:p>
            <w:r>
              <w:rPr>
                <w:sz w:val="20"/>
              </w:rPr>
              <w:t>IAM Engineer</w:t>
            </w:r>
          </w:p>
        </w:tc>
      </w:tr>
      <w:tr>
        <w:tc>
          <w:tcPr>
            <w:tcW w:type="dxa" w:w="1440"/>
          </w:tcPr>
          <w:p>
            <w:r>
              <w:rPr>
                <w:sz w:val="20"/>
              </w:rPr>
              <w:t>KPI-06</w:t>
            </w:r>
          </w:p>
        </w:tc>
        <w:tc>
          <w:tcPr>
            <w:tcW w:type="dxa" w:w="1440"/>
          </w:tcPr>
          <w:p>
            <w:r>
              <w:rPr>
                <w:sz w:val="20"/>
              </w:rPr>
              <w:t>Open policy exceptions</w:t>
            </w:r>
          </w:p>
        </w:tc>
        <w:tc>
          <w:tcPr>
            <w:tcW w:type="dxa" w:w="1440"/>
          </w:tcPr>
          <w:p>
            <w:r>
              <w:rPr>
                <w:sz w:val="20"/>
              </w:rPr>
              <w:t>Approved exceptions past review date, by severity</w:t>
            </w:r>
          </w:p>
        </w:tc>
        <w:tc>
          <w:tcPr>
            <w:tcW w:type="dxa" w:w="1440"/>
          </w:tcPr>
          <w:p>
            <w:r>
              <w:rPr>
                <w:sz w:val="20"/>
              </w:rPr>
              <w:t>0 Critical; trending down</w:t>
            </w:r>
          </w:p>
        </w:tc>
        <w:tc>
          <w:tcPr>
            <w:tcW w:type="dxa" w:w="1440"/>
          </w:tcPr>
          <w:p>
            <w:r>
              <w:rPr>
                <w:sz w:val="20"/>
              </w:rPr>
              <w:t>Monthly</w:t>
            </w:r>
          </w:p>
        </w:tc>
        <w:tc>
          <w:tcPr>
            <w:tcW w:type="dxa" w:w="1440"/>
          </w:tcPr>
          <w:p>
            <w:r>
              <w:rPr>
                <w:sz w:val="20"/>
              </w:rPr>
              <w:t>CCO</w:t>
            </w:r>
          </w:p>
        </w:tc>
      </w:tr>
      <w:tr>
        <w:tc>
          <w:tcPr>
            <w:tcW w:type="dxa" w:w="1440"/>
          </w:tcPr>
          <w:p>
            <w:r>
              <w:rPr>
                <w:sz w:val="20"/>
              </w:rPr>
              <w:t>KPI-07</w:t>
            </w:r>
          </w:p>
        </w:tc>
        <w:tc>
          <w:tcPr>
            <w:tcW w:type="dxa" w:w="1440"/>
          </w:tcPr>
          <w:p>
            <w:r>
              <w:rPr>
                <w:sz w:val="20"/>
              </w:rPr>
              <w:t>SAML IdP / LDAP outpost availability</w:t>
            </w:r>
          </w:p>
        </w:tc>
        <w:tc>
          <w:tcPr>
            <w:tcW w:type="dxa" w:w="1440"/>
          </w:tcPr>
          <w:p>
            <w:r>
              <w:rPr>
                <w:sz w:val="20"/>
              </w:rPr>
              <w:t>Uptime of Authentik server and LDAP outpost</w:t>
            </w:r>
          </w:p>
        </w:tc>
        <w:tc>
          <w:tcPr>
            <w:tcW w:type="dxa" w:w="1440"/>
          </w:tcPr>
          <w:p>
            <w:r>
              <w:rPr>
                <w:sz w:val="20"/>
              </w:rPr>
              <w:t>&gt;= 99.5%</w:t>
            </w:r>
          </w:p>
        </w:tc>
        <w:tc>
          <w:tcPr>
            <w:tcW w:type="dxa" w:w="1440"/>
          </w:tcPr>
          <w:p>
            <w:r>
              <w:rPr>
                <w:sz w:val="20"/>
              </w:rPr>
              <w:t>Monthly</w:t>
            </w:r>
          </w:p>
        </w:tc>
        <w:tc>
          <w:tcPr>
            <w:tcW w:type="dxa" w:w="1440"/>
          </w:tcPr>
          <w:p>
            <w:r>
              <w:rPr>
                <w:sz w:val="20"/>
              </w:rPr>
              <w:t>IAM Engineer</w:t>
            </w:r>
          </w:p>
        </w:tc>
      </w:tr>
      <w:tr>
        <w:tc>
          <w:tcPr>
            <w:tcW w:type="dxa" w:w="1440"/>
          </w:tcPr>
          <w:p>
            <w:r>
              <w:rPr>
                <w:sz w:val="20"/>
              </w:rPr>
              <w:t>KPI-08</w:t>
            </w:r>
          </w:p>
        </w:tc>
        <w:tc>
          <w:tcPr>
            <w:tcW w:type="dxa" w:w="1440"/>
          </w:tcPr>
          <w:p>
            <w:r>
              <w:rPr>
                <w:sz w:val="20"/>
              </w:rPr>
              <w:t>Unauthorized access attempts blocked</w:t>
            </w:r>
          </w:p>
        </w:tc>
        <w:tc>
          <w:tcPr>
            <w:tcW w:type="dxa" w:w="1440"/>
          </w:tcPr>
          <w:p>
            <w:r>
              <w:rPr>
                <w:sz w:val="20"/>
              </w:rPr>
              <w:t>Denied authentications and explicit-deny policy hits</w:t>
            </w:r>
          </w:p>
        </w:tc>
        <w:tc>
          <w:tcPr>
            <w:tcW w:type="dxa" w:w="1440"/>
          </w:tcPr>
          <w:p>
            <w:r>
              <w:rPr>
                <w:sz w:val="20"/>
              </w:rPr>
              <w:t>Count + trend</w:t>
            </w:r>
          </w:p>
        </w:tc>
        <w:tc>
          <w:tcPr>
            <w:tcW w:type="dxa" w:w="1440"/>
          </w:tcPr>
          <w:p>
            <w:r>
              <w:rPr>
                <w:sz w:val="20"/>
              </w:rPr>
              <w:t>Weekly</w:t>
            </w:r>
          </w:p>
        </w:tc>
        <w:tc>
          <w:tcPr>
            <w:tcW w:type="dxa" w:w="1440"/>
          </w:tcPr>
          <w:p>
            <w:r>
              <w:rPr>
                <w:sz w:val="20"/>
              </w:rPr>
              <w:t>Security Analyst</w:t>
            </w:r>
          </w:p>
        </w:tc>
      </w:tr>
      <w:tr>
        <w:tc>
          <w:tcPr>
            <w:tcW w:type="dxa" w:w="1440"/>
          </w:tcPr>
          <w:p>
            <w:r>
              <w:rPr>
                <w:sz w:val="20"/>
              </w:rPr>
              <w:t>KPI-09</w:t>
            </w:r>
          </w:p>
        </w:tc>
        <w:tc>
          <w:tcPr>
            <w:tcW w:type="dxa" w:w="1440"/>
          </w:tcPr>
          <w:p>
            <w:r>
              <w:rPr>
                <w:sz w:val="20"/>
              </w:rPr>
              <w:t>Terraform drift</w:t>
            </w:r>
          </w:p>
        </w:tc>
        <w:tc>
          <w:tcPr>
            <w:tcW w:type="dxa" w:w="1440"/>
          </w:tcPr>
          <w:p>
            <w:r>
              <w:rPr>
                <w:sz w:val="20"/>
              </w:rPr>
              <w:t>Resources changed outside Terraform (terraform plan diff)</w:t>
            </w:r>
          </w:p>
        </w:tc>
        <w:tc>
          <w:tcPr>
            <w:tcW w:type="dxa" w:w="1440"/>
          </w:tcPr>
          <w:p>
            <w:r>
              <w:rPr>
                <w:sz w:val="20"/>
              </w:rPr>
              <w:t>0 unmanaged changes</w:t>
            </w:r>
          </w:p>
        </w:tc>
        <w:tc>
          <w:tcPr>
            <w:tcW w:type="dxa" w:w="1440"/>
          </w:tcPr>
          <w:p>
            <w:r>
              <w:rPr>
                <w:sz w:val="20"/>
              </w:rPr>
              <w:t>Weekly</w:t>
            </w:r>
          </w:p>
        </w:tc>
        <w:tc>
          <w:tcPr>
            <w:tcW w:type="dxa" w:w="1440"/>
          </w:tcPr>
          <w:p>
            <w:r>
              <w:rPr>
                <w:sz w:val="20"/>
              </w:rPr>
              <w:t>IAM Engineer</w:t>
            </w:r>
          </w:p>
        </w:tc>
      </w:tr>
      <w:tr>
        <w:tc>
          <w:tcPr>
            <w:tcW w:type="dxa" w:w="1440"/>
          </w:tcPr>
          <w:p>
            <w:r>
              <w:rPr>
                <w:sz w:val="20"/>
              </w:rPr>
              <w:t>KPI-10</w:t>
            </w:r>
          </w:p>
        </w:tc>
        <w:tc>
          <w:tcPr>
            <w:tcW w:type="dxa" w:w="1440"/>
          </w:tcPr>
          <w:p>
            <w:r>
              <w:rPr>
                <w:sz w:val="20"/>
              </w:rPr>
              <w:t>Security training completion</w:t>
            </w:r>
          </w:p>
        </w:tc>
        <w:tc>
          <w:tcPr>
            <w:tcW w:type="dxa" w:w="1440"/>
          </w:tcPr>
          <w:p>
            <w:r>
              <w:rPr>
                <w:sz w:val="20"/>
              </w:rPr>
              <w:t>Personnel completing required IAM/security training</w:t>
            </w:r>
          </w:p>
        </w:tc>
        <w:tc>
          <w:tcPr>
            <w:tcW w:type="dxa" w:w="1440"/>
          </w:tcPr>
          <w:p>
            <w:r>
              <w:rPr>
                <w:sz w:val="20"/>
              </w:rPr>
              <w:t>100% annual</w:t>
            </w:r>
          </w:p>
        </w:tc>
        <w:tc>
          <w:tcPr>
            <w:tcW w:type="dxa" w:w="1440"/>
          </w:tcPr>
          <w:p>
            <w:r>
              <w:rPr>
                <w:sz w:val="20"/>
              </w:rPr>
              <w:t>Quarterly</w:t>
            </w:r>
          </w:p>
        </w:tc>
        <w:tc>
          <w:tcPr>
            <w:tcW w:type="dxa" w:w="1440"/>
          </w:tcPr>
          <w:p>
            <w:r>
              <w:rPr>
                <w:sz w:val="20"/>
              </w:rPr>
              <w:t>CCO</w:t>
            </w:r>
          </w:p>
        </w:tc>
      </w:tr>
      <w:tr>
        <w:tc>
          <w:tcPr>
            <w:tcW w:type="dxa" w:w="1440"/>
          </w:tcPr>
          <w:p>
            <w:r>
              <w:rPr>
                <w:sz w:val="20"/>
              </w:rPr>
              <w:t>KPI-11</w:t>
            </w:r>
          </w:p>
        </w:tc>
        <w:tc>
          <w:tcPr>
            <w:tcW w:type="dxa" w:w="1440"/>
          </w:tcPr>
          <w:p>
            <w:r>
              <w:rPr>
                <w:sz w:val="20"/>
              </w:rPr>
              <w:t>Permission boundary coverage</w:t>
            </w:r>
          </w:p>
        </w:tc>
        <w:tc>
          <w:tcPr>
            <w:tcW w:type="dxa" w:w="1440"/>
          </w:tcPr>
          <w:p>
            <w:r>
              <w:rPr>
                <w:sz w:val="20"/>
              </w:rPr>
              <w:t>IAM roles with EISP-PermissionBoundary attached / total roles</w:t>
            </w:r>
          </w:p>
        </w:tc>
        <w:tc>
          <w:tcPr>
            <w:tcW w:type="dxa" w:w="1440"/>
          </w:tcPr>
          <w:p>
            <w:r>
              <w:rPr>
                <w:sz w:val="20"/>
              </w:rPr>
              <w:t>100%</w:t>
            </w:r>
          </w:p>
        </w:tc>
        <w:tc>
          <w:tcPr>
            <w:tcW w:type="dxa" w:w="1440"/>
          </w:tcPr>
          <w:p>
            <w:r>
              <w:rPr>
                <w:sz w:val="20"/>
              </w:rPr>
              <w:t>Monthly</w:t>
            </w:r>
          </w:p>
        </w:tc>
        <w:tc>
          <w:tcPr>
            <w:tcW w:type="dxa" w:w="1440"/>
          </w:tcPr>
          <w:p>
            <w:r>
              <w:rPr>
                <w:sz w:val="20"/>
              </w:rPr>
              <w:t>IAM Engineer</w:t>
            </w:r>
          </w:p>
        </w:tc>
      </w:tr>
      <w:tr>
        <w:tc>
          <w:tcPr>
            <w:tcW w:type="dxa" w:w="1440"/>
          </w:tcPr>
          <w:p>
            <w:r>
              <w:rPr>
                <w:sz w:val="20"/>
              </w:rPr>
              <w:t>KPI-12</w:t>
            </w:r>
          </w:p>
        </w:tc>
        <w:tc>
          <w:tcPr>
            <w:tcW w:type="dxa" w:w="1440"/>
          </w:tcPr>
          <w:p>
            <w:r>
              <w:rPr>
                <w:sz w:val="20"/>
              </w:rPr>
              <w:t>Mean time to remediate audit findings</w:t>
            </w:r>
          </w:p>
        </w:tc>
        <w:tc>
          <w:tcPr>
            <w:tcW w:type="dxa" w:w="1440"/>
          </w:tcPr>
          <w:p>
            <w:r>
              <w:rPr>
                <w:sz w:val="20"/>
              </w:rPr>
              <w:t>Days from finding to verified remediation, by severity</w:t>
            </w:r>
          </w:p>
        </w:tc>
        <w:tc>
          <w:tcPr>
            <w:tcW w:type="dxa" w:w="1440"/>
          </w:tcPr>
          <w:p>
            <w:r>
              <w:rPr>
                <w:sz w:val="20"/>
              </w:rPr>
              <w:t>&lt; 30 days (High)</w:t>
            </w:r>
          </w:p>
        </w:tc>
        <w:tc>
          <w:tcPr>
            <w:tcW w:type="dxa" w:w="1440"/>
          </w:tcPr>
          <w:p>
            <w:r>
              <w:rPr>
                <w:sz w:val="20"/>
              </w:rPr>
              <w:t>Monthly</w:t>
            </w:r>
          </w:p>
        </w:tc>
        <w:tc>
          <w:tcPr>
            <w:tcW w:type="dxa" w:w="1440"/>
          </w:tcPr>
          <w:p>
            <w:r>
              <w:rPr>
                <w:sz w:val="20"/>
              </w:rPr>
              <w:t>IAM Engineer</w:t>
            </w:r>
          </w:p>
        </w:tc>
      </w:tr>
    </w:tbl>
    <w:p/>
    <w:p>
      <w:pPr>
        <w:pStyle w:val="Heading2"/>
      </w:pPr>
      <w:r>
        <w:t>5.2 Reporting Framework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Report</w:t>
            </w:r>
          </w:p>
        </w:tc>
        <w:tc>
          <w:tcPr>
            <w:tcW w:type="dxa" w:w="2160"/>
            <w:shd w:val="clear" w:fill="1F4E79"/>
          </w:tcPr>
          <w:p>
            <w:r/>
            <w:r>
              <w:rPr>
                <w:b/>
                <w:color w:val="FFFFFF"/>
                <w:sz w:val="20"/>
              </w:rPr>
              <w:t>Audience</w:t>
            </w:r>
          </w:p>
        </w:tc>
        <w:tc>
          <w:tcPr>
            <w:tcW w:type="dxa" w:w="2160"/>
            <w:shd w:val="clear" w:fill="1F4E79"/>
          </w:tcPr>
          <w:p>
            <w:r/>
            <w:r>
              <w:rPr>
                <w:b/>
                <w:color w:val="FFFFFF"/>
                <w:sz w:val="20"/>
              </w:rPr>
              <w:t>Content</w:t>
            </w:r>
          </w:p>
        </w:tc>
        <w:tc>
          <w:tcPr>
            <w:tcW w:type="dxa" w:w="2160"/>
            <w:shd w:val="clear" w:fill="1F4E79"/>
          </w:tcPr>
          <w:p>
            <w:r/>
            <w:r>
              <w:rPr>
                <w:b/>
                <w:color w:val="FFFFFF"/>
                <w:sz w:val="20"/>
              </w:rPr>
              <w:t>Cadence</w:t>
            </w:r>
          </w:p>
        </w:tc>
      </w:tr>
      <w:tr>
        <w:tc>
          <w:tcPr>
            <w:tcW w:type="dxa" w:w="2160"/>
          </w:tcPr>
          <w:p>
            <w:r>
              <w:rPr>
                <w:sz w:val="20"/>
              </w:rPr>
              <w:t>Daily IAM operations snapshot</w:t>
            </w:r>
          </w:p>
        </w:tc>
        <w:tc>
          <w:tcPr>
            <w:tcW w:type="dxa" w:w="2160"/>
          </w:tcPr>
          <w:p>
            <w:r>
              <w:rPr>
                <w:sz w:val="20"/>
              </w:rPr>
              <w:t>IAM Engineer</w:t>
            </w:r>
          </w:p>
        </w:tc>
        <w:tc>
          <w:tcPr>
            <w:tcW w:type="dxa" w:w="2160"/>
          </w:tcPr>
          <w:p>
            <w:r>
              <w:rPr>
                <w:sz w:val="20"/>
              </w:rPr>
              <w:t>Failed logins, provisioning/deprovisioning activity, service health</w:t>
            </w:r>
          </w:p>
        </w:tc>
        <w:tc>
          <w:tcPr>
            <w:tcW w:type="dxa" w:w="2160"/>
          </w:tcPr>
          <w:p>
            <w:r>
              <w:rPr>
                <w:sz w:val="20"/>
              </w:rPr>
              <w:t>Daily</w:t>
            </w:r>
          </w:p>
        </w:tc>
      </w:tr>
      <w:tr>
        <w:tc>
          <w:tcPr>
            <w:tcW w:type="dxa" w:w="2160"/>
          </w:tcPr>
          <w:p>
            <w:r>
              <w:rPr>
                <w:sz w:val="20"/>
              </w:rPr>
              <w:t>Weekly authentication &amp; access summary</w:t>
            </w:r>
          </w:p>
        </w:tc>
        <w:tc>
          <w:tcPr>
            <w:tcW w:type="dxa" w:w="2160"/>
          </w:tcPr>
          <w:p>
            <w:r>
              <w:rPr>
                <w:sz w:val="20"/>
              </w:rPr>
              <w:t>Security Analyst, CCO</w:t>
            </w:r>
          </w:p>
        </w:tc>
        <w:tc>
          <w:tcPr>
            <w:tcW w:type="dxa" w:w="2160"/>
          </w:tcPr>
          <w:p>
            <w:r>
              <w:rPr>
                <w:sz w:val="20"/>
              </w:rPr>
              <w:t>KPI-03, KPI-08 trends; notable events; exceptions requested</w:t>
            </w:r>
          </w:p>
        </w:tc>
        <w:tc>
          <w:tcPr>
            <w:tcW w:type="dxa" w:w="2160"/>
          </w:tcPr>
          <w:p>
            <w:r>
              <w:rPr>
                <w:sz w:val="20"/>
              </w:rPr>
              <w:t>Weekly</w:t>
            </w:r>
          </w:p>
        </w:tc>
      </w:tr>
      <w:tr>
        <w:tc>
          <w:tcPr>
            <w:tcW w:type="dxa" w:w="2160"/>
          </w:tcPr>
          <w:p>
            <w:r>
              <w:rPr>
                <w:sz w:val="20"/>
              </w:rPr>
              <w:t>Monthly compliance metrics pack</w:t>
            </w:r>
          </w:p>
        </w:tc>
        <w:tc>
          <w:tcPr>
            <w:tcW w:type="dxa" w:w="2160"/>
          </w:tcPr>
          <w:p>
            <w:r>
              <w:rPr>
                <w:sz w:val="20"/>
              </w:rPr>
              <w:t>Compliance Committee</w:t>
            </w:r>
          </w:p>
        </w:tc>
        <w:tc>
          <w:tcPr>
            <w:tcW w:type="dxa" w:w="2160"/>
          </w:tcPr>
          <w:p>
            <w:r>
              <w:rPr>
                <w:sz w:val="20"/>
              </w:rPr>
              <w:t>All KPIs vs targets; remediation progress; upcoming recertifications</w:t>
            </w:r>
          </w:p>
        </w:tc>
        <w:tc>
          <w:tcPr>
            <w:tcW w:type="dxa" w:w="2160"/>
          </w:tcPr>
          <w:p>
            <w:r>
              <w:rPr>
                <w:sz w:val="20"/>
              </w:rPr>
              <w:t>Monthly</w:t>
            </w:r>
          </w:p>
        </w:tc>
      </w:tr>
      <w:tr>
        <w:tc>
          <w:tcPr>
            <w:tcW w:type="dxa" w:w="2160"/>
          </w:tcPr>
          <w:p>
            <w:r>
              <w:rPr>
                <w:sz w:val="20"/>
              </w:rPr>
              <w:t>Quarterly compliance status report</w:t>
            </w:r>
          </w:p>
        </w:tc>
        <w:tc>
          <w:tcPr>
            <w:tcW w:type="dxa" w:w="2160"/>
          </w:tcPr>
          <w:p>
            <w:r>
              <w:rPr>
                <w:sz w:val="20"/>
              </w:rPr>
              <w:t>Executive leadership</w:t>
            </w:r>
          </w:p>
        </w:tc>
        <w:tc>
          <w:tcPr>
            <w:tcW w:type="dxa" w:w="2160"/>
          </w:tcPr>
          <w:p>
            <w:r>
              <w:rPr>
                <w:sz w:val="20"/>
              </w:rPr>
              <w:t>Full TMP-RPT-01 report (see Section 3)</w:t>
            </w:r>
          </w:p>
        </w:tc>
        <w:tc>
          <w:tcPr>
            <w:tcW w:type="dxa" w:w="2160"/>
          </w:tcPr>
          <w:p>
            <w:r>
              <w:rPr>
                <w:sz w:val="20"/>
              </w:rPr>
              <w:t>Quarterly</w:t>
            </w:r>
          </w:p>
        </w:tc>
      </w:tr>
      <w:tr>
        <w:tc>
          <w:tcPr>
            <w:tcW w:type="dxa" w:w="2160"/>
          </w:tcPr>
          <w:p>
            <w:r>
              <w:rPr>
                <w:sz w:val="20"/>
              </w:rPr>
              <w:t>Annual program effectiveness review</w:t>
            </w:r>
          </w:p>
        </w:tc>
        <w:tc>
          <w:tcPr>
            <w:tcW w:type="dxa" w:w="2160"/>
          </w:tcPr>
          <w:p>
            <w:r>
              <w:rPr>
                <w:sz w:val="20"/>
              </w:rPr>
              <w:t>Board / project sponsor</w:t>
            </w:r>
          </w:p>
        </w:tc>
        <w:tc>
          <w:tcPr>
            <w:tcW w:type="dxa" w:w="2160"/>
          </w:tcPr>
          <w:p>
            <w:r>
              <w:rPr>
                <w:sz w:val="20"/>
              </w:rPr>
              <w:t>Year-over-year trends, control maturity, strategic recommendations</w:t>
            </w:r>
          </w:p>
        </w:tc>
        <w:tc>
          <w:tcPr>
            <w:tcW w:type="dxa" w:w="2160"/>
          </w:tcPr>
          <w:p>
            <w:r>
              <w:rPr>
                <w:sz w:val="20"/>
              </w:rPr>
              <w:t>Annual</w:t>
            </w:r>
          </w:p>
        </w:tc>
      </w:tr>
      <w:tr>
        <w:tc>
          <w:tcPr>
            <w:tcW w:type="dxa" w:w="2160"/>
          </w:tcPr>
          <w:p>
            <w:r>
              <w:rPr>
                <w:sz w:val="20"/>
              </w:rPr>
              <w:t>Ad-hoc incident report</w:t>
            </w:r>
          </w:p>
        </w:tc>
        <w:tc>
          <w:tcPr>
            <w:tcW w:type="dxa" w:w="2160"/>
          </w:tcPr>
          <w:p>
            <w:r>
              <w:rPr>
                <w:sz w:val="20"/>
              </w:rPr>
              <w:t>Incident stakeholders</w:t>
            </w:r>
          </w:p>
        </w:tc>
        <w:tc>
          <w:tcPr>
            <w:tcW w:type="dxa" w:w="2160"/>
          </w:tcPr>
          <w:p>
            <w:r>
              <w:rPr>
                <w:sz w:val="20"/>
              </w:rPr>
              <w:t>TMP-INC-01 per incident</w:t>
            </w:r>
          </w:p>
        </w:tc>
        <w:tc>
          <w:tcPr>
            <w:tcW w:type="dxa" w:w="2160"/>
          </w:tcPr>
          <w:p>
            <w:r>
              <w:rPr>
                <w:sz w:val="20"/>
              </w:rPr>
              <w:t>As needed</w:t>
            </w:r>
          </w:p>
        </w:tc>
      </w:tr>
    </w:tbl>
    <w:p/>
    <w:p>
      <w:pPr>
        <w:pStyle w:val="Heading2"/>
      </w:pPr>
      <w:r>
        <w:t>5.3 Continuous Monitoring Activities</w:t>
      </w:r>
    </w:p>
    <w:p>
      <w:pPr>
        <w:pStyle w:val="ListBullet"/>
      </w:pPr>
      <w:r>
        <w:t>Authentik event monitoring: failed logins, MFA challenges, new device enrollments, and policy denials reviewed against baselines; anomalies trigger investigation.</w:t>
      </w:r>
    </w:p>
    <w:p>
      <w:pPr>
        <w:pStyle w:val="ListBullet"/>
      </w:pPr>
      <w:r>
        <w:t>AWS telemetry: CloudTrail management events and GuardDuty findings triaged by the Security Analyst (read-only role by design).</w:t>
      </w:r>
    </w:p>
    <w:p>
      <w:pPr>
        <w:pStyle w:val="ListBullet"/>
      </w:pPr>
      <w:r>
        <w:t>Configuration drift: automated terraform plan runs detect unmanaged IAM changes; any drift is investigated as a potential unauthorized change.</w:t>
      </w:r>
    </w:p>
    <w:p>
      <w:pPr>
        <w:pStyle w:val="ListBullet"/>
      </w:pPr>
      <w:r>
        <w:t>Quarterly access recertification: Authentik group memberships and AWS IAM role assignments reviewed and signed off (TMP-RVW-01).</w:t>
      </w:r>
    </w:p>
    <w:p>
      <w:pPr>
        <w:pStyle w:val="ListBullet"/>
      </w:pPr>
      <w:r>
        <w:t>Monthly MFA enrollment audit feeding KPI-01.</w:t>
      </w:r>
    </w:p>
    <w:p>
      <w:pPr>
        <w:pStyle w:val="ListBullet"/>
      </w:pPr>
      <w:r>
        <w:t>Container image review: Authentik server/worker images (2026.2.2) checked for available security updates before upgrades.</w:t>
      </w:r>
    </w:p>
    <w:p>
      <w:pPr>
        <w:pStyle w:val="Heading2"/>
      </w:pPr>
      <w:r>
        <w:t>5.4 Escalation Thresholds and Criteria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Trigger Condition</w:t>
            </w:r>
          </w:p>
        </w:tc>
        <w:tc>
          <w:tcPr>
            <w:tcW w:type="dxa" w:w="2160"/>
            <w:shd w:val="clear" w:fill="1F4E79"/>
          </w:tcPr>
          <w:p>
            <w:r/>
            <w:r>
              <w:rPr>
                <w:b/>
                <w:color w:val="FFFFFF"/>
                <w:sz w:val="20"/>
              </w:rPr>
              <w:t>Threshold</w:t>
            </w:r>
          </w:p>
        </w:tc>
        <w:tc>
          <w:tcPr>
            <w:tcW w:type="dxa" w:w="2160"/>
            <w:shd w:val="clear" w:fill="1F4E79"/>
          </w:tcPr>
          <w:p>
            <w:r/>
            <w:r>
              <w:rPr>
                <w:b/>
                <w:color w:val="FFFFFF"/>
                <w:sz w:val="20"/>
              </w:rPr>
              <w:t>Escalate To</w:t>
            </w:r>
          </w:p>
        </w:tc>
        <w:tc>
          <w:tcPr>
            <w:tcW w:type="dxa" w:w="2160"/>
            <w:shd w:val="clear" w:fill="1F4E79"/>
          </w:tcPr>
          <w:p>
            <w:r/>
            <w:r>
              <w:rPr>
                <w:b/>
                <w:color w:val="FFFFFF"/>
                <w:sz w:val="20"/>
              </w:rPr>
              <w:t>Response SLA</w:t>
            </w:r>
          </w:p>
        </w:tc>
      </w:tr>
      <w:tr>
        <w:tc>
          <w:tcPr>
            <w:tcW w:type="dxa" w:w="2160"/>
          </w:tcPr>
          <w:p>
            <w:r>
              <w:rPr>
                <w:sz w:val="20"/>
              </w:rPr>
              <w:t>Suspected credential compromise or active session hijack</w:t>
            </w:r>
          </w:p>
        </w:tc>
        <w:tc>
          <w:tcPr>
            <w:tcW w:type="dxa" w:w="2160"/>
          </w:tcPr>
          <w:p>
            <w:r>
              <w:rPr>
                <w:sz w:val="20"/>
              </w:rPr>
              <w:t>Any confirmed indicator</w:t>
            </w:r>
          </w:p>
        </w:tc>
        <w:tc>
          <w:tcPr>
            <w:tcW w:type="dxa" w:w="2160"/>
          </w:tcPr>
          <w:p>
            <w:r>
              <w:rPr>
                <w:sz w:val="20"/>
              </w:rPr>
              <w:t>Incident Response lead, CCO</w:t>
            </w:r>
          </w:p>
        </w:tc>
        <w:tc>
          <w:tcPr>
            <w:tcW w:type="dxa" w:w="2160"/>
          </w:tcPr>
          <w:p>
            <w:r>
              <w:rPr>
                <w:sz w:val="20"/>
              </w:rPr>
              <w:t>Immediate</w:t>
            </w:r>
          </w:p>
        </w:tc>
      </w:tr>
      <w:tr>
        <w:tc>
          <w:tcPr>
            <w:tcW w:type="dxa" w:w="2160"/>
          </w:tcPr>
          <w:p>
            <w:r>
              <w:rPr>
                <w:sz w:val="20"/>
              </w:rPr>
              <w:t>Critical audit finding</w:t>
            </w:r>
          </w:p>
        </w:tc>
        <w:tc>
          <w:tcPr>
            <w:tcW w:type="dxa" w:w="2160"/>
          </w:tcPr>
          <w:p>
            <w:r>
              <w:rPr>
                <w:sz w:val="20"/>
              </w:rPr>
              <w:t>Severity = Critical</w:t>
            </w:r>
          </w:p>
        </w:tc>
        <w:tc>
          <w:tcPr>
            <w:tcW w:type="dxa" w:w="2160"/>
          </w:tcPr>
          <w:p>
            <w:r>
              <w:rPr>
                <w:sz w:val="20"/>
              </w:rPr>
              <w:t>CCO, project sponsor</w:t>
            </w:r>
          </w:p>
        </w:tc>
        <w:tc>
          <w:tcPr>
            <w:tcW w:type="dxa" w:w="2160"/>
          </w:tcPr>
          <w:p>
            <w:r>
              <w:rPr>
                <w:sz w:val="20"/>
              </w:rPr>
              <w:t>24 hours</w:t>
            </w:r>
          </w:p>
        </w:tc>
      </w:tr>
      <w:tr>
        <w:tc>
          <w:tcPr>
            <w:tcW w:type="dxa" w:w="2160"/>
          </w:tcPr>
          <w:p>
            <w:r>
              <w:rPr>
                <w:sz w:val="20"/>
              </w:rPr>
              <w:t>MFA enrollment below target</w:t>
            </w:r>
          </w:p>
        </w:tc>
        <w:tc>
          <w:tcPr>
            <w:tcW w:type="dxa" w:w="2160"/>
          </w:tcPr>
          <w:p>
            <w:r>
              <w:rPr>
                <w:sz w:val="20"/>
              </w:rPr>
              <w:t>&lt; 95%</w:t>
            </w:r>
          </w:p>
        </w:tc>
        <w:tc>
          <w:tcPr>
            <w:tcW w:type="dxa" w:w="2160"/>
          </w:tcPr>
          <w:p>
            <w:r>
              <w:rPr>
                <w:sz w:val="20"/>
              </w:rPr>
              <w:t>CCO</w:t>
            </w:r>
          </w:p>
        </w:tc>
        <w:tc>
          <w:tcPr>
            <w:tcW w:type="dxa" w:w="2160"/>
          </w:tcPr>
          <w:p>
            <w:r>
              <w:rPr>
                <w:sz w:val="20"/>
              </w:rPr>
              <w:t>5 business days</w:t>
            </w:r>
          </w:p>
        </w:tc>
      </w:tr>
      <w:tr>
        <w:tc>
          <w:tcPr>
            <w:tcW w:type="dxa" w:w="2160"/>
          </w:tcPr>
          <w:p>
            <w:r>
              <w:rPr>
                <w:sz w:val="20"/>
              </w:rPr>
              <w:t>High-severity remediation overdue</w:t>
            </w:r>
          </w:p>
        </w:tc>
        <w:tc>
          <w:tcPr>
            <w:tcW w:type="dxa" w:w="2160"/>
          </w:tcPr>
          <w:p>
            <w:r>
              <w:rPr>
                <w:sz w:val="20"/>
              </w:rPr>
              <w:t>Past target date</w:t>
            </w:r>
          </w:p>
        </w:tc>
        <w:tc>
          <w:tcPr>
            <w:tcW w:type="dxa" w:w="2160"/>
          </w:tcPr>
          <w:p>
            <w:r>
              <w:rPr>
                <w:sz w:val="20"/>
              </w:rPr>
              <w:t>CCO</w:t>
            </w:r>
          </w:p>
        </w:tc>
        <w:tc>
          <w:tcPr>
            <w:tcW w:type="dxa" w:w="2160"/>
          </w:tcPr>
          <w:p>
            <w:r>
              <w:rPr>
                <w:sz w:val="20"/>
              </w:rPr>
              <w:t>5 business days</w:t>
            </w:r>
          </w:p>
        </w:tc>
      </w:tr>
      <w:tr>
        <w:tc>
          <w:tcPr>
            <w:tcW w:type="dxa" w:w="2160"/>
          </w:tcPr>
          <w:p>
            <w:r>
              <w:rPr>
                <w:sz w:val="20"/>
              </w:rPr>
              <w:t>SAML IdP / LDAP outpost outage</w:t>
            </w:r>
          </w:p>
        </w:tc>
        <w:tc>
          <w:tcPr>
            <w:tcW w:type="dxa" w:w="2160"/>
          </w:tcPr>
          <w:p>
            <w:r>
              <w:rPr>
                <w:sz w:val="20"/>
              </w:rPr>
              <w:t>Service unavailable</w:t>
            </w:r>
          </w:p>
        </w:tc>
        <w:tc>
          <w:tcPr>
            <w:tcW w:type="dxa" w:w="2160"/>
          </w:tcPr>
          <w:p>
            <w:r>
              <w:rPr>
                <w:sz w:val="20"/>
              </w:rPr>
              <w:t>IAM Engineer, stakeholders</w:t>
            </w:r>
          </w:p>
        </w:tc>
        <w:tc>
          <w:tcPr>
            <w:tcW w:type="dxa" w:w="2160"/>
          </w:tcPr>
          <w:p>
            <w:r>
              <w:rPr>
                <w:sz w:val="20"/>
              </w:rPr>
              <w:t>1 hour</w:t>
            </w:r>
          </w:p>
        </w:tc>
      </w:tr>
      <w:tr>
        <w:tc>
          <w:tcPr>
            <w:tcW w:type="dxa" w:w="2160"/>
          </w:tcPr>
          <w:p>
            <w:r>
              <w:rPr>
                <w:sz w:val="20"/>
              </w:rPr>
              <w:t>Terraform drift detected</w:t>
            </w:r>
          </w:p>
        </w:tc>
        <w:tc>
          <w:tcPr>
            <w:tcW w:type="dxa" w:w="2160"/>
          </w:tcPr>
          <w:p>
            <w:r>
              <w:rPr>
                <w:sz w:val="20"/>
              </w:rPr>
              <w:t>Any unmanaged change</w:t>
            </w:r>
          </w:p>
        </w:tc>
        <w:tc>
          <w:tcPr>
            <w:tcW w:type="dxa" w:w="2160"/>
          </w:tcPr>
          <w:p>
            <w:r>
              <w:rPr>
                <w:sz w:val="20"/>
              </w:rPr>
              <w:t>IAM Engineer, Security Analyst</w:t>
            </w:r>
          </w:p>
        </w:tc>
        <w:tc>
          <w:tcPr>
            <w:tcW w:type="dxa" w:w="2160"/>
          </w:tcPr>
          <w:p>
            <w:r>
              <w:rPr>
                <w:sz w:val="20"/>
              </w:rPr>
              <w:t>1 business day</w:t>
            </w:r>
          </w:p>
        </w:tc>
      </w:tr>
    </w:tbl>
    <w:p/>
    <w:p>
      <w:pPr>
        <w:pStyle w:val="Heading1"/>
      </w:pPr>
      <w:r>
        <w:t>6. Conclusion</w:t>
      </w:r>
    </w:p>
    <w:p>
      <w:r>
        <w:rPr>
          <w:b w:val="0"/>
          <w:i w:val="0"/>
        </w:rPr>
        <w:t>Documentation and reporting turn EISP's technical controls into a demonstrable compliance program. The documentation package (Section 2) ensures every policy, procedure, and configuration baseline — from the Authentik docker-compose.yml to the Terraform-managed RBAC policies — is versioned, approved, and retrievable. The quarterly compliance status report (Section 3) gives leadership an honest, evidence-backed view of posture, including the platform's real hardening gaps. Record management (Section 4) preserves the evidence auditors require, and the monitoring system (Section 5) keeps the program alive between assessments through KPIs, reporting cadences, and clear escalation paths.</w:t>
      </w:r>
    </w:p>
    <w:p>
      <w:r>
        <w:rPr>
          <w:b w:val="0"/>
          <w:i w:val="0"/>
        </w:rPr>
        <w:t>For an IAM engineer, this discipline is the difference between a lab that works and a platform that can be trusted: least privilege must be written down, access decisions must leave records, and every control must be testable. With this framework in place, EISP is ready to demonstrate its compliance posture to any assessor — with evidence, not assertions.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&amp; Reporting — Enterprise Identity Security Platform (EISP)</dc:title>
  <dc:subject/>
  <dc:creator>Manisha Gupta</dc:creator>
  <cp:keywords/>
  <dc:description>generated by python-docx</dc:description>
  <cp:lastModifiedBy/>
  <cp:revision>1</cp:revision>
  <dcterms:created xsi:type="dcterms:W3CDTF">2013-12-23T23:15:00Z</dcterms:created>
  <dcterms:modified xsi:type="dcterms:W3CDTF">2013-12-23T23:15:00Z</dcterms:modified>
  <cp:category/>
</cp:coreProperties>
</file>