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jc w:val="center"/>
      </w:pPr>
      <w:r>
        <w:rPr>
          <w:b/>
          <w:color w:val="1F4E79"/>
          <w:sz w:val="36"/>
        </w:rPr>
        <w:t>ENTERPRISE IDENTITY SECURITY PLATFORM (EISP)</w:t>
      </w:r>
    </w:p>
    <w:p>
      <w:pPr>
        <w:jc w:val="center"/>
      </w:pPr>
      <w:r>
        <w:rPr>
          <w:b/>
          <w:color w:val="1F4E79"/>
          <w:sz w:val="44"/>
        </w:rPr>
        <w:t>Legal &amp; Ethical Implementation</w:t>
      </w:r>
    </w:p>
    <w:p>
      <w:pPr>
        <w:jc w:val="center"/>
      </w:pPr>
      <w:r>
        <w:rPr>
          <w:i/>
          <w:sz w:val="24"/>
        </w:rPr>
        <w:t>Regulatory Research, Ethical Analysis, Risk Assessment &amp; Incident Documentation</w:t>
      </w:r>
    </w:p>
    <w:p/>
    <w:p/>
    <w:p/>
    <w:p>
      <w:pPr>
        <w:jc w:val="center"/>
      </w:pPr>
      <w:r>
        <w:rPr>
          <w:b/>
          <w:sz w:val="24"/>
        </w:rPr>
        <w:t xml:space="preserve">Document ID: </w:t>
      </w:r>
      <w:r>
        <w:rPr>
          <w:sz w:val="24"/>
        </w:rPr>
        <w:t>CMP-EISP-05</w:t>
      </w:r>
    </w:p>
    <w:p>
      <w:pPr>
        <w:jc w:val="center"/>
      </w:pPr>
      <w:r>
        <w:rPr>
          <w:b/>
          <w:sz w:val="24"/>
        </w:rPr>
        <w:t xml:space="preserve">Version: </w:t>
      </w:r>
      <w:r>
        <w:rPr>
          <w:sz w:val="24"/>
        </w:rPr>
        <w:t>1.0</w:t>
      </w:r>
    </w:p>
    <w:p>
      <w:pPr>
        <w:jc w:val="center"/>
      </w:pPr>
      <w:r>
        <w:rPr>
          <w:b/>
          <w:sz w:val="24"/>
        </w:rPr>
        <w:t xml:space="preserve">Date: </w:t>
      </w:r>
      <w:r>
        <w:rPr>
          <w:sz w:val="24"/>
        </w:rPr>
        <w:t>October 2026</w:t>
      </w:r>
    </w:p>
    <w:p>
      <w:pPr>
        <w:jc w:val="center"/>
      </w:pPr>
      <w:r>
        <w:rPr>
          <w:b/>
          <w:sz w:val="24"/>
        </w:rPr>
        <w:t xml:space="preserve">Prepared by: </w:t>
      </w:r>
      <w:r>
        <w:rPr>
          <w:sz w:val="24"/>
        </w:rPr>
        <w:t>Manisha Gupta</w:t>
      </w:r>
    </w:p>
    <w:p>
      <w:pPr>
        <w:jc w:val="center"/>
      </w:pPr>
      <w:r>
        <w:rPr>
          <w:b/>
          <w:sz w:val="24"/>
        </w:rPr>
        <w:t xml:space="preserve">Classification: </w:t>
      </w:r>
      <w:r>
        <w:rPr>
          <w:sz w:val="24"/>
        </w:rPr>
        <w:t>CONFIDENTIAL - INTERNAL USE ONLY</w:t>
      </w:r>
    </w:p>
    <w:p>
      <w:r>
        <w:br w:type="page"/>
      </w:r>
    </w:p>
    <w:p>
      <w:pPr>
        <w:pStyle w:val="Heading1"/>
      </w:pPr>
      <w:r>
        <w:t>1. Executive Summary</w:t>
      </w:r>
    </w:p>
    <w:p>
      <w:r>
        <w:rPr>
          <w:b w:val="0"/>
          <w:i w:val="0"/>
        </w:rPr>
        <w:t>The Enterprise Identity Security Platform (EISP) is a hands-on Identity and Access Management (IAM) engineering project built around the Authentik identity provider (deployed via Docker Compose with PostgreSQL 16, LDAP outpost, and SAML federation) and AWS IAM managed as code with Terraform. Because an identity platform sits at the center of every access decision, it inherits legal, regulatory, and ethical obligations from every system it touches. This document satisfies the Legal &amp; Ethical Implementation rubric by (1) researching the laws and regulations that apply to EISP and recording them in a compliance obligations matrix, (2) applying three ethical frameworks to a realistic IAM dilemma and documenting the decision, (3) performing a structured compliance risk assessment with a scored risk register and heat map, and (4) documenting a full incident scenario - suspected credential compromise in Authentik - with classification, response procedures, reporting obligations, and follow-up actions.</w:t>
      </w:r>
    </w:p>
    <w:p>
      <w:r>
        <w:rPr>
          <w:b w:val="0"/>
          <w:i w:val="0"/>
        </w:rPr>
        <w:t>Key conclusions: EISP processes identity attributes that qualify as personal data under GDPR and CCPA/CPRA; its access-control design maps directly to PCI DSS Requirements 7, 8, 10, and 12 and to the NIST SP 800-53 IA and AC control families already adopted in design document EISP-IAM-004; to the extent EISP provisions or federates access to financially significant systems, Sarbanes-Oxley IT general controls apply. Ten platform-specific risks were assessed; the highest-rated are credential-stuffing attacks against Authentik, IdP availability loss, and privilege creep in AWS roles. All are treatable with the mitigations in Section 4.</w:t>
      </w:r>
    </w:p>
    <w:p>
      <w:pPr>
        <w:pStyle w:val="Heading1"/>
      </w:pPr>
      <w:r>
        <w:t>2. Legal Requirements Research</w:t>
      </w:r>
    </w:p>
    <w:p>
      <w:pPr>
        <w:pStyle w:val="Heading2"/>
      </w:pPr>
      <w:r>
        <w:t>2.1 Compliance Obligations Matrix</w:t>
      </w:r>
    </w:p>
    <w:p>
      <w:r>
        <w:rPr>
          <w:b w:val="0"/>
          <w:i w:val="0"/>
        </w:rPr>
        <w:t>Table 1 consolidates every regulation in scope for EISP, what each one demands, where it applies to the platform, its formal citation, the accountable owner, and how often the obligation is reviewed.</w:t>
      </w:r>
    </w:p>
    <w:tbl>
      <w:tblPr>
        <w:tblStyle w:val="TableGrid"/>
        <w:tblW w:type="auto" w:w="0"/>
        <w:jc w:val="center"/>
        <w:tblLook w:firstColumn="1" w:firstRow="1" w:lastColumn="0" w:lastRow="0" w:noHBand="0" w:noVBand="1" w:val="04A0"/>
      </w:tblPr>
      <w:tblGrid>
        <w:gridCol w:w="1440"/>
        <w:gridCol w:w="1440"/>
        <w:gridCol w:w="1440"/>
        <w:gridCol w:w="1440"/>
        <w:gridCol w:w="1440"/>
        <w:gridCol w:w="1440"/>
      </w:tblGrid>
      <w:tr>
        <w:tc>
          <w:tcPr>
            <w:tcW w:type="dxa" w:w="1440"/>
            <w:shd w:val="clear" w:color="auto" w:fill="1F4E79"/>
          </w:tcPr>
          <w:p>
            <w:r/>
            <w:r>
              <w:rPr>
                <w:b/>
                <w:color w:val="FFFFFF"/>
                <w:sz w:val="20"/>
              </w:rPr>
              <w:t>Regulation</w:t>
            </w:r>
          </w:p>
        </w:tc>
        <w:tc>
          <w:tcPr>
            <w:tcW w:type="dxa" w:w="1440"/>
            <w:shd w:val="clear" w:color="auto" w:fill="1F4E79"/>
          </w:tcPr>
          <w:p>
            <w:r/>
            <w:r>
              <w:rPr>
                <w:b/>
                <w:color w:val="FFFFFF"/>
                <w:sz w:val="20"/>
              </w:rPr>
              <w:t>Key Obligations</w:t>
            </w:r>
          </w:p>
        </w:tc>
        <w:tc>
          <w:tcPr>
            <w:tcW w:type="dxa" w:w="1440"/>
            <w:shd w:val="clear" w:color="auto" w:fill="1F4E79"/>
          </w:tcPr>
          <w:p>
            <w:r/>
            <w:r>
              <w:rPr>
                <w:b/>
                <w:color w:val="FFFFFF"/>
                <w:sz w:val="20"/>
              </w:rPr>
              <w:t>Applicability to EISP</w:t>
            </w:r>
          </w:p>
        </w:tc>
        <w:tc>
          <w:tcPr>
            <w:tcW w:type="dxa" w:w="1440"/>
            <w:shd w:val="clear" w:color="auto" w:fill="1F4E79"/>
          </w:tcPr>
          <w:p>
            <w:r/>
            <w:r>
              <w:rPr>
                <w:b/>
                <w:color w:val="FFFFFF"/>
                <w:sz w:val="20"/>
              </w:rPr>
              <w:t>Regulatory Citation</w:t>
            </w:r>
          </w:p>
        </w:tc>
        <w:tc>
          <w:tcPr>
            <w:tcW w:type="dxa" w:w="1440"/>
            <w:shd w:val="clear" w:color="auto" w:fill="1F4E79"/>
          </w:tcPr>
          <w:p>
            <w:r/>
            <w:r>
              <w:rPr>
                <w:b/>
                <w:color w:val="FFFFFF"/>
                <w:sz w:val="20"/>
              </w:rPr>
              <w:t>Responsible Owner</w:t>
            </w:r>
          </w:p>
        </w:tc>
        <w:tc>
          <w:tcPr>
            <w:tcW w:type="dxa" w:w="1440"/>
            <w:shd w:val="clear" w:color="auto" w:fill="1F4E79"/>
          </w:tcPr>
          <w:p>
            <w:r/>
            <w:r>
              <w:rPr>
                <w:b/>
                <w:color w:val="FFFFFF"/>
                <w:sz w:val="20"/>
              </w:rPr>
              <w:t>Review Frequency</w:t>
            </w:r>
          </w:p>
        </w:tc>
      </w:tr>
      <w:tr>
        <w:tc>
          <w:tcPr>
            <w:tcW w:type="dxa" w:w="1440"/>
          </w:tcPr>
          <w:p>
            <w:r/>
            <w:r>
              <w:rPr>
                <w:sz w:val="20"/>
              </w:rPr>
              <w:t>PCI DSS v4.0</w:t>
            </w:r>
          </w:p>
        </w:tc>
        <w:tc>
          <w:tcPr>
            <w:tcW w:type="dxa" w:w="1440"/>
          </w:tcPr>
          <w:p>
            <w:r/>
            <w:r>
              <w:rPr>
                <w:sz w:val="20"/>
              </w:rPr>
              <w:t>Req 7: restrict access by business need-to-know. Req 8: identify and authenticate all access (unique IDs, MFA for CDE/admin access). Req 10: log and monitor all access to system components. Req 12: maintain an incident response plan and test it annually.</w:t>
            </w:r>
          </w:p>
        </w:tc>
        <w:tc>
          <w:tcPr>
            <w:tcW w:type="dxa" w:w="1440"/>
          </w:tcPr>
          <w:p>
            <w:r/>
            <w:r>
              <w:rPr>
                <w:sz w:val="20"/>
              </w:rPr>
              <w:t>Applies to the extent EISP federates, provisions, or authenticates access to systems in PCI scope. Independently, Requirements 7/8/10 represent the IAM baseline EISP is engineered to satisfy.</w:t>
            </w:r>
          </w:p>
        </w:tc>
        <w:tc>
          <w:tcPr>
            <w:tcW w:type="dxa" w:w="1440"/>
          </w:tcPr>
          <w:p>
            <w:r/>
            <w:r>
              <w:rPr>
                <w:sz w:val="20"/>
              </w:rPr>
              <w:t>PCI Security Standards Council, Payment Card Industry Data Security Standard v4.0 (March 2022)</w:t>
            </w:r>
          </w:p>
        </w:tc>
        <w:tc>
          <w:tcPr>
            <w:tcW w:type="dxa" w:w="1440"/>
          </w:tcPr>
          <w:p>
            <w:r/>
            <w:r>
              <w:rPr>
                <w:sz w:val="20"/>
              </w:rPr>
              <w:t>IAM Engineer / CISO</w:t>
            </w:r>
          </w:p>
        </w:tc>
        <w:tc>
          <w:tcPr>
            <w:tcW w:type="dxa" w:w="1440"/>
          </w:tcPr>
          <w:p>
            <w:r/>
            <w:r>
              <w:rPr>
                <w:sz w:val="20"/>
              </w:rPr>
              <w:t>Annual (QSA assessment cycle); continuous monitoring</w:t>
            </w:r>
          </w:p>
        </w:tc>
      </w:tr>
      <w:tr>
        <w:tc>
          <w:tcPr>
            <w:tcW w:type="dxa" w:w="1440"/>
          </w:tcPr>
          <w:p>
            <w:r/>
            <w:r>
              <w:rPr>
                <w:sz w:val="20"/>
              </w:rPr>
              <w:t>NIST SP 800-53 Rev. 5 (adopted control standard)</w:t>
            </w:r>
          </w:p>
        </w:tc>
        <w:tc>
          <w:tcPr>
            <w:tcW w:type="dxa" w:w="1440"/>
          </w:tcPr>
          <w:p>
            <w:r/>
            <w:r>
              <w:rPr>
                <w:sz w:val="20"/>
              </w:rPr>
              <w:t>IA family: IA-2 Identification &amp; Authentication, IA-5 Authenticator Management, IA-8 Identification &amp; Authentication (Organizational Users). AC family: AC-2 Account Management, AC-3 Access Enforcement, AC-5 Separation of Duties, AC-6 Least Privilege.</w:t>
            </w:r>
          </w:p>
        </w:tc>
        <w:tc>
          <w:tcPr>
            <w:tcW w:type="dxa" w:w="1440"/>
          </w:tcPr>
          <w:p>
            <w:r/>
            <w:r>
              <w:rPr>
                <w:sz w:val="20"/>
              </w:rPr>
              <w:t>Adopted as the control baseline for EISP in design document EISP-IAM-004, alongside Zero Trust Architecture and MITRE ATT&amp;CK. Every AWS role and Authentik policy is traceable to these controls.</w:t>
            </w:r>
          </w:p>
        </w:tc>
        <w:tc>
          <w:tcPr>
            <w:tcW w:type="dxa" w:w="1440"/>
          </w:tcPr>
          <w:p>
            <w:r/>
            <w:r>
              <w:rPr>
                <w:sz w:val="20"/>
              </w:rPr>
              <w:t>NIST Special Publication 800-53 Rev. 5, Security and Privacy Controls for Information Systems and Organizations (Sept 2020, incl. updates)</w:t>
            </w:r>
          </w:p>
        </w:tc>
        <w:tc>
          <w:tcPr>
            <w:tcW w:type="dxa" w:w="1440"/>
          </w:tcPr>
          <w:p>
            <w:r/>
            <w:r>
              <w:rPr>
                <w:sz w:val="20"/>
              </w:rPr>
              <w:t>IAM Engineer</w:t>
            </w:r>
          </w:p>
        </w:tc>
        <w:tc>
          <w:tcPr>
            <w:tcW w:type="dxa" w:w="1440"/>
          </w:tcPr>
          <w:p>
            <w:r/>
            <w:r>
              <w:rPr>
                <w:sz w:val="20"/>
              </w:rPr>
              <w:t>Annual, and on every Terraform/Authentik change</w:t>
            </w:r>
          </w:p>
        </w:tc>
      </w:tr>
      <w:tr>
        <w:tc>
          <w:tcPr>
            <w:tcW w:type="dxa" w:w="1440"/>
          </w:tcPr>
          <w:p>
            <w:r/>
            <w:r>
              <w:rPr>
                <w:sz w:val="20"/>
              </w:rPr>
              <w:t>GDPR</w:t>
            </w:r>
          </w:p>
        </w:tc>
        <w:tc>
          <w:tcPr>
            <w:tcW w:type="dxa" w:w="1440"/>
          </w:tcPr>
          <w:p>
            <w:r/>
            <w:r>
              <w:rPr>
                <w:sz w:val="20"/>
              </w:rPr>
              <w:t>Art. 5 principles (lawfulness, purpose limitation, data minimization); Art. 6 lawful basis; Art. 32 security of processing; Art. 33 breach notification to supervisory authority within 72 hours; Art. 34 communication to data subjects; Art. 37 DPO designation.</w:t>
            </w:r>
          </w:p>
        </w:tc>
        <w:tc>
          <w:tcPr>
            <w:tcW w:type="dxa" w:w="1440"/>
          </w:tcPr>
          <w:p>
            <w:r/>
            <w:r>
              <w:rPr>
                <w:sz w:val="20"/>
              </w:rPr>
              <w:t>EISP stores identity attributes (usernames, email addresses, group memberships, authentication logs) in PostgreSQL - all "personal data" under Art. 4(1). Applies wherever EISP processes data of EU/EEA individuals.</w:t>
            </w:r>
          </w:p>
        </w:tc>
        <w:tc>
          <w:tcPr>
            <w:tcW w:type="dxa" w:w="1440"/>
          </w:tcPr>
          <w:p>
            <w:r/>
            <w:r>
              <w:rPr>
                <w:sz w:val="20"/>
              </w:rPr>
              <w:t>Regulation (EU) 2016/679 of the European Parliament and of the Council (27 April 2016)</w:t>
            </w:r>
          </w:p>
        </w:tc>
        <w:tc>
          <w:tcPr>
            <w:tcW w:type="dxa" w:w="1440"/>
          </w:tcPr>
          <w:p>
            <w:r/>
            <w:r>
              <w:rPr>
                <w:sz w:val="20"/>
              </w:rPr>
              <w:t>Data Protection Officer / IAM Engineer</w:t>
            </w:r>
          </w:p>
        </w:tc>
        <w:tc>
          <w:tcPr>
            <w:tcW w:type="dxa" w:w="1440"/>
          </w:tcPr>
          <w:p>
            <w:r/>
            <w:r>
              <w:rPr>
                <w:sz w:val="20"/>
              </w:rPr>
              <w:t>Annual; DPIA on material changes</w:t>
            </w:r>
          </w:p>
        </w:tc>
      </w:tr>
      <w:tr>
        <w:tc>
          <w:tcPr>
            <w:tcW w:type="dxa" w:w="1440"/>
          </w:tcPr>
          <w:p>
            <w:r/>
            <w:r>
              <w:rPr>
                <w:sz w:val="20"/>
              </w:rPr>
              <w:t>Sarbanes-Oxley Act (SOX)</w:t>
            </w:r>
          </w:p>
        </w:tc>
        <w:tc>
          <w:tcPr>
            <w:tcW w:type="dxa" w:w="1440"/>
          </w:tcPr>
          <w:p>
            <w:r/>
            <w:r>
              <w:rPr>
                <w:sz w:val="20"/>
              </w:rPr>
              <w:t>Sec. 302: CEO/CFO certification of disclosure controls. Sec. 404: management assessment and auditor attestation of internal control over financial reporting (ICFR). Sec. 409: real-time disclosure. IT general controls: access provisioning, periodic access reviews, segregation of duties.</w:t>
            </w:r>
          </w:p>
        </w:tc>
        <w:tc>
          <w:tcPr>
            <w:tcW w:type="dxa" w:w="1440"/>
          </w:tcPr>
          <w:p>
            <w:r/>
            <w:r>
              <w:rPr>
                <w:sz w:val="20"/>
              </w:rPr>
              <w:t>Applies to the extent EISP provisions or federates access to financially significant systems or data. The quarterly access-review procedure and Terraform-enforced least privilege directly support ICFR.</w:t>
            </w:r>
          </w:p>
        </w:tc>
        <w:tc>
          <w:tcPr>
            <w:tcW w:type="dxa" w:w="1440"/>
          </w:tcPr>
          <w:p>
            <w:r/>
            <w:r>
              <w:rPr>
                <w:sz w:val="20"/>
              </w:rPr>
              <w:t>Sarbanes-Oxley Act of 2002, Pub. L. 107-204, 116 Stat. 745; 15 U.S.C. sections 7201 et seq.</w:t>
            </w:r>
          </w:p>
        </w:tc>
        <w:tc>
          <w:tcPr>
            <w:tcW w:type="dxa" w:w="1440"/>
          </w:tcPr>
          <w:p>
            <w:r/>
            <w:r>
              <w:rPr>
                <w:sz w:val="20"/>
              </w:rPr>
              <w:t>CFO / IT Controls Lead</w:t>
            </w:r>
          </w:p>
        </w:tc>
        <w:tc>
          <w:tcPr>
            <w:tcW w:type="dxa" w:w="1440"/>
          </w:tcPr>
          <w:p>
            <w:r/>
            <w:r>
              <w:rPr>
                <w:sz w:val="20"/>
              </w:rPr>
              <w:t>Quarterly (aligned to 404 testing cycle)</w:t>
            </w:r>
          </w:p>
        </w:tc>
      </w:tr>
      <w:tr>
        <w:tc>
          <w:tcPr>
            <w:tcW w:type="dxa" w:w="1440"/>
          </w:tcPr>
          <w:p>
            <w:r/>
            <w:r>
              <w:rPr>
                <w:sz w:val="20"/>
              </w:rPr>
              <w:t>CCPA / CPRA</w:t>
            </w:r>
          </w:p>
        </w:tc>
        <w:tc>
          <w:tcPr>
            <w:tcW w:type="dxa" w:w="1440"/>
          </w:tcPr>
          <w:p>
            <w:r/>
            <w:r>
              <w:rPr>
                <w:sz w:val="20"/>
              </w:rPr>
              <w:t>Consumer rights (know, delete, correct, opt out of sale/sharing); "reasonable security procedures" (Cal. Civ. Code section 1798.150 - private right of action after a breach caused by failure to implement reasonable security); 45-day response timelines; data minimization and purpose limitation.</w:t>
            </w:r>
          </w:p>
        </w:tc>
        <w:tc>
          <w:tcPr>
            <w:tcW w:type="dxa" w:w="1440"/>
          </w:tcPr>
          <w:p>
            <w:r/>
            <w:r>
              <w:rPr>
                <w:sz w:val="20"/>
              </w:rPr>
              <w:t>Applies to personal information of California residents held in EISP (identity attributes, authentication telemetry). A breach traceable to unreasonable security practices creates direct litigation exposure.</w:t>
            </w:r>
          </w:p>
        </w:tc>
        <w:tc>
          <w:tcPr>
            <w:tcW w:type="dxa" w:w="1440"/>
          </w:tcPr>
          <w:p>
            <w:r/>
            <w:r>
              <w:rPr>
                <w:sz w:val="20"/>
              </w:rPr>
              <w:t>California Consumer Privacy Act / California Privacy Rights Act, Cal. Civ. Code sections 1798.100-1798.199.100</w:t>
            </w:r>
          </w:p>
        </w:tc>
        <w:tc>
          <w:tcPr>
            <w:tcW w:type="dxa" w:w="1440"/>
          </w:tcPr>
          <w:p>
            <w:r/>
            <w:r>
              <w:rPr>
                <w:sz w:val="20"/>
              </w:rPr>
              <w:t>Privacy Lead</w:t>
            </w:r>
          </w:p>
        </w:tc>
        <w:tc>
          <w:tcPr>
            <w:tcW w:type="dxa" w:w="1440"/>
          </w:tcPr>
          <w:p>
            <w:r/>
            <w:r>
              <w:rPr>
                <w:sz w:val="20"/>
              </w:rPr>
              <w:t>Annual</w:t>
            </w:r>
          </w:p>
        </w:tc>
      </w:tr>
      <w:tr>
        <w:tc>
          <w:tcPr>
            <w:tcW w:type="dxa" w:w="1440"/>
          </w:tcPr>
          <w:p>
            <w:r/>
            <w:r>
              <w:rPr>
                <w:sz w:val="20"/>
              </w:rPr>
              <w:t>US State Data Breach Notification Laws</w:t>
            </w:r>
          </w:p>
        </w:tc>
        <w:tc>
          <w:tcPr>
            <w:tcW w:type="dxa" w:w="1440"/>
          </w:tcPr>
          <w:p>
            <w:r/>
            <w:r>
              <w:rPr>
                <w:sz w:val="20"/>
              </w:rPr>
              <w:t>Notify affected individuals "without unreasonable delay" (PA); maintain "reasonable safeguards" (NY SHIELD Act); notify the state attorney general above record-count thresholds; prescribed notice content.</w:t>
            </w:r>
          </w:p>
        </w:tc>
        <w:tc>
          <w:tcPr>
            <w:tcW w:type="dxa" w:w="1440"/>
          </w:tcPr>
          <w:p>
            <w:r/>
            <w:r>
              <w:rPr>
                <w:sz w:val="20"/>
              </w:rPr>
              <w:t>Any confirmed compromise of personal data held by EISP triggers the notification statutes of each affected individual's state of residence (EISP is operated from Pennsylvania).</w:t>
            </w:r>
          </w:p>
        </w:tc>
        <w:tc>
          <w:tcPr>
            <w:tcW w:type="dxa" w:w="1440"/>
          </w:tcPr>
          <w:p>
            <w:r/>
            <w:r>
              <w:rPr>
                <w:sz w:val="20"/>
              </w:rPr>
              <w:t>E.g., 73 Pa. Stat. section 2303 (Breach of Personal Information Notification Act); N.Y. Gen. Bus. Law section 899-bb (SHIELD Act)</w:t>
            </w:r>
          </w:p>
        </w:tc>
        <w:tc>
          <w:tcPr>
            <w:tcW w:type="dxa" w:w="1440"/>
          </w:tcPr>
          <w:p>
            <w:r/>
            <w:r>
              <w:rPr>
                <w:sz w:val="20"/>
              </w:rPr>
              <w:t>Incident Response Lead</w:t>
            </w:r>
          </w:p>
        </w:tc>
        <w:tc>
          <w:tcPr>
            <w:tcW w:type="dxa" w:w="1440"/>
          </w:tcPr>
          <w:p>
            <w:r/>
            <w:r>
              <w:rPr>
                <w:sz w:val="20"/>
              </w:rPr>
              <w:t>Per incident; statutes reviewed annually</w:t>
            </w:r>
          </w:p>
        </w:tc>
      </w:tr>
    </w:tbl>
    <w:p/>
    <w:p>
      <w:pPr>
        <w:pStyle w:val="Heading2"/>
      </w:pPr>
      <w:r>
        <w:t>2.2 Regulation-by-Regulation Analysis</w:t>
      </w:r>
    </w:p>
    <w:p>
      <w:pPr>
        <w:pStyle w:val="Heading3"/>
      </w:pPr>
      <w:r>
        <w:t>PCI DSS v4.0</w:t>
      </w:r>
    </w:p>
    <w:p>
      <w:r>
        <w:rPr>
          <w:b w:val="0"/>
          <w:i w:val="0"/>
        </w:rPr>
        <w:t>PCI DSS exists to protect cardholder data, and its access-control requirements are written as if for an IAM engineer: Requirement 7 mandates that access to system components and cardholder data be restricted to only those individuals whose job requires it - the regulatory expression of least privilege and need-to-know. Requirement 8 requires that every person with computer access be assigned a unique ID and authenticated, with multi-factor authentication for all access into the cardholder data environment and for all administrative access. Requirement 10 requires logging of all access to system components with regular log review, and Requirement 12.10 requires a documented, tested incident response plan. For EISP, the relevance is twofold. First, to the extent Authentik federates single sign-on into any application that stores, processes, or transmits cardholder data, EISP becomes part of the PCI scope boundary and its authentication, MFA, and logging controls become auditable controls. Second, even outside formal scope, the project deliberately implements PCI-grade identity controls - unique identities, MFA enforcement points, and centralized audit logging - so the design in EISP-IAM-004 can be presented as satisfying Requirements 7, 8, and 10 by design. Non-compliance is enforced contractually by the card brands through the acquiring bank and can result in monthly non-compliance fines, increased transaction fees, and ultimately loss of card-processing privileges.</w:t>
      </w:r>
    </w:p>
    <w:p>
      <w:pPr>
        <w:pStyle w:val="Heading3"/>
      </w:pPr>
      <w:r>
        <w:t>NIST SP 800-53 Rev. 5</w:t>
      </w:r>
    </w:p>
    <w:p>
      <w:r>
        <w:rPr>
          <w:b w:val="0"/>
          <w:i w:val="0"/>
        </w:rPr>
        <w:t>NIST SP 800-53 is the control catalog EISP formally adopts in EISP-IAM-004, which makes it the most directly applicable "regulation" in this matrix even though it is a standard rather than a statute. The IA (Identification and Authentication) family maps one-to-one onto Authentik capabilities: IA-2 requires organizational users to be identified and authenticated (Authentik user database plus LDAP outpost), IA-5 requires authenticator management (password policy, MFA enrollment, authenticator lifecycle - directly relevant to the incident scenario in Section 5), and IA-8 extends these expectations to network access. The AC (Access Control) family maps onto the Terraform-managed AWS layer: AC-2 account management (the three Terraform roles and their provisioning workflow), AC-3 access enforcement, AC-5 separation of duties (the SecurityAnalyst read-only role versus the IAMEngineer provisioning role), and AC-6 least privilege (the EISP-PermissionBoundary policy, which acts as a hard ceiling even against AdministratorAccess attachment). Because the project documentation already traces each AWS policy to these control identifiers, EISP can demonstrate "compliance by construction": terraform plan/apply output, Authentik configuration exports, and the design document together form the body of evidence an assessor would sample.</w:t>
      </w:r>
    </w:p>
    <w:p>
      <w:pPr>
        <w:pStyle w:val="Heading3"/>
      </w:pPr>
      <w:r>
        <w:t>General Data Protection Regulation (GDPR)</w:t>
      </w:r>
    </w:p>
    <w:p>
      <w:r>
        <w:rPr>
          <w:b w:val="0"/>
          <w:i w:val="0"/>
        </w:rPr>
        <w:t>Everything EISP stores about a person - usernames, email addresses, group memberships, MFA enrollment state, and authentication event logs in PostgreSQL - meets the Article 4(1) definition of personal data ("any information relating to an identified or identifiable natural person"), and authentication logs can easily become special-category-adjacent when they reveal patterns of behavior. That single fact pulls the entire platform under GDPR wherever it processes data of EU/EEA individuals. Article 5 imposes the principles of lawfulness, fairness, transparency, purpose limitation, and data minimization: EISP must collect only the identity attributes it needs (a direct argument for disabling unnecessary Authentik profile fields) and use logs only for security purposes. Article 6 requires a lawful basis - typically legitimate interests for workforce IAM, documented in a record of processing. Article 32 requires "appropriate technical and organisational measures," which is where the project's MFA, encryption, permission boundaries, and logging do double duty as legal safeguards. Articles 33 and 34 impose the well-known 72-hour supervisory-authority notification and the duty to communicate high-risk breaches to data subjects - timelines that the incident response procedures in Section 5 must be engineered to meet. Practically, GDPR also constrains log retention (the monitoring design must define and enforce a retention schedule) and grants data subjects erasure rights that conflict with immutable audit logs - a tension the record-management procedures must resolve explicitly, for example by pseudonymizing logs after the retention window.</w:t>
      </w:r>
    </w:p>
    <w:p>
      <w:pPr>
        <w:pStyle w:val="Heading3"/>
      </w:pPr>
      <w:r>
        <w:t>Sarbanes-Oxley Act (SOX)</w:t>
      </w:r>
    </w:p>
    <w:p>
      <w:r>
        <w:rPr>
          <w:b w:val="0"/>
          <w:i w:val="0"/>
        </w:rPr>
        <w:t>SOX does not regulate identity platforms as such; it regulates the reliability of financial reporting, and identity controls are the load-bearing wall underneath it. Section 404 requires management to assess and auditors to attest to internal control over financial reporting (ICFR), and the IT general controls that auditors test first are precisely the ones EISP implements: who can access financially significant systems, how that access is provisioned and approved, whether access is reviewed periodically, and whether duties are segregated so no single identity can both initiate and approve a transaction. Section 302's officer-certification requirement means the CFO is personally attesting that these controls work - which is why the quarterly user access review procedure and the Terraform-enforced separation between the Developer, SecurityAnalyst, and IAMEngineer roles matter beyond good hygiene. For EISP the applicability is conditional but real: to the extent Authentik provides SSO into ERP, billing, or financial-reporting applications, or the AWS roles touch financial data stores, EISP inherits SOX IT-control scope. A SOX-relevant deficiency here is not graded on a curve - a material weakness in access controls can force disclosure in the 10-K and move the stock price. The project's 4-hour STS session limits, permission boundaries, and documented access reviews are exactly the artifacts a SOX auditor samples.</w:t>
      </w:r>
    </w:p>
    <w:p>
      <w:pPr>
        <w:pStyle w:val="Heading3"/>
      </w:pPr>
      <w:r>
        <w:t>CCPA / CPRA</w:t>
      </w:r>
    </w:p>
    <w:p>
      <w:r>
        <w:rPr>
          <w:b w:val="0"/>
          <w:i w:val="0"/>
        </w:rPr>
        <w:t>Where GDPR is principles-based, the California regime is rights-based and breach-driven, and both halves bite EISP. The CPRA amendments added data minimization, purpose limitation, and storage limitation as explicit obligations - a California-flavored echo of GDPR Article 5 that again argues for lean identity profiles and bounded log retention. The sharper edge is Civil Code section 1798.150: after a breach of nonencrypted personal information, California residents have a private right of action - $100 to $750 per consumer per incident - if the business failed to implement "reasonable security procedures and practices." "Reasonable" is litigated, not defined, but the Attorney General's office has pointed to the CIS Critical Security Controls as a yardstick, and MFA, timely patching, least privilege, and logging are all on that list. For EISP this converts engineering choices into litigation arithmetic: the hardcoded LDAP token and AUTHENTIK_INSECURE=true flag visible in the current docker-compose.yml (see Risk R-04) are precisely the kind of facts a plaintiff's attorney would exhibit. The consumer-rights half (know/delete/correct/opt-out, 45-day response) additionally requires EISP to be able to locate and export or erase an individual's identity data on demand - a procedural requirement the documentation package must cover.</w:t>
      </w:r>
    </w:p>
    <w:p>
      <w:pPr>
        <w:pStyle w:val="Heading3"/>
      </w:pPr>
      <w:r>
        <w:t>US State Data Breach Notification Laws</w:t>
      </w:r>
    </w:p>
    <w:p>
      <w:r>
        <w:rPr>
          <w:b w:val="0"/>
          <w:i w:val="0"/>
        </w:rPr>
        <w:t>There is no single federal breach-notification statute for general personal data, so EISP answers to a patchwork of state laws - currently all fifty states plus territories have one, and they differ on what counts as personal information, how fast notice must go out, who else must be told (attorneys general, credit bureaus above thresholds), and what the notice must contain. Because EISP operates from Pennsylvania, the baseline is 73 Pa. Stat. section 2303: notification to affected Pennsylvania residents "without unreasonable delay" when computerized personal information is reasonably believed to have been acquired by an unauthorized person. New York's SHIELD Act goes further upstream, imposing an affirmative duty to develop, implement, and maintain "reasonable safeguards" - administrative, technical, and physical - which makes the control design itself a legal obligation, not just good practice. The operational consequence for the incident scenario in Section 5 is a notification decision tree: within the first 24-72 hours the response team must determine whose data was affected and in which states they reside, because each state's clock and content requirements then apply independently. The matrix assigns this to the Incident Response Lead with per-incident review, and the statutes themselves are re-checked annually because state legislatures amend them frequently.</w:t>
      </w:r>
    </w:p>
    <w:p>
      <w:pPr>
        <w:pStyle w:val="Heading1"/>
      </w:pPr>
      <w:r>
        <w:t>3. Ethical Framework Application</w:t>
      </w:r>
    </w:p>
    <w:p>
      <w:pPr>
        <w:pStyle w:val="Heading2"/>
      </w:pPr>
      <w:r>
        <w:t>3.1 Three Ethical Frameworks - Overview</w:t>
      </w:r>
    </w:p>
    <w:p>
      <w:r>
        <w:rPr>
          <w:b w:val="0"/>
          <w:i w:val="0"/>
        </w:rPr>
        <w:t>When a compliance question has a clear legal answer, the law decides. The scenario below sits in the grey zone where the law is silent but a decision is still required - the standing access is not (yet) a breach, the manager's request is not (yet) a crime, and the IAM engineer must choose. Three classical frameworks structure that choice.</w:t>
      </w:r>
    </w:p>
    <w:p>
      <w:pPr>
        <w:pStyle w:val="Heading3"/>
      </w:pPr>
      <w:r>
        <w:t>Utilitarianism (consequentialism)</w:t>
      </w:r>
    </w:p>
    <w:p>
      <w:r>
        <w:rPr>
          <w:b w:val="0"/>
          <w:i w:val="0"/>
        </w:rPr>
        <w:t>Associated with Bentham and Mill: an action is right insofar as it maximizes overall well-being - the greatest good for the greatest number. The engineer asks: which option produces the best net consequences for all affected parties, weighing the probability and severity of a breach against the certain cost of slower releases? Strength: it forces honest accounting of real-world harm, including harm to customers who never consented to the risk. Weakness: it can justify sacrificing a minority, and its math depends on guessed probabilities.</w:t>
      </w:r>
    </w:p>
    <w:p>
      <w:pPr>
        <w:pStyle w:val="Heading3"/>
      </w:pPr>
      <w:r>
        <w:t>Deontology (Kantian ethics)</w:t>
      </w:r>
    </w:p>
    <w:p>
      <w:r>
        <w:rPr>
          <w:b w:val="0"/>
          <w:i w:val="0"/>
        </w:rPr>
        <w:t>Kant: an action is right if it conforms to a universal moral duty, regardless of consequences. The categorical imperative asks whether the maxim of the action could be willed as universal law, and the humanity formulation forbids treating people merely as means. The engineer asks: what is my duty here - to the access policy, to the data subjects, to honest stewardship? Duties do not bend because revoking access is inconvenient. Strength: it protects principles when the math is tempting. Weakness: it can be rigid, and duties can appear to conflict (loyalty to the manager vs. duty to protect data).</w:t>
      </w:r>
    </w:p>
    <w:p>
      <w:pPr>
        <w:pStyle w:val="Heading3"/>
      </w:pPr>
      <w:r>
        <w:t>Virtue ethics (Aristotelian)</w:t>
      </w:r>
    </w:p>
    <w:p>
      <w:r>
        <w:rPr>
          <w:b w:val="0"/>
          <w:i w:val="0"/>
        </w:rPr>
        <w:t>Aristotle: the right action is the one a virtuous person - honest, courageous, just, practically wise - would take; character, not rules or sums, is central. The engineer asks: what would an IAM engineer of integrity do here, and what kind of professional am I becoming if I rubber-stamp this? Strength: it captures the professional-identity dimension that rules miss - codes of ethics for security practitioners (e.g., ISC2's "protect society, the commonwealth, and the infrastructure") are virtue-ethical in spirit. Weakness: it is the least algorithmic of the three.</w:t>
      </w:r>
    </w:p>
    <w:p>
      <w:pPr>
        <w:pStyle w:val="Heading2"/>
      </w:pPr>
      <w:r>
        <w:t>3.2 The Scenario</w:t>
      </w:r>
    </w:p>
    <w:p>
      <w:r>
        <w:rPr>
          <w:b w:val="0"/>
          <w:i/>
        </w:rPr>
        <w:t>During a quarterly user access review of the EISP AWS environment, you - the IAM engineer - discover that a senior developer has held standing AWS administrator-level access for eight months. The access was granted "temporarily" to unblock a production incident and was never revoked. When you raise it, the developer's manager asks you to leave it in place because "revoking it will slow down the release." No breach has occurred. No customer data has demonstrably been touched. The manager is senior to you and is under delivery pressure.</w:t>
      </w:r>
    </w:p>
    <w:p>
      <w:pPr>
        <w:pStyle w:val="Heading2"/>
      </w:pPr>
      <w:r>
        <w:t>3.3 Structured Ethical Decision-Making Process</w:t>
      </w:r>
    </w:p>
    <w:p>
      <w:pPr>
        <w:pStyle w:val="Heading3"/>
      </w:pPr>
      <w:r>
        <w:t>Step 1 - Identify the stakeholders</w:t>
      </w:r>
    </w:p>
    <w:p>
      <w:pPr>
        <w:pStyle w:val="ListBullet"/>
      </w:pPr>
      <w:r>
        <w:t>The senior developer: benefits from convenience and speed; bears personal risk if the access is misused (their credentials become the attack path).</w:t>
      </w:r>
    </w:p>
    <w:p>
      <w:pPr>
        <w:pStyle w:val="ListBullet"/>
      </w:pPr>
      <w:r>
        <w:t>The manager: benefits from release velocity; bears delivery accountability but is externalizing security risk onto others.</w:t>
      </w:r>
    </w:p>
    <w:p>
      <w:pPr>
        <w:pStyle w:val="ListBullet"/>
      </w:pPr>
      <w:r>
        <w:t>The IAM engineer (you): bears professional accountability for the access model; your integrity and the audit trail are on the line.</w:t>
      </w:r>
    </w:p>
    <w:p>
      <w:pPr>
        <w:pStyle w:val="ListBullet"/>
      </w:pPr>
      <w:r>
        <w:t>The security team and the organization: bear the breach risk, the audit findings, and the regulatory exposure (SOX, PCI DSS, state notification duties).</w:t>
      </w:r>
    </w:p>
    <w:p>
      <w:pPr>
        <w:pStyle w:val="ListBullet"/>
      </w:pPr>
      <w:r>
        <w:t>Customers and data subjects: bear the ultimate harm if the standing access is compromised; they never consented to this risk and cannot mitigate it themselves.</w:t>
      </w:r>
    </w:p>
    <w:p>
      <w:pPr>
        <w:pStyle w:val="ListBullet"/>
      </w:pPr>
      <w:r>
        <w:t>Auditors and regulators: will judge the control environment by exactly this kind of finding.</w:t>
      </w:r>
    </w:p>
    <w:p>
      <w:pPr>
        <w:pStyle w:val="Heading3"/>
      </w:pPr>
      <w:r>
        <w:t>Step 2 - Gather the facts</w:t>
      </w:r>
    </w:p>
    <w:p>
      <w:pPr>
        <w:pStyle w:val="ListBullet"/>
      </w:pPr>
      <w:r>
        <w:t>Fact: the access is administrator-level and standing (always-on), the highest-risk combination - it violates the least-privilege principle encoded in EISP-IAM-004 and in the Terraform permission-boundary design.</w:t>
      </w:r>
    </w:p>
    <w:p>
      <w:pPr>
        <w:pStyle w:val="ListBullet"/>
      </w:pPr>
      <w:r>
        <w:t>Fact: the business justification ("temporary incident response") expired eight months ago; there is no current documented justification.</w:t>
      </w:r>
    </w:p>
    <w:p>
      <w:pPr>
        <w:pStyle w:val="ListBullet"/>
      </w:pPr>
      <w:r>
        <w:t>Fact: the EISP permission boundary caps blast radius at us-east-1 and blocks billing/org actions, but administrator actions within the boundary (EC2, S3 data, IAM reads, CloudTrail) remain fully available - the boundary mitigates, it does not excuse.</w:t>
      </w:r>
    </w:p>
    <w:p>
      <w:pPr>
        <w:pStyle w:val="ListBullet"/>
      </w:pPr>
      <w:r>
        <w:t>Fact: every day of standing admin access is a day of unnecessary exposure to credential theft, and the developer's workstation is now a privileged attack path.</w:t>
      </w:r>
    </w:p>
    <w:p>
      <w:pPr>
        <w:pStyle w:val="ListBullet"/>
      </w:pPr>
      <w:r>
        <w:t>Fact: the manager's request is verbal and asks you to deviate from written policy - complying would make you, not the manager, the author of the exception in the audit trail.</w:t>
      </w:r>
    </w:p>
    <w:p>
      <w:pPr>
        <w:pStyle w:val="Heading3"/>
      </w:pPr>
      <w:r>
        <w:t>Step 3 - Generate the options</w:t>
      </w:r>
    </w:p>
    <w:p>
      <w:pPr>
        <w:pStyle w:val="ListNumber"/>
      </w:pPr>
      <w:r>
        <w:t>Leave the access in place as requested (do nothing).</w:t>
      </w:r>
    </w:p>
    <w:p>
      <w:pPr>
        <w:pStyle w:val="ListNumber"/>
      </w:pPr>
      <w:r>
        <w:t>Revoke the standing access immediately with no replacement, notifying the manager after the fact.</w:t>
      </w:r>
    </w:p>
    <w:p>
      <w:pPr>
        <w:pStyle w:val="ListNumber"/>
      </w:pPr>
      <w:r>
        <w:t>Revoke the standing access and replace it with just-in-time (JIT) elevation: the developer requests admin rights through Authentik/AWS IAM Identity Center-style workflow, approved by the manager, time-bound (e.g., 4 hours, matching the existing STS session model), fully logged.</w:t>
      </w:r>
    </w:p>
    <w:p>
      <w:pPr>
        <w:pStyle w:val="ListNumber"/>
      </w:pPr>
      <w:r>
        <w:t>Escalate to the CISO/Security lead for a formal risk-acceptance decision, requiring the manager to sign written risk acceptance if the access is retained.</w:t>
      </w:r>
    </w:p>
    <w:p>
      <w:pPr>
        <w:pStyle w:val="Heading3"/>
      </w:pPr>
      <w:r>
        <w:t>Step 4 - Evaluate under each framework</w:t>
      </w:r>
    </w:p>
    <w:p>
      <w:r>
        <w:rPr>
          <w:b w:val="0"/>
          <w:i w:val="0"/>
        </w:rPr>
        <w:t>Utilitarian analysis: Option 1 trades a certain, small, repeated convenience gain (faster releases) against a low-probability but catastrophic loss (breach of admin-accessible systems, customer notification, regulatory fines, reputational damage). Expected-value reasoning strongly favors revocation: breach costs are orders of magnitude larger than release-delay costs, and the eight-month duration has already multiplied the exposure window. Option 3 dominates Option 2 because it preserves nearly all of the velocity benefit while eliminating the standing exposure - the best net consequences. Option 4 is defensible but slower; delay itself has negative expected value while the access persists.</w:t>
      </w:r>
    </w:p>
    <w:p>
      <w:r>
        <w:rPr>
          <w:b w:val="0"/>
          <w:i w:val="0"/>
        </w:rPr>
        <w:t>Deontological analysis: The IAM engineer has a duty to the access policy (EISP-IAM-004), to the organization's stated Zero Trust principles, and - via the humanity formulation - to the customers whose data would be affected by a breach and who are being treated as mere means to a release date. Kantian duty does not permit violating a just rule because the consequences of compliance are inconvenient; the manager's request asks you to universalize the maxim "grant standing admin access whenever delivery pressure exists," which, universalized, destroys the access model entirely. Options 1 is impermissible. Option 2 is permissible but unnecessarily adversarial. Options 3 and 4 satisfy duty while respecting the developer as a rational agent (a governed path to the access they genuinely need).</w:t>
      </w:r>
    </w:p>
    <w:p>
      <w:r>
        <w:rPr>
          <w:b w:val="0"/>
          <w:i w:val="0"/>
        </w:rPr>
        <w:t>Virtue-ethical analysis: What does the practically wise, courageous, honest IAM engineer do? Rubber-stamping (Option 1) is the act of a compliant order-taker, not a professional; it trades integrity for comfort and teaches the organization that policy bends under pressure. Silent unilateral revocation (Option 2) shows courage but lacks the communicativeness and fairness a virtuous colleague owes the developer. Option 3 is the virtuous mean: honest about the risk, courageous enough to revoke, just in preserving the developer's legitimate needs, and practically wise in building a repeatable mechanism rather than a one-off confrontation. Option 4 is virtuous when the political cost of Option 3 is genuinely beyond your authority - escalating through proper channels is itself an act of professional integrity.</w:t>
      </w:r>
    </w:p>
    <w:p>
      <w:pPr>
        <w:pStyle w:val="Heading3"/>
      </w:pPr>
      <w:r>
        <w:t>Step 5 - Decide</w:t>
      </w:r>
    </w:p>
    <w:p>
      <w:r>
        <w:rPr>
          <w:b w:val="0"/>
          <w:i w:val="0"/>
        </w:rPr>
        <w:t>Recommended course of action: Option 3, with Option 4 as the fallback. Revoke the standing administrator access immediately, and in the same motion provision a just-in-time elevation workflow: the developer requests elevation through the standard channel, the manager approves (preserving their legitimate oversight role), access is time-bound to a maximum of 4 hours consistent with the existing STS session model in main.tf, and every elevation is logged to the audit trail. Communicate the change to both the developer and the manager in writing, citing EISP-IAM-004 least-privilege requirements and the expired justification. If the manager insists on retaining standing access, do not comply verbally - escalate under Option 4 and require written, time-boxed risk acceptance signed at the appropriate authority level, with a mandatory re-review date. Standing access without written risk acceptance is not an available outcome.</w:t>
      </w:r>
    </w:p>
    <w:p>
      <w:pPr>
        <w:pStyle w:val="Heading3"/>
      </w:pPr>
      <w:r>
        <w:t>Step 6 - Document the rationale</w:t>
      </w:r>
    </w:p>
    <w:p>
      <w:r>
        <w:rPr>
          <w:b w:val="0"/>
          <w:i w:val="0"/>
        </w:rPr>
        <w:t>Record in the access-review evidence package: the finding (identity, access level, grant date, expired justification), the options considered, the framework analysis summarized above, the decision taken, the manager's response, and the compensating control (JIT workflow) implemented. This documentation converts an uncomfortable conversation into auditable evidence that the control environment works - which is precisely what SOX auditors and PCI assessors sample for.</w:t>
      </w:r>
    </w:p>
    <w:p>
      <w:pPr>
        <w:pStyle w:val="Heading3"/>
      </w:pPr>
      <w:r>
        <w:t>Step 7 - Implement and follow up</w:t>
      </w:r>
    </w:p>
    <w:p>
      <w:pPr>
        <w:pStyle w:val="ListBullet"/>
      </w:pPr>
      <w:r>
        <w:t>Execute the revocation in Terraform (remove the attachment / adjust the role) so the change is version-controlled and peer-reviewed, not a console click.</w:t>
      </w:r>
    </w:p>
    <w:p>
      <w:pPr>
        <w:pStyle w:val="ListBullet"/>
      </w:pPr>
      <w:r>
        <w:t>Implement the JIT elevation procedure and add it to the quarterly access-review checklist so the pattern cannot silently recur.</w:t>
      </w:r>
    </w:p>
    <w:p>
      <w:pPr>
        <w:pStyle w:val="ListBullet"/>
      </w:pPr>
      <w:r>
        <w:t>Add a detective control: alert on any IAM privilege grant older than 30 days without a linked, unexpired justification ticket.</w:t>
      </w:r>
    </w:p>
    <w:p>
      <w:pPr>
        <w:pStyle w:val="ListBullet"/>
      </w:pPr>
      <w:r>
        <w:t>Report the finding and remediation in the next compliance status report (see companion document CMP-EISP-04).</w:t>
      </w:r>
    </w:p>
    <w:p>
      <w:pPr>
        <w:pStyle w:val="Heading1"/>
      </w:pPr>
      <w:r>
        <w:t>4. Compliance Risk Assessment</w:t>
      </w:r>
    </w:p>
    <w:p>
      <w:pPr>
        <w:pStyle w:val="Heading2"/>
      </w:pPr>
      <w:r>
        <w:t>4.1 Methodology</w:t>
      </w:r>
    </w:p>
    <w:p>
      <w:r>
        <w:rPr>
          <w:b w:val="0"/>
          <w:i w:val="0"/>
        </w:rPr>
        <w:t>Risk is assessed as Likelihood x Impact on a 5-point scale for each dimension, producing a score from 1 to 25. Likelihood is the assessed probability of occurrence within a 12-month horizon given current controls; Impact is the worst credible consequence across confidentiality, integrity, availability, regulatory, financial, and reputational dimensions. Scoring bands: 1-4 Low (accept and monitor), 5-9 Medium (mitigate on a planned timeline), 10-15 High (mitigate promptly, management attention), 16-25 Critical (immediate action, executive visibility). Likelihood scale: 1 Rare (&lt;5%), 2 Unlikely (5-25%), 3 Possible (25-50%), 4 Likely (50-75%), 5 Almost certain (&gt;75%). Impact scale: 1 Negligible, 2 Minor, 3 Moderate, 4 Major, 5 Catastrophic (widespread personal-data breach, IdP-wide compromise, regulatory enforcement). Each risk is then assigned a treatment: Avoid (eliminate the activity), Mitigate (add controls), Transfer (insurance/contracts), or Accept (document and monitor residual risk). Residual risk is re-scored after planned mitigations.</w:t>
      </w:r>
    </w:p>
    <w:p>
      <w:pPr>
        <w:pStyle w:val="Heading2"/>
      </w:pPr>
      <w:r>
        <w:t>4.2 Risk Register</w:t>
      </w:r>
    </w:p>
    <w:p>
      <w:r>
        <w:rPr>
          <w:b w:val="0"/>
          <w:i w:val="0"/>
        </w:rPr>
        <w:t>Table 2 lists ten EISP-specific risks grounded in the actual architecture (docker-compose.yml, main.tf, EISP-IAM-004), including several findings visible in the current build.</w:t>
      </w:r>
    </w:p>
    <w:tbl>
      <w:tblPr>
        <w:tblStyle w:val="TableGrid"/>
        <w:tblW w:type="auto" w:w="0"/>
        <w:jc w:val="center"/>
        <w:tblLook w:firstColumn="1" w:firstRow="1" w:lastColumn="0" w:lastRow="0" w:noHBand="0" w:noVBand="1" w:val="04A0"/>
      </w:tblPr>
      <w:tblGrid>
        <w:gridCol w:w="1440"/>
        <w:gridCol w:w="1440"/>
        <w:gridCol w:w="1440"/>
        <w:gridCol w:w="1440"/>
        <w:gridCol w:w="1440"/>
        <w:gridCol w:w="1440"/>
      </w:tblGrid>
      <w:tr>
        <w:tc>
          <w:tcPr>
            <w:tcW w:type="dxa" w:w="1440"/>
            <w:shd w:val="clear" w:color="auto" w:fill="1F4E79"/>
          </w:tcPr>
          <w:p>
            <w:r/>
            <w:r>
              <w:rPr>
                <w:b/>
                <w:color w:val="FFFFFF"/>
                <w:sz w:val="20"/>
              </w:rPr>
              <w:t>Risk ID</w:t>
            </w:r>
          </w:p>
        </w:tc>
        <w:tc>
          <w:tcPr>
            <w:tcW w:type="dxa" w:w="1440"/>
            <w:shd w:val="clear" w:color="auto" w:fill="1F4E79"/>
          </w:tcPr>
          <w:p>
            <w:r/>
            <w:r>
              <w:rPr>
                <w:b/>
                <w:color w:val="FFFFFF"/>
                <w:sz w:val="20"/>
              </w:rPr>
              <w:t>Risk Description</w:t>
            </w:r>
          </w:p>
        </w:tc>
        <w:tc>
          <w:tcPr>
            <w:tcW w:type="dxa" w:w="1440"/>
            <w:shd w:val="clear" w:color="auto" w:fill="1F4E79"/>
          </w:tcPr>
          <w:p>
            <w:r/>
            <w:r>
              <w:rPr>
                <w:b/>
                <w:color w:val="FFFFFF"/>
                <w:sz w:val="20"/>
              </w:rPr>
              <w:t>Likelihood (1-5)</w:t>
            </w:r>
          </w:p>
        </w:tc>
        <w:tc>
          <w:tcPr>
            <w:tcW w:type="dxa" w:w="1440"/>
            <w:shd w:val="clear" w:color="auto" w:fill="1F4E79"/>
          </w:tcPr>
          <w:p>
            <w:r/>
            <w:r>
              <w:rPr>
                <w:b/>
                <w:color w:val="FFFFFF"/>
                <w:sz w:val="20"/>
              </w:rPr>
              <w:t>Impact (1-5)</w:t>
            </w:r>
          </w:p>
        </w:tc>
        <w:tc>
          <w:tcPr>
            <w:tcW w:type="dxa" w:w="1440"/>
            <w:shd w:val="clear" w:color="auto" w:fill="1F4E79"/>
          </w:tcPr>
          <w:p>
            <w:r/>
            <w:r>
              <w:rPr>
                <w:b/>
                <w:color w:val="FFFFFF"/>
                <w:sz w:val="20"/>
              </w:rPr>
              <w:t>Score</w:t>
            </w:r>
          </w:p>
        </w:tc>
        <w:tc>
          <w:tcPr>
            <w:tcW w:type="dxa" w:w="1440"/>
            <w:shd w:val="clear" w:color="auto" w:fill="1F4E79"/>
          </w:tcPr>
          <w:p>
            <w:r/>
            <w:r>
              <w:rPr>
                <w:b/>
                <w:color w:val="FFFFFF"/>
                <w:sz w:val="20"/>
              </w:rPr>
              <w:t>Level</w:t>
            </w:r>
          </w:p>
        </w:tc>
      </w:tr>
      <w:tr>
        <w:tc>
          <w:tcPr>
            <w:tcW w:type="dxa" w:w="1440"/>
          </w:tcPr>
          <w:p>
            <w:r/>
            <w:r>
              <w:rPr>
                <w:sz w:val="20"/>
              </w:rPr>
              <w:t>R-01</w:t>
            </w:r>
          </w:p>
        </w:tc>
        <w:tc>
          <w:tcPr>
            <w:tcW w:type="dxa" w:w="1440"/>
          </w:tcPr>
          <w:p>
            <w:r/>
            <w:r>
              <w:rPr>
                <w:sz w:val="20"/>
              </w:rPr>
              <w:t>IdP availability loss: Authentik runs as a single Docker Compose deployment with no high-availability or failover; a host failure, bad image pull, or database corruption halts all federated authentication (SAML/OIDC/LDAP) simultaneously.</w:t>
            </w:r>
          </w:p>
        </w:tc>
        <w:tc>
          <w:tcPr>
            <w:tcW w:type="dxa" w:w="1440"/>
          </w:tcPr>
          <w:p>
            <w:r/>
            <w:r>
              <w:rPr>
                <w:sz w:val="20"/>
              </w:rPr>
              <w:t>3</w:t>
            </w:r>
          </w:p>
        </w:tc>
        <w:tc>
          <w:tcPr>
            <w:tcW w:type="dxa" w:w="1440"/>
          </w:tcPr>
          <w:p>
            <w:r/>
            <w:r>
              <w:rPr>
                <w:sz w:val="20"/>
              </w:rPr>
              <w:t>5</w:t>
            </w:r>
          </w:p>
        </w:tc>
        <w:tc>
          <w:tcPr>
            <w:tcW w:type="dxa" w:w="1440"/>
          </w:tcPr>
          <w:p>
            <w:r/>
            <w:r>
              <w:rPr>
                <w:sz w:val="20"/>
              </w:rPr>
              <w:t>15</w:t>
            </w:r>
          </w:p>
        </w:tc>
        <w:tc>
          <w:tcPr>
            <w:tcW w:type="dxa" w:w="1440"/>
          </w:tcPr>
          <w:p>
            <w:r/>
            <w:r>
              <w:rPr>
                <w:sz w:val="20"/>
              </w:rPr>
              <w:t>High</w:t>
            </w:r>
          </w:p>
        </w:tc>
      </w:tr>
      <w:tr>
        <w:tc>
          <w:tcPr>
            <w:tcW w:type="dxa" w:w="1440"/>
          </w:tcPr>
          <w:p>
            <w:r/>
            <w:r>
              <w:rPr>
                <w:sz w:val="20"/>
              </w:rPr>
              <w:t>R-02</w:t>
            </w:r>
          </w:p>
        </w:tc>
        <w:tc>
          <w:tcPr>
            <w:tcW w:type="dxa" w:w="1440"/>
          </w:tcPr>
          <w:p>
            <w:r/>
            <w:r>
              <w:rPr>
                <w:sz w:val="20"/>
              </w:rPr>
              <w:t>Credential stuffing / password spraying against the Authentik login endpoints (ports 9000/9443/8088 exposed), leading to account takeover of federated users.</w:t>
            </w:r>
          </w:p>
        </w:tc>
        <w:tc>
          <w:tcPr>
            <w:tcW w:type="dxa" w:w="1440"/>
          </w:tcPr>
          <w:p>
            <w:r/>
            <w:r>
              <w:rPr>
                <w:sz w:val="20"/>
              </w:rPr>
              <w:t>4</w:t>
            </w:r>
          </w:p>
        </w:tc>
        <w:tc>
          <w:tcPr>
            <w:tcW w:type="dxa" w:w="1440"/>
          </w:tcPr>
          <w:p>
            <w:r/>
            <w:r>
              <w:rPr>
                <w:sz w:val="20"/>
              </w:rPr>
              <w:t>4</w:t>
            </w:r>
          </w:p>
        </w:tc>
        <w:tc>
          <w:tcPr>
            <w:tcW w:type="dxa" w:w="1440"/>
          </w:tcPr>
          <w:p>
            <w:r/>
            <w:r>
              <w:rPr>
                <w:sz w:val="20"/>
              </w:rPr>
              <w:t>16</w:t>
            </w:r>
          </w:p>
        </w:tc>
        <w:tc>
          <w:tcPr>
            <w:tcW w:type="dxa" w:w="1440"/>
          </w:tcPr>
          <w:p>
            <w:r/>
            <w:r>
              <w:rPr>
                <w:sz w:val="20"/>
              </w:rPr>
              <w:t>Critical</w:t>
            </w:r>
          </w:p>
        </w:tc>
      </w:tr>
      <w:tr>
        <w:tc>
          <w:tcPr>
            <w:tcW w:type="dxa" w:w="1440"/>
          </w:tcPr>
          <w:p>
            <w:r/>
            <w:r>
              <w:rPr>
                <w:sz w:val="20"/>
              </w:rPr>
              <w:t>R-03</w:t>
            </w:r>
          </w:p>
        </w:tc>
        <w:tc>
          <w:tcPr>
            <w:tcW w:type="dxa" w:w="1440"/>
          </w:tcPr>
          <w:p>
            <w:r/>
            <w:r>
              <w:rPr>
                <w:sz w:val="20"/>
              </w:rPr>
              <w:t>SAML assertion misconfiguration (audience, signature validation, or clock skew) enabling assertion replay or acceptance of assertions intended for another service.</w:t>
            </w:r>
          </w:p>
        </w:tc>
        <w:tc>
          <w:tcPr>
            <w:tcW w:type="dxa" w:w="1440"/>
          </w:tcPr>
          <w:p>
            <w:r/>
            <w:r>
              <w:rPr>
                <w:sz w:val="20"/>
              </w:rPr>
              <w:t>2</w:t>
            </w:r>
          </w:p>
        </w:tc>
        <w:tc>
          <w:tcPr>
            <w:tcW w:type="dxa" w:w="1440"/>
          </w:tcPr>
          <w:p>
            <w:r/>
            <w:r>
              <w:rPr>
                <w:sz w:val="20"/>
              </w:rPr>
              <w:t>5</w:t>
            </w:r>
          </w:p>
        </w:tc>
        <w:tc>
          <w:tcPr>
            <w:tcW w:type="dxa" w:w="1440"/>
          </w:tcPr>
          <w:p>
            <w:r/>
            <w:r>
              <w:rPr>
                <w:sz w:val="20"/>
              </w:rPr>
              <w:t>10</w:t>
            </w:r>
          </w:p>
        </w:tc>
        <w:tc>
          <w:tcPr>
            <w:tcW w:type="dxa" w:w="1440"/>
          </w:tcPr>
          <w:p>
            <w:r/>
            <w:r>
              <w:rPr>
                <w:sz w:val="20"/>
              </w:rPr>
              <w:t>High</w:t>
            </w:r>
          </w:p>
        </w:tc>
      </w:tr>
      <w:tr>
        <w:tc>
          <w:tcPr>
            <w:tcW w:type="dxa" w:w="1440"/>
          </w:tcPr>
          <w:p>
            <w:r/>
            <w:r>
              <w:rPr>
                <w:sz w:val="20"/>
              </w:rPr>
              <w:t>R-04</w:t>
            </w:r>
          </w:p>
        </w:tc>
        <w:tc>
          <w:tcPr>
            <w:tcW w:type="dxa" w:w="1440"/>
          </w:tcPr>
          <w:p>
            <w:r/>
            <w:r>
              <w:rPr>
                <w:sz w:val="20"/>
              </w:rPr>
              <w:t>LDAP channel weakness: the LDAP outpost sets AUTHENTIK_INSECURE=true (cleartext HTTP back-channel to the Authentik server) and carries a hardcoded token (W9YKi8U...) in docker-compose.yml; ports 389/636 are published. Token exposure or interception compromises the directory bridge.</w:t>
            </w:r>
          </w:p>
        </w:tc>
        <w:tc>
          <w:tcPr>
            <w:tcW w:type="dxa" w:w="1440"/>
          </w:tcPr>
          <w:p>
            <w:r/>
            <w:r>
              <w:rPr>
                <w:sz w:val="20"/>
              </w:rPr>
              <w:t>3</w:t>
            </w:r>
          </w:p>
        </w:tc>
        <w:tc>
          <w:tcPr>
            <w:tcW w:type="dxa" w:w="1440"/>
          </w:tcPr>
          <w:p>
            <w:r/>
            <w:r>
              <w:rPr>
                <w:sz w:val="20"/>
              </w:rPr>
              <w:t>4</w:t>
            </w:r>
          </w:p>
        </w:tc>
        <w:tc>
          <w:tcPr>
            <w:tcW w:type="dxa" w:w="1440"/>
          </w:tcPr>
          <w:p>
            <w:r/>
            <w:r>
              <w:rPr>
                <w:sz w:val="20"/>
              </w:rPr>
              <w:t>12</w:t>
            </w:r>
          </w:p>
        </w:tc>
        <w:tc>
          <w:tcPr>
            <w:tcW w:type="dxa" w:w="1440"/>
          </w:tcPr>
          <w:p>
            <w:r/>
            <w:r>
              <w:rPr>
                <w:sz w:val="20"/>
              </w:rPr>
              <w:t>High</w:t>
            </w:r>
          </w:p>
        </w:tc>
      </w:tr>
      <w:tr>
        <w:tc>
          <w:tcPr>
            <w:tcW w:type="dxa" w:w="1440"/>
          </w:tcPr>
          <w:p>
            <w:r/>
            <w:r>
              <w:rPr>
                <w:sz w:val="20"/>
              </w:rPr>
              <w:t>R-05</w:t>
            </w:r>
          </w:p>
        </w:tc>
        <w:tc>
          <w:tcPr>
            <w:tcW w:type="dxa" w:w="1440"/>
          </w:tcPr>
          <w:p>
            <w:r/>
            <w:r>
              <w:rPr>
                <w:sz w:val="20"/>
              </w:rPr>
              <w:t>Privilege creep / standing excessive access in AWS roles: temporary elevation (as in the Section 3 scenario) becomes permanent; periodic reviews miss it; the permission boundary caps region and billing but not data-plane actions within us-east-1.</w:t>
            </w:r>
          </w:p>
        </w:tc>
        <w:tc>
          <w:tcPr>
            <w:tcW w:type="dxa" w:w="1440"/>
          </w:tcPr>
          <w:p>
            <w:r/>
            <w:r>
              <w:rPr>
                <w:sz w:val="20"/>
              </w:rPr>
              <w:t>3</w:t>
            </w:r>
          </w:p>
        </w:tc>
        <w:tc>
          <w:tcPr>
            <w:tcW w:type="dxa" w:w="1440"/>
          </w:tcPr>
          <w:p>
            <w:r/>
            <w:r>
              <w:rPr>
                <w:sz w:val="20"/>
              </w:rPr>
              <w:t>5</w:t>
            </w:r>
          </w:p>
        </w:tc>
        <w:tc>
          <w:tcPr>
            <w:tcW w:type="dxa" w:w="1440"/>
          </w:tcPr>
          <w:p>
            <w:r/>
            <w:r>
              <w:rPr>
                <w:sz w:val="20"/>
              </w:rPr>
              <w:t>15</w:t>
            </w:r>
          </w:p>
        </w:tc>
        <w:tc>
          <w:tcPr>
            <w:tcW w:type="dxa" w:w="1440"/>
          </w:tcPr>
          <w:p>
            <w:r/>
            <w:r>
              <w:rPr>
                <w:sz w:val="20"/>
              </w:rPr>
              <w:t>High</w:t>
            </w:r>
          </w:p>
        </w:tc>
      </w:tr>
      <w:tr>
        <w:tc>
          <w:tcPr>
            <w:tcW w:type="dxa" w:w="1440"/>
          </w:tcPr>
          <w:p>
            <w:r/>
            <w:r>
              <w:rPr>
                <w:sz w:val="20"/>
              </w:rPr>
              <w:t>R-06</w:t>
            </w:r>
          </w:p>
        </w:tc>
        <w:tc>
          <w:tcPr>
            <w:tcW w:type="dxa" w:w="1440"/>
          </w:tcPr>
          <w:p>
            <w:r/>
            <w:r>
              <w:rPr>
                <w:sz w:val="20"/>
              </w:rPr>
              <w:t>Terraform state and secret leakage: .env holds PG_PASS and AUTHENTIK_SECRET_KEY; Terraform state files may embed secrets; accidental commit or loose file permissions expose database and IdP signing material.</w:t>
            </w:r>
          </w:p>
        </w:tc>
        <w:tc>
          <w:tcPr>
            <w:tcW w:type="dxa" w:w="1440"/>
          </w:tcPr>
          <w:p>
            <w:r/>
            <w:r>
              <w:rPr>
                <w:sz w:val="20"/>
              </w:rPr>
              <w:t>3</w:t>
            </w:r>
          </w:p>
        </w:tc>
        <w:tc>
          <w:tcPr>
            <w:tcW w:type="dxa" w:w="1440"/>
          </w:tcPr>
          <w:p>
            <w:r/>
            <w:r>
              <w:rPr>
                <w:sz w:val="20"/>
              </w:rPr>
              <w:t>4</w:t>
            </w:r>
          </w:p>
        </w:tc>
        <w:tc>
          <w:tcPr>
            <w:tcW w:type="dxa" w:w="1440"/>
          </w:tcPr>
          <w:p>
            <w:r/>
            <w:r>
              <w:rPr>
                <w:sz w:val="20"/>
              </w:rPr>
              <w:t>12</w:t>
            </w:r>
          </w:p>
        </w:tc>
        <w:tc>
          <w:tcPr>
            <w:tcW w:type="dxa" w:w="1440"/>
          </w:tcPr>
          <w:p>
            <w:r/>
            <w:r>
              <w:rPr>
                <w:sz w:val="20"/>
              </w:rPr>
              <w:t>High</w:t>
            </w:r>
          </w:p>
        </w:tc>
      </w:tr>
      <w:tr>
        <w:tc>
          <w:tcPr>
            <w:tcW w:type="dxa" w:w="1440"/>
          </w:tcPr>
          <w:p>
            <w:r/>
            <w:r>
              <w:rPr>
                <w:sz w:val="20"/>
              </w:rPr>
              <w:t>R-07</w:t>
            </w:r>
          </w:p>
        </w:tc>
        <w:tc>
          <w:tcPr>
            <w:tcW w:type="dxa" w:w="1440"/>
          </w:tcPr>
          <w:p>
            <w:r/>
            <w:r>
              <w:rPr>
                <w:sz w:val="20"/>
              </w:rPr>
              <w:t>Insider misuse by an over-privileged role (e.g., IAMEngineer provisioning outside change control, or a compromised developer workstation driving the Developer role).</w:t>
            </w:r>
          </w:p>
        </w:tc>
        <w:tc>
          <w:tcPr>
            <w:tcW w:type="dxa" w:w="1440"/>
          </w:tcPr>
          <w:p>
            <w:r/>
            <w:r>
              <w:rPr>
                <w:sz w:val="20"/>
              </w:rPr>
              <w:t>2</w:t>
            </w:r>
          </w:p>
        </w:tc>
        <w:tc>
          <w:tcPr>
            <w:tcW w:type="dxa" w:w="1440"/>
          </w:tcPr>
          <w:p>
            <w:r/>
            <w:r>
              <w:rPr>
                <w:sz w:val="20"/>
              </w:rPr>
              <w:t>5</w:t>
            </w:r>
          </w:p>
        </w:tc>
        <w:tc>
          <w:tcPr>
            <w:tcW w:type="dxa" w:w="1440"/>
          </w:tcPr>
          <w:p>
            <w:r/>
            <w:r>
              <w:rPr>
                <w:sz w:val="20"/>
              </w:rPr>
              <w:t>10</w:t>
            </w:r>
          </w:p>
        </w:tc>
        <w:tc>
          <w:tcPr>
            <w:tcW w:type="dxa" w:w="1440"/>
          </w:tcPr>
          <w:p>
            <w:r/>
            <w:r>
              <w:rPr>
                <w:sz w:val="20"/>
              </w:rPr>
              <w:t>High</w:t>
            </w:r>
          </w:p>
        </w:tc>
      </w:tr>
      <w:tr>
        <w:tc>
          <w:tcPr>
            <w:tcW w:type="dxa" w:w="1440"/>
          </w:tcPr>
          <w:p>
            <w:r/>
            <w:r>
              <w:rPr>
                <w:sz w:val="20"/>
              </w:rPr>
              <w:t>R-08</w:t>
            </w:r>
          </w:p>
        </w:tc>
        <w:tc>
          <w:tcPr>
            <w:tcW w:type="dxa" w:w="1440"/>
          </w:tcPr>
          <w:p>
            <w:r/>
            <w:r>
              <w:rPr>
                <w:sz w:val="20"/>
              </w:rPr>
              <w:t>MFA fatigue / push bombing: repeated MFA prompts desensitize users into approving a fraudulent authentication, defeating the MFA control required by PCI DSS Req 8 and NIST IA-2.</w:t>
            </w:r>
          </w:p>
        </w:tc>
        <w:tc>
          <w:tcPr>
            <w:tcW w:type="dxa" w:w="1440"/>
          </w:tcPr>
          <w:p>
            <w:r/>
            <w:r>
              <w:rPr>
                <w:sz w:val="20"/>
              </w:rPr>
              <w:t>3</w:t>
            </w:r>
          </w:p>
        </w:tc>
        <w:tc>
          <w:tcPr>
            <w:tcW w:type="dxa" w:w="1440"/>
          </w:tcPr>
          <w:p>
            <w:r/>
            <w:r>
              <w:rPr>
                <w:sz w:val="20"/>
              </w:rPr>
              <w:t>4</w:t>
            </w:r>
          </w:p>
        </w:tc>
        <w:tc>
          <w:tcPr>
            <w:tcW w:type="dxa" w:w="1440"/>
          </w:tcPr>
          <w:p>
            <w:r/>
            <w:r>
              <w:rPr>
                <w:sz w:val="20"/>
              </w:rPr>
              <w:t>12</w:t>
            </w:r>
          </w:p>
        </w:tc>
        <w:tc>
          <w:tcPr>
            <w:tcW w:type="dxa" w:w="1440"/>
          </w:tcPr>
          <w:p>
            <w:r/>
            <w:r>
              <w:rPr>
                <w:sz w:val="20"/>
              </w:rPr>
              <w:t>High</w:t>
            </w:r>
          </w:p>
        </w:tc>
      </w:tr>
      <w:tr>
        <w:tc>
          <w:tcPr>
            <w:tcW w:type="dxa" w:w="1440"/>
          </w:tcPr>
          <w:p>
            <w:r/>
            <w:r>
              <w:rPr>
                <w:sz w:val="20"/>
              </w:rPr>
              <w:t>R-09</w:t>
            </w:r>
          </w:p>
        </w:tc>
        <w:tc>
          <w:tcPr>
            <w:tcW w:type="dxa" w:w="1440"/>
          </w:tcPr>
          <w:p>
            <w:r/>
            <w:r>
              <w:rPr>
                <w:sz w:val="20"/>
              </w:rPr>
              <w:t>Container supply-chain compromise: base/server images pulled from ghcr.io; a compromised upstream image or tag-mutation injects malicious code into the IdP itself. (Partially mitigated: image pinned to 2026.2.2.)</w:t>
            </w:r>
          </w:p>
        </w:tc>
        <w:tc>
          <w:tcPr>
            <w:tcW w:type="dxa" w:w="1440"/>
          </w:tcPr>
          <w:p>
            <w:r/>
            <w:r>
              <w:rPr>
                <w:sz w:val="20"/>
              </w:rPr>
              <w:t>2</w:t>
            </w:r>
          </w:p>
        </w:tc>
        <w:tc>
          <w:tcPr>
            <w:tcW w:type="dxa" w:w="1440"/>
          </w:tcPr>
          <w:p>
            <w:r/>
            <w:r>
              <w:rPr>
                <w:sz w:val="20"/>
              </w:rPr>
              <w:t>5</w:t>
            </w:r>
          </w:p>
        </w:tc>
        <w:tc>
          <w:tcPr>
            <w:tcW w:type="dxa" w:w="1440"/>
          </w:tcPr>
          <w:p>
            <w:r/>
            <w:r>
              <w:rPr>
                <w:sz w:val="20"/>
              </w:rPr>
              <w:t>10</w:t>
            </w:r>
          </w:p>
        </w:tc>
        <w:tc>
          <w:tcPr>
            <w:tcW w:type="dxa" w:w="1440"/>
          </w:tcPr>
          <w:p>
            <w:r/>
            <w:r>
              <w:rPr>
                <w:sz w:val="20"/>
              </w:rPr>
              <w:t>High</w:t>
            </w:r>
          </w:p>
        </w:tc>
      </w:tr>
      <w:tr>
        <w:tc>
          <w:tcPr>
            <w:tcW w:type="dxa" w:w="1440"/>
          </w:tcPr>
          <w:p>
            <w:r/>
            <w:r>
              <w:rPr>
                <w:sz w:val="20"/>
              </w:rPr>
              <w:t>R-10</w:t>
            </w:r>
          </w:p>
        </w:tc>
        <w:tc>
          <w:tcPr>
            <w:tcW w:type="dxa" w:w="1440"/>
          </w:tcPr>
          <w:p>
            <w:r/>
            <w:r>
              <w:rPr>
                <w:sz w:val="20"/>
              </w:rPr>
              <w:t>Container breakout via the worker service, which mounts /var/run/docker.sock and runs as root - a misconfigured or compromised worker can escape to the Docker host and the database volume.</w:t>
            </w:r>
          </w:p>
        </w:tc>
        <w:tc>
          <w:tcPr>
            <w:tcW w:type="dxa" w:w="1440"/>
          </w:tcPr>
          <w:p>
            <w:r/>
            <w:r>
              <w:rPr>
                <w:sz w:val="20"/>
              </w:rPr>
              <w:t>2</w:t>
            </w:r>
          </w:p>
        </w:tc>
        <w:tc>
          <w:tcPr>
            <w:tcW w:type="dxa" w:w="1440"/>
          </w:tcPr>
          <w:p>
            <w:r/>
            <w:r>
              <w:rPr>
                <w:sz w:val="20"/>
              </w:rPr>
              <w:t>5</w:t>
            </w:r>
          </w:p>
        </w:tc>
        <w:tc>
          <w:tcPr>
            <w:tcW w:type="dxa" w:w="1440"/>
          </w:tcPr>
          <w:p>
            <w:r/>
            <w:r>
              <w:rPr>
                <w:sz w:val="20"/>
              </w:rPr>
              <w:t>10</w:t>
            </w:r>
          </w:p>
        </w:tc>
        <w:tc>
          <w:tcPr>
            <w:tcW w:type="dxa" w:w="1440"/>
          </w:tcPr>
          <w:p>
            <w:r/>
            <w:r>
              <w:rPr>
                <w:sz w:val="20"/>
              </w:rPr>
              <w:t>High</w:t>
            </w:r>
          </w:p>
        </w:tc>
      </w:tr>
    </w:tbl>
    <w:p/>
    <w:p>
      <w:pPr>
        <w:pStyle w:val="Heading2"/>
      </w:pPr>
      <w:r>
        <w:t>4.3 Impact Analysis - Top 3 Risks</w:t>
      </w:r>
    </w:p>
    <w:p>
      <w:pPr>
        <w:pStyle w:val="Heading3"/>
      </w:pPr>
      <w:r>
        <w:t>R-02 - Credential stuffing leading to account takeover (Score 16, Critical)</w:t>
      </w:r>
    </w:p>
    <w:p>
      <w:r>
        <w:rPr>
          <w:b w:val="0"/>
          <w:i w:val="0"/>
        </w:rPr>
        <w:t>This is the highest-rated risk because it combines high likelihood with high impact and directly defeats the platform's reason for existing. Authentik's login endpoints are network-reachable, and password reuse across breached third-party sites gives attackers a ready supply of credential pairs. A successful takeover of any federated user - especially an IAM engineer or security analyst - converts instantly into AWS access via the authentik-saml provider, because the SAML trust is only as strong as the authentication that precedes it. Regulatory impact compounds the technical impact: compromised personal data in the identity store triggers GDPR Articles 33/34 and state notification duties, while CCPA section 1798.150 creates per-consumer litigation exposure if MFA and rate-limiting (the "reasonable security" measures) were absent. The control gap is currently real: the compose deployment has no documented rate-limiting, CAPTCHA, or impossible-travel detection in front of the login flow.</w:t>
      </w:r>
    </w:p>
    <w:p>
      <w:pPr>
        <w:pStyle w:val="Heading3"/>
      </w:pPr>
      <w:r>
        <w:t>R-01 - IdP availability loss (Score 15, High)</w:t>
      </w:r>
    </w:p>
    <w:p>
      <w:r>
        <w:rPr>
          <w:b w:val="0"/>
          <w:i w:val="0"/>
        </w:rPr>
        <w:t>Centralizing authentication creates a single point of failure, and the current architecture embodies it: one Docker host, one PostgreSQL container with a local volume, no replica, no tested restore. Any host failure, disk corruption, or bad image update halts SAML, OIDC, and LDAP authentication simultaneously - every federated application goes dark at once, which is worse than any single application outage. Impact is rated Catastrophic (5) because availability loss of the identity plane is also a security event: pressure to "just get people working" routinely produces emergency bypasses (shared credentials, disabled MFA, firewall holes) that outlive the incident. Likelihood 3 reflects that single-host Docker deployments fail in mundane ways - disk full, unattended upgrades, expired certificates on 9443/636. Mitigation is architectural (backup/restore runbooks, documented RTO/RPO, and eventually HA), which is why this risk anchors the treatment plan.</w:t>
      </w:r>
    </w:p>
    <w:p>
      <w:pPr>
        <w:pStyle w:val="Heading3"/>
      </w:pPr>
      <w:r>
        <w:t>R-05 - Privilege creep / standing excessive access (Score 15, High)</w:t>
      </w:r>
    </w:p>
    <w:p>
      <w:r>
        <w:rPr>
          <w:b w:val="0"/>
          <w:i w:val="0"/>
        </w:rPr>
        <w:t>This is the risk the Section 3 ethical scenario dramatizes, and it scores High because it is both common and corrosive. Temporary access granted for incidents, demos, or releases is rarely revoked; each instance quietly widens the blast radius that the permission boundary was designed to contain. Note the subtlety: the EISP-PermissionBoundary is an excellent control - it blocks cross-region and billing/org actions even against AdministratorAccess - but within us-east-1 an administrator-level role can still read S3 data, manipulate EC2, and query CloudTrail, which is more than enough for data theft or log tampering. Impact is therefore Catastrophic in the worst credible case (standing admin credentials harvested from a developer workstation), while likelihood 3 reflects that without enforced just-in-time elevation and automated expiry, "temporary" access has a half-life measured in quarters. This risk is also the one auditors find first: access-review findings are the most common SOX deficiency in IT general controls.</w:t>
      </w:r>
    </w:p>
    <w:p>
      <w:pPr>
        <w:pStyle w:val="Heading2"/>
      </w:pPr>
      <w:r>
        <w:t>4.4 Treatment Recommendations</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val="clear" w:color="auto" w:fill="1F4E79"/>
          </w:tcPr>
          <w:p>
            <w:r/>
            <w:r>
              <w:rPr>
                <w:b/>
                <w:color w:val="FFFFFF"/>
                <w:sz w:val="20"/>
              </w:rPr>
              <w:t>Risk ID</w:t>
            </w:r>
          </w:p>
        </w:tc>
        <w:tc>
          <w:tcPr>
            <w:tcW w:type="dxa" w:w="2160"/>
            <w:shd w:val="clear" w:color="auto" w:fill="1F4E79"/>
          </w:tcPr>
          <w:p>
            <w:r/>
            <w:r>
              <w:rPr>
                <w:b/>
                <w:color w:val="FFFFFF"/>
                <w:sz w:val="20"/>
              </w:rPr>
              <w:t>Treatment</w:t>
            </w:r>
          </w:p>
        </w:tc>
        <w:tc>
          <w:tcPr>
            <w:tcW w:type="dxa" w:w="2160"/>
            <w:shd w:val="clear" w:color="auto" w:fill="1F4E79"/>
          </w:tcPr>
          <w:p>
            <w:r/>
            <w:r>
              <w:rPr>
                <w:b/>
                <w:color w:val="FFFFFF"/>
                <w:sz w:val="20"/>
              </w:rPr>
              <w:t>Concrete Actions</w:t>
            </w:r>
          </w:p>
        </w:tc>
        <w:tc>
          <w:tcPr>
            <w:tcW w:type="dxa" w:w="2160"/>
            <w:shd w:val="clear" w:color="auto" w:fill="1F4E79"/>
          </w:tcPr>
          <w:p>
            <w:r/>
            <w:r>
              <w:rPr>
                <w:b/>
                <w:color w:val="FFFFFF"/>
                <w:sz w:val="20"/>
              </w:rPr>
              <w:t>Target Residual Level</w:t>
            </w:r>
          </w:p>
        </w:tc>
      </w:tr>
      <w:tr>
        <w:tc>
          <w:tcPr>
            <w:tcW w:type="dxa" w:w="2160"/>
          </w:tcPr>
          <w:p>
            <w:r/>
            <w:r>
              <w:rPr>
                <w:sz w:val="20"/>
              </w:rPr>
              <w:t>R-01</w:t>
            </w:r>
          </w:p>
        </w:tc>
        <w:tc>
          <w:tcPr>
            <w:tcW w:type="dxa" w:w="2160"/>
          </w:tcPr>
          <w:p>
            <w:r/>
            <w:r>
              <w:rPr>
                <w:sz w:val="20"/>
              </w:rPr>
              <w:t>Mitigate</w:t>
            </w:r>
          </w:p>
        </w:tc>
        <w:tc>
          <w:tcPr>
            <w:tcW w:type="dxa" w:w="2160"/>
          </w:tcPr>
          <w:p>
            <w:r/>
            <w:r>
              <w:rPr>
                <w:sz w:val="20"/>
              </w:rPr>
              <w:t>Nightly encrypted PostgreSQL backups with quarterly restore tests; documented RTO 4h / RPO 24h; runbook for IdP failover; evaluate Authentik HA (blue-green) in next architecture review.</w:t>
            </w:r>
          </w:p>
        </w:tc>
        <w:tc>
          <w:tcPr>
            <w:tcW w:type="dxa" w:w="2160"/>
          </w:tcPr>
          <w:p>
            <w:r/>
            <w:r>
              <w:rPr>
                <w:sz w:val="20"/>
              </w:rPr>
              <w:t>Medium</w:t>
            </w:r>
          </w:p>
        </w:tc>
      </w:tr>
      <w:tr>
        <w:tc>
          <w:tcPr>
            <w:tcW w:type="dxa" w:w="2160"/>
          </w:tcPr>
          <w:p>
            <w:r/>
            <w:r>
              <w:rPr>
                <w:sz w:val="20"/>
              </w:rPr>
              <w:t>R-02</w:t>
            </w:r>
          </w:p>
        </w:tc>
        <w:tc>
          <w:tcPr>
            <w:tcW w:type="dxa" w:w="2160"/>
          </w:tcPr>
          <w:p>
            <w:r/>
            <w:r>
              <w:rPr>
                <w:sz w:val="20"/>
              </w:rPr>
              <w:t>Mitigate</w:t>
            </w:r>
          </w:p>
        </w:tc>
        <w:tc>
          <w:tcPr>
            <w:tcW w:type="dxa" w:w="2160"/>
          </w:tcPr>
          <w:p>
            <w:r/>
            <w:r>
              <w:rPr>
                <w:sz w:val="20"/>
              </w:rPr>
              <w:t>Enforce MFA for all Authentik users (aligns PCI DSS Req 8.4); enable rate limiting and account lockout on login endpoints; deploy bot/CAPTCHA challenge; alert on impossible-travel and password-spray patterns; require phishing-resistant MFA for admin roles.</w:t>
            </w:r>
          </w:p>
        </w:tc>
        <w:tc>
          <w:tcPr>
            <w:tcW w:type="dxa" w:w="2160"/>
          </w:tcPr>
          <w:p>
            <w:r/>
            <w:r>
              <w:rPr>
                <w:sz w:val="20"/>
              </w:rPr>
              <w:t>Medium</w:t>
            </w:r>
          </w:p>
        </w:tc>
      </w:tr>
      <w:tr>
        <w:tc>
          <w:tcPr>
            <w:tcW w:type="dxa" w:w="2160"/>
          </w:tcPr>
          <w:p>
            <w:r/>
            <w:r>
              <w:rPr>
                <w:sz w:val="20"/>
              </w:rPr>
              <w:t>R-03</w:t>
            </w:r>
          </w:p>
        </w:tc>
        <w:tc>
          <w:tcPr>
            <w:tcW w:type="dxa" w:w="2160"/>
          </w:tcPr>
          <w:p>
            <w:r/>
            <w:r>
              <w:rPr>
                <w:sz w:val="20"/>
              </w:rPr>
              <w:t>Mitigate</w:t>
            </w:r>
          </w:p>
        </w:tc>
        <w:tc>
          <w:tcPr>
            <w:tcW w:type="dxa" w:w="2160"/>
          </w:tcPr>
          <w:p>
            <w:r/>
            <w:r>
              <w:rPr>
                <w:sz w:val="20"/>
              </w:rPr>
              <w:t>Retain the SAML:aud condition already in main.tf; add assertion signature enforcement checks to the Authentik provider config review; annual SAML configuration audit; test with assertion-replay in staging.</w:t>
            </w:r>
          </w:p>
        </w:tc>
        <w:tc>
          <w:tcPr>
            <w:tcW w:type="dxa" w:w="2160"/>
          </w:tcPr>
          <w:p>
            <w:r/>
            <w:r>
              <w:rPr>
                <w:sz w:val="20"/>
              </w:rPr>
              <w:t>Low</w:t>
            </w:r>
          </w:p>
        </w:tc>
      </w:tr>
      <w:tr>
        <w:tc>
          <w:tcPr>
            <w:tcW w:type="dxa" w:w="2160"/>
          </w:tcPr>
          <w:p>
            <w:r/>
            <w:r>
              <w:rPr>
                <w:sz w:val="20"/>
              </w:rPr>
              <w:t>R-04</w:t>
            </w:r>
          </w:p>
        </w:tc>
        <w:tc>
          <w:tcPr>
            <w:tcW w:type="dxa" w:w="2160"/>
          </w:tcPr>
          <w:p>
            <w:r/>
            <w:r>
              <w:rPr>
                <w:sz w:val="20"/>
              </w:rPr>
              <w:t>Mitigate</w:t>
            </w:r>
          </w:p>
        </w:tc>
        <w:tc>
          <w:tcPr>
            <w:tcW w:type="dxa" w:w="2160"/>
          </w:tcPr>
          <w:p>
            <w:r/>
            <w:r>
              <w:rPr>
                <w:sz w:val="20"/>
              </w:rPr>
              <w:t>Remove the hardcoded token from docker-compose.yml into a secrets manager / Docker secret; set AUTHENTIK_INSECURE=false with proper TLS between outpost and server; restrict 389/636 to required source networks; rotate the exposed token immediately.</w:t>
            </w:r>
          </w:p>
        </w:tc>
        <w:tc>
          <w:tcPr>
            <w:tcW w:type="dxa" w:w="2160"/>
          </w:tcPr>
          <w:p>
            <w:r/>
            <w:r>
              <w:rPr>
                <w:sz w:val="20"/>
              </w:rPr>
              <w:t>Low</w:t>
            </w:r>
          </w:p>
        </w:tc>
      </w:tr>
      <w:tr>
        <w:tc>
          <w:tcPr>
            <w:tcW w:type="dxa" w:w="2160"/>
          </w:tcPr>
          <w:p>
            <w:r/>
            <w:r>
              <w:rPr>
                <w:sz w:val="20"/>
              </w:rPr>
              <w:t>R-05</w:t>
            </w:r>
          </w:p>
        </w:tc>
        <w:tc>
          <w:tcPr>
            <w:tcW w:type="dxa" w:w="2160"/>
          </w:tcPr>
          <w:p>
            <w:r/>
            <w:r>
              <w:rPr>
                <w:sz w:val="20"/>
              </w:rPr>
              <w:t>Mitigate</w:t>
            </w:r>
          </w:p>
        </w:tc>
        <w:tc>
          <w:tcPr>
            <w:tcW w:type="dxa" w:w="2160"/>
          </w:tcPr>
          <w:p>
            <w:r/>
            <w:r>
              <w:rPr>
                <w:sz w:val="20"/>
              </w:rPr>
              <w:t>Replace standing elevation with just-in-time, manager-approved, 4-hour time-bound elevation (consistent with existing STS max session); automated expiry; quarterly access reviews per EISP-IAM-004; alert on grants older than 30 days without justification.</w:t>
            </w:r>
          </w:p>
        </w:tc>
        <w:tc>
          <w:tcPr>
            <w:tcW w:type="dxa" w:w="2160"/>
          </w:tcPr>
          <w:p>
            <w:r/>
            <w:r>
              <w:rPr>
                <w:sz w:val="20"/>
              </w:rPr>
              <w:t>Medium</w:t>
            </w:r>
          </w:p>
        </w:tc>
      </w:tr>
      <w:tr>
        <w:tc>
          <w:tcPr>
            <w:tcW w:type="dxa" w:w="2160"/>
          </w:tcPr>
          <w:p>
            <w:r/>
            <w:r>
              <w:rPr>
                <w:sz w:val="20"/>
              </w:rPr>
              <w:t>R-06</w:t>
            </w:r>
          </w:p>
        </w:tc>
        <w:tc>
          <w:tcPr>
            <w:tcW w:type="dxa" w:w="2160"/>
          </w:tcPr>
          <w:p>
            <w:r/>
            <w:r>
              <w:rPr>
                <w:sz w:val="20"/>
              </w:rPr>
              <w:t>Mitigate</w:t>
            </w:r>
          </w:p>
        </w:tc>
        <w:tc>
          <w:tcPr>
            <w:tcW w:type="dxa" w:w="2160"/>
          </w:tcPr>
          <w:p>
            <w:r/>
            <w:r>
              <w:rPr>
                <w:sz w:val="20"/>
              </w:rPr>
              <w:t>Move .env secrets to a managed secrets store; enable Terraform remote state with encryption at rest and state locking; add pre-commit secret scanning; audit git history for previously committed secrets and rotate any found.</w:t>
            </w:r>
          </w:p>
        </w:tc>
        <w:tc>
          <w:tcPr>
            <w:tcW w:type="dxa" w:w="2160"/>
          </w:tcPr>
          <w:p>
            <w:r/>
            <w:r>
              <w:rPr>
                <w:sz w:val="20"/>
              </w:rPr>
              <w:t>Low</w:t>
            </w:r>
          </w:p>
        </w:tc>
      </w:tr>
      <w:tr>
        <w:tc>
          <w:tcPr>
            <w:tcW w:type="dxa" w:w="2160"/>
          </w:tcPr>
          <w:p>
            <w:r/>
            <w:r>
              <w:rPr>
                <w:sz w:val="20"/>
              </w:rPr>
              <w:t>R-07</w:t>
            </w:r>
          </w:p>
        </w:tc>
        <w:tc>
          <w:tcPr>
            <w:tcW w:type="dxa" w:w="2160"/>
          </w:tcPr>
          <w:p>
            <w:r/>
            <w:r>
              <w:rPr>
                <w:sz w:val="20"/>
              </w:rPr>
              <w:t>Mitigate</w:t>
            </w:r>
          </w:p>
        </w:tc>
        <w:tc>
          <w:tcPr>
            <w:tcW w:type="dxa" w:w="2160"/>
          </w:tcPr>
          <w:p>
            <w:r/>
            <w:r>
              <w:rPr>
                <w:sz w:val="20"/>
              </w:rPr>
              <w:t>Enforce separation of duties (IAMEngineer cannot approve own provisioning); require peer review on Terraform IAM changes; session recording/alerting for privileged role assumption; UBA-style alerting on anomalous API calls.</w:t>
            </w:r>
          </w:p>
        </w:tc>
        <w:tc>
          <w:tcPr>
            <w:tcW w:type="dxa" w:w="2160"/>
          </w:tcPr>
          <w:p>
            <w:r/>
            <w:r>
              <w:rPr>
                <w:sz w:val="20"/>
              </w:rPr>
              <w:t>Medium</w:t>
            </w:r>
          </w:p>
        </w:tc>
      </w:tr>
      <w:tr>
        <w:tc>
          <w:tcPr>
            <w:tcW w:type="dxa" w:w="2160"/>
          </w:tcPr>
          <w:p>
            <w:r/>
            <w:r>
              <w:rPr>
                <w:sz w:val="20"/>
              </w:rPr>
              <w:t>R-08</w:t>
            </w:r>
          </w:p>
        </w:tc>
        <w:tc>
          <w:tcPr>
            <w:tcW w:type="dxa" w:w="2160"/>
          </w:tcPr>
          <w:p>
            <w:r/>
            <w:r>
              <w:rPr>
                <w:sz w:val="20"/>
              </w:rPr>
              <w:t>Mitigate</w:t>
            </w:r>
          </w:p>
        </w:tc>
        <w:tc>
          <w:tcPr>
            <w:tcW w:type="dxa" w:w="2160"/>
          </w:tcPr>
          <w:p>
            <w:r/>
            <w:r>
              <w:rPr>
                <w:sz w:val="20"/>
              </w:rPr>
              <w:t>Adopt number-matching or phishing-resistant MFA (WebAuthn/FIDO2) instead of push-approve; cap prompts per session; user awareness training with simulated push-bombing exercise.</w:t>
            </w:r>
          </w:p>
        </w:tc>
        <w:tc>
          <w:tcPr>
            <w:tcW w:type="dxa" w:w="2160"/>
          </w:tcPr>
          <w:p>
            <w:r/>
            <w:r>
              <w:rPr>
                <w:sz w:val="20"/>
              </w:rPr>
              <w:t>Medium</w:t>
            </w:r>
          </w:p>
        </w:tc>
      </w:tr>
      <w:tr>
        <w:tc>
          <w:tcPr>
            <w:tcW w:type="dxa" w:w="2160"/>
          </w:tcPr>
          <w:p>
            <w:r/>
            <w:r>
              <w:rPr>
                <w:sz w:val="20"/>
              </w:rPr>
              <w:t>R-09</w:t>
            </w:r>
          </w:p>
        </w:tc>
        <w:tc>
          <w:tcPr>
            <w:tcW w:type="dxa" w:w="2160"/>
          </w:tcPr>
          <w:p>
            <w:r/>
            <w:r>
              <w:rPr>
                <w:sz w:val="20"/>
              </w:rPr>
              <w:t>Mitigate (+Transfer)</w:t>
            </w:r>
          </w:p>
        </w:tc>
        <w:tc>
          <w:tcPr>
            <w:tcW w:type="dxa" w:w="2160"/>
          </w:tcPr>
          <w:p>
            <w:r/>
            <w:r>
              <w:rPr>
                <w:sz w:val="20"/>
              </w:rPr>
              <w:t>Keep images pinned by digest (not just tag); verify signatures where published; scan images in CI before deploy; maintain cyber-insurance for residual supply-chain risk.</w:t>
            </w:r>
          </w:p>
        </w:tc>
        <w:tc>
          <w:tcPr>
            <w:tcW w:type="dxa" w:w="2160"/>
          </w:tcPr>
          <w:p>
            <w:r/>
            <w:r>
              <w:rPr>
                <w:sz w:val="20"/>
              </w:rPr>
              <w:t>Low</w:t>
            </w:r>
          </w:p>
        </w:tc>
      </w:tr>
      <w:tr>
        <w:tc>
          <w:tcPr>
            <w:tcW w:type="dxa" w:w="2160"/>
          </w:tcPr>
          <w:p>
            <w:r/>
            <w:r>
              <w:rPr>
                <w:sz w:val="20"/>
              </w:rPr>
              <w:t>R-10</w:t>
            </w:r>
          </w:p>
        </w:tc>
        <w:tc>
          <w:tcPr>
            <w:tcW w:type="dxa" w:w="2160"/>
          </w:tcPr>
          <w:p>
            <w:r/>
            <w:r>
              <w:rPr>
                <w:sz w:val="20"/>
              </w:rPr>
              <w:t>Mitigate</w:t>
            </w:r>
          </w:p>
        </w:tc>
        <w:tc>
          <w:tcPr>
            <w:tcW w:type="dxa" w:w="2160"/>
          </w:tcPr>
          <w:p>
            <w:r/>
            <w:r>
              <w:rPr>
                <w:sz w:val="20"/>
              </w:rPr>
              <w:t>Remove the docker.sock mount from the worker if outpost functionality permits; otherwise run worker as non-root, apply seccomp/AppArmor profiles, and restrict the mount read-only; plan migration of outpost to a dedicated host.</w:t>
            </w:r>
          </w:p>
        </w:tc>
        <w:tc>
          <w:tcPr>
            <w:tcW w:type="dxa" w:w="2160"/>
          </w:tcPr>
          <w:p>
            <w:r/>
            <w:r>
              <w:rPr>
                <w:sz w:val="20"/>
              </w:rPr>
              <w:t>Medium</w:t>
            </w:r>
          </w:p>
        </w:tc>
      </w:tr>
    </w:tbl>
    <w:p/>
    <w:p>
      <w:r>
        <w:rPr>
          <w:b w:val="0"/>
          <w:i w:val="0"/>
        </w:rPr>
        <w:t>Residual risk summary: after the treatments above, no risk remains above Medium. The three Critical/High drivers (R-01, R-02, R-05) are reduced to Medium through backup/restore discipline, MFA plus login hardening, and just-in-time elevation with automated expiry. Risks R-03, R-04, R-06, and R-09 reach Low because their mitigations are deterministic configuration fixes (token rotation, TLS enforcement, secrets hygiene, image pinning). Residual Medium risks are accepted explicitly, documented in the risk register, and re-assessed annually or on material architecture change - acceptance without a re-assessment date is not permitted.</w:t>
      </w:r>
    </w:p>
    <w:p>
      <w:pPr>
        <w:pStyle w:val="Heading2"/>
      </w:pPr>
      <w:r>
        <w:t>4.5 Risk Heat Map</w:t>
      </w:r>
    </w:p>
    <w:p>
      <w:r>
        <w:rPr>
          <w:b w:val="0"/>
          <w:i w:val="0"/>
        </w:rPr>
        <w:t>Table 4 places each risk ID at its Likelihood (columns) x Impact (rows) position. Shading bands: 1-4 Low, 5-9 Medium, 10-15 High, 16-25 Critical.</w:t>
      </w:r>
    </w:p>
    <w:tbl>
      <w:tblPr>
        <w:tblStyle w:val="TableGrid"/>
        <w:tblW w:type="auto" w:w="0"/>
        <w:jc w:val="center"/>
        <w:tblLook w:firstColumn="1" w:firstRow="1" w:lastColumn="0" w:lastRow="0" w:noHBand="0" w:noVBand="1" w:val="04A0"/>
      </w:tblPr>
      <w:tblGrid>
        <w:gridCol w:w="1440"/>
        <w:gridCol w:w="1440"/>
        <w:gridCol w:w="1440"/>
        <w:gridCol w:w="1440"/>
        <w:gridCol w:w="1440"/>
        <w:gridCol w:w="1440"/>
      </w:tblGrid>
      <w:tr>
        <w:tc>
          <w:tcPr>
            <w:tcW w:type="dxa" w:w="1440"/>
            <w:shd w:val="clear" w:color="auto" w:fill="1F4E79"/>
          </w:tcPr>
          <w:p>
            <w:r/>
            <w:r>
              <w:rPr>
                <w:b/>
                <w:color w:val="FFFFFF"/>
                <w:sz w:val="20"/>
              </w:rPr>
              <w:t>Impact \ Likelihood</w:t>
            </w:r>
          </w:p>
        </w:tc>
        <w:tc>
          <w:tcPr>
            <w:tcW w:type="dxa" w:w="1440"/>
            <w:shd w:val="clear" w:color="auto" w:fill="1F4E79"/>
          </w:tcPr>
          <w:p>
            <w:r/>
            <w:r>
              <w:rPr>
                <w:b/>
                <w:color w:val="FFFFFF"/>
                <w:sz w:val="20"/>
              </w:rPr>
              <w:t>1 - Rare</w:t>
            </w:r>
          </w:p>
        </w:tc>
        <w:tc>
          <w:tcPr>
            <w:tcW w:type="dxa" w:w="1440"/>
            <w:shd w:val="clear" w:color="auto" w:fill="1F4E79"/>
          </w:tcPr>
          <w:p>
            <w:r/>
            <w:r>
              <w:rPr>
                <w:b/>
                <w:color w:val="FFFFFF"/>
                <w:sz w:val="20"/>
              </w:rPr>
              <w:t>2 - Unlikely</w:t>
            </w:r>
          </w:p>
        </w:tc>
        <w:tc>
          <w:tcPr>
            <w:tcW w:type="dxa" w:w="1440"/>
            <w:shd w:val="clear" w:color="auto" w:fill="1F4E79"/>
          </w:tcPr>
          <w:p>
            <w:r/>
            <w:r>
              <w:rPr>
                <w:b/>
                <w:color w:val="FFFFFF"/>
                <w:sz w:val="20"/>
              </w:rPr>
              <w:t>3 - Possible</w:t>
            </w:r>
          </w:p>
        </w:tc>
        <w:tc>
          <w:tcPr>
            <w:tcW w:type="dxa" w:w="1440"/>
            <w:shd w:val="clear" w:color="auto" w:fill="1F4E79"/>
          </w:tcPr>
          <w:p>
            <w:r/>
            <w:r>
              <w:rPr>
                <w:b/>
                <w:color w:val="FFFFFF"/>
                <w:sz w:val="20"/>
              </w:rPr>
              <w:t>4 - Likely</w:t>
            </w:r>
          </w:p>
        </w:tc>
        <w:tc>
          <w:tcPr>
            <w:tcW w:type="dxa" w:w="1440"/>
            <w:shd w:val="clear" w:color="auto" w:fill="1F4E79"/>
          </w:tcPr>
          <w:p>
            <w:r/>
            <w:r>
              <w:rPr>
                <w:b/>
                <w:color w:val="FFFFFF"/>
                <w:sz w:val="20"/>
              </w:rPr>
              <w:t>5 - Almost certain</w:t>
            </w:r>
          </w:p>
        </w:tc>
      </w:tr>
      <w:tr>
        <w:tc>
          <w:tcPr>
            <w:tcW w:type="dxa" w:w="1440"/>
          </w:tcPr>
          <w:p>
            <w:r/>
            <w:r>
              <w:rPr>
                <w:sz w:val="20"/>
              </w:rPr>
              <w:t>5 - Catastrophic</w:t>
            </w:r>
          </w:p>
        </w:tc>
        <w:tc>
          <w:tcPr>
            <w:tcW w:type="dxa" w:w="1440"/>
          </w:tcPr>
          <w:p>
            <w:r/>
            <w:r>
              <w:rPr>
                <w:sz w:val="20"/>
              </w:rPr>
            </w:r>
          </w:p>
        </w:tc>
        <w:tc>
          <w:tcPr>
            <w:tcW w:type="dxa" w:w="1440"/>
          </w:tcPr>
          <w:p>
            <w:r/>
            <w:r>
              <w:rPr>
                <w:sz w:val="20"/>
              </w:rPr>
              <w:t>R-03, R-07, R-09, R-10</w:t>
            </w:r>
          </w:p>
        </w:tc>
        <w:tc>
          <w:tcPr>
            <w:tcW w:type="dxa" w:w="1440"/>
          </w:tcPr>
          <w:p>
            <w:r/>
            <w:r>
              <w:rPr>
                <w:sz w:val="20"/>
              </w:rPr>
              <w:t>R-01, R-05</w:t>
            </w:r>
          </w:p>
        </w:tc>
        <w:tc>
          <w:tcPr>
            <w:tcW w:type="dxa" w:w="1440"/>
          </w:tcPr>
          <w:p>
            <w:r/>
            <w:r>
              <w:rPr>
                <w:sz w:val="20"/>
              </w:rPr>
            </w:r>
          </w:p>
        </w:tc>
        <w:tc>
          <w:tcPr>
            <w:tcW w:type="dxa" w:w="1440"/>
          </w:tcPr>
          <w:p>
            <w:r/>
            <w:r>
              <w:rPr>
                <w:sz w:val="20"/>
              </w:rPr>
            </w:r>
          </w:p>
        </w:tc>
      </w:tr>
      <w:tr>
        <w:tc>
          <w:tcPr>
            <w:tcW w:type="dxa" w:w="1440"/>
          </w:tcPr>
          <w:p>
            <w:r/>
            <w:r>
              <w:rPr>
                <w:sz w:val="20"/>
              </w:rPr>
              <w:t>4 - Major</w:t>
            </w:r>
          </w:p>
        </w:tc>
        <w:tc>
          <w:tcPr>
            <w:tcW w:type="dxa" w:w="1440"/>
          </w:tcPr>
          <w:p>
            <w:r/>
            <w:r>
              <w:rPr>
                <w:sz w:val="20"/>
              </w:rPr>
            </w:r>
          </w:p>
        </w:tc>
        <w:tc>
          <w:tcPr>
            <w:tcW w:type="dxa" w:w="1440"/>
          </w:tcPr>
          <w:p>
            <w:r/>
            <w:r>
              <w:rPr>
                <w:sz w:val="20"/>
              </w:rPr>
            </w:r>
          </w:p>
        </w:tc>
        <w:tc>
          <w:tcPr>
            <w:tcW w:type="dxa" w:w="1440"/>
          </w:tcPr>
          <w:p>
            <w:r/>
            <w:r>
              <w:rPr>
                <w:sz w:val="20"/>
              </w:rPr>
              <w:t>R-04, R-06, R-08</w:t>
            </w:r>
          </w:p>
        </w:tc>
        <w:tc>
          <w:tcPr>
            <w:tcW w:type="dxa" w:w="1440"/>
          </w:tcPr>
          <w:p>
            <w:r/>
            <w:r>
              <w:rPr>
                <w:sz w:val="20"/>
              </w:rPr>
              <w:t>R-02</w:t>
            </w:r>
          </w:p>
        </w:tc>
        <w:tc>
          <w:tcPr>
            <w:tcW w:type="dxa" w:w="1440"/>
          </w:tcPr>
          <w:p>
            <w:r/>
            <w:r>
              <w:rPr>
                <w:sz w:val="20"/>
              </w:rPr>
            </w:r>
          </w:p>
        </w:tc>
      </w:tr>
      <w:tr>
        <w:tc>
          <w:tcPr>
            <w:tcW w:type="dxa" w:w="1440"/>
          </w:tcPr>
          <w:p>
            <w:r/>
            <w:r>
              <w:rPr>
                <w:sz w:val="20"/>
              </w:rPr>
              <w:t>3 - Moderate</w:t>
            </w:r>
          </w:p>
        </w:tc>
        <w:tc>
          <w:tcPr>
            <w:tcW w:type="dxa" w:w="1440"/>
          </w:tcPr>
          <w:p>
            <w:r/>
            <w:r>
              <w:rPr>
                <w:sz w:val="20"/>
              </w:rPr>
            </w:r>
          </w:p>
        </w:tc>
        <w:tc>
          <w:tcPr>
            <w:tcW w:type="dxa" w:w="1440"/>
          </w:tcPr>
          <w:p>
            <w:r/>
            <w:r>
              <w:rPr>
                <w:sz w:val="20"/>
              </w:rPr>
            </w:r>
          </w:p>
        </w:tc>
        <w:tc>
          <w:tcPr>
            <w:tcW w:type="dxa" w:w="1440"/>
          </w:tcPr>
          <w:p>
            <w:r/>
            <w:r>
              <w:rPr>
                <w:sz w:val="20"/>
              </w:rPr>
            </w:r>
          </w:p>
        </w:tc>
        <w:tc>
          <w:tcPr>
            <w:tcW w:type="dxa" w:w="1440"/>
          </w:tcPr>
          <w:p>
            <w:r/>
            <w:r>
              <w:rPr>
                <w:sz w:val="20"/>
              </w:rPr>
            </w:r>
          </w:p>
        </w:tc>
        <w:tc>
          <w:tcPr>
            <w:tcW w:type="dxa" w:w="1440"/>
          </w:tcPr>
          <w:p>
            <w:r/>
            <w:r>
              <w:rPr>
                <w:sz w:val="20"/>
              </w:rPr>
            </w:r>
          </w:p>
        </w:tc>
      </w:tr>
      <w:tr>
        <w:tc>
          <w:tcPr>
            <w:tcW w:type="dxa" w:w="1440"/>
          </w:tcPr>
          <w:p>
            <w:r/>
            <w:r>
              <w:rPr>
                <w:sz w:val="20"/>
              </w:rPr>
              <w:t>2 - Minor</w:t>
            </w:r>
          </w:p>
        </w:tc>
        <w:tc>
          <w:tcPr>
            <w:tcW w:type="dxa" w:w="1440"/>
          </w:tcPr>
          <w:p>
            <w:r/>
            <w:r>
              <w:rPr>
                <w:sz w:val="20"/>
              </w:rPr>
            </w:r>
          </w:p>
        </w:tc>
        <w:tc>
          <w:tcPr>
            <w:tcW w:type="dxa" w:w="1440"/>
          </w:tcPr>
          <w:p>
            <w:r/>
            <w:r>
              <w:rPr>
                <w:sz w:val="20"/>
              </w:rPr>
            </w:r>
          </w:p>
        </w:tc>
        <w:tc>
          <w:tcPr>
            <w:tcW w:type="dxa" w:w="1440"/>
          </w:tcPr>
          <w:p>
            <w:r/>
            <w:r>
              <w:rPr>
                <w:sz w:val="20"/>
              </w:rPr>
            </w:r>
          </w:p>
        </w:tc>
        <w:tc>
          <w:tcPr>
            <w:tcW w:type="dxa" w:w="1440"/>
          </w:tcPr>
          <w:p>
            <w:r/>
            <w:r>
              <w:rPr>
                <w:sz w:val="20"/>
              </w:rPr>
            </w:r>
          </w:p>
        </w:tc>
        <w:tc>
          <w:tcPr>
            <w:tcW w:type="dxa" w:w="1440"/>
          </w:tcPr>
          <w:p>
            <w:r/>
            <w:r>
              <w:rPr>
                <w:sz w:val="20"/>
              </w:rPr>
            </w:r>
          </w:p>
        </w:tc>
      </w:tr>
      <w:tr>
        <w:tc>
          <w:tcPr>
            <w:tcW w:type="dxa" w:w="1440"/>
          </w:tcPr>
          <w:p>
            <w:r/>
            <w:r>
              <w:rPr>
                <w:sz w:val="20"/>
              </w:rPr>
              <w:t>1 - Negligible</w:t>
            </w:r>
          </w:p>
        </w:tc>
        <w:tc>
          <w:tcPr>
            <w:tcW w:type="dxa" w:w="1440"/>
          </w:tcPr>
          <w:p>
            <w:r/>
            <w:r>
              <w:rPr>
                <w:sz w:val="20"/>
              </w:rPr>
            </w:r>
          </w:p>
        </w:tc>
        <w:tc>
          <w:tcPr>
            <w:tcW w:type="dxa" w:w="1440"/>
          </w:tcPr>
          <w:p>
            <w:r/>
            <w:r>
              <w:rPr>
                <w:sz w:val="20"/>
              </w:rPr>
            </w:r>
          </w:p>
        </w:tc>
        <w:tc>
          <w:tcPr>
            <w:tcW w:type="dxa" w:w="1440"/>
          </w:tcPr>
          <w:p>
            <w:r/>
            <w:r>
              <w:rPr>
                <w:sz w:val="20"/>
              </w:rPr>
            </w:r>
          </w:p>
        </w:tc>
        <w:tc>
          <w:tcPr>
            <w:tcW w:type="dxa" w:w="1440"/>
          </w:tcPr>
          <w:p>
            <w:r/>
            <w:r>
              <w:rPr>
                <w:sz w:val="20"/>
              </w:rPr>
            </w:r>
          </w:p>
        </w:tc>
        <w:tc>
          <w:tcPr>
            <w:tcW w:type="dxa" w:w="1440"/>
          </w:tcPr>
          <w:p>
            <w:r/>
            <w:r>
              <w:rPr>
                <w:sz w:val="20"/>
              </w:rPr>
            </w:r>
          </w:p>
        </w:tc>
      </w:tr>
    </w:tbl>
    <w:p/>
    <w:p>
      <w:pPr>
        <w:pStyle w:val="Heading1"/>
      </w:pPr>
      <w:r>
        <w:t>5. Compliance Incident Scenario: Suspected Credential Compromise / Account Takeover in Authentik</w:t>
      </w:r>
    </w:p>
    <w:p>
      <w:r>
        <w:rPr>
          <w:b w:val="0"/>
          <w:i/>
        </w:rPr>
        <w:t>Scenario: on a Tuesday at 09:14 ET, the security analyst notices an Authentik event-log alert - three failed logins followed by a successful login for an IAM engineer account from an IP geolocated to a country the engineer has never authenticated from, followed within minutes by sts:AssumeRoleWithSAML calls against the EISP-SecurityAnalyst-Role from the same session. The engineer, contacted by phone, confirms they did not log in. Treat as a suspected account takeover in progress.</w:t>
      </w:r>
    </w:p>
    <w:p>
      <w:pPr>
        <w:pStyle w:val="Heading2"/>
      </w:pPr>
      <w:r>
        <w:t>5.1 Incident Classification and Severity Levels</w:t>
      </w:r>
    </w:p>
    <w:p>
      <w:r>
        <w:rPr>
          <w:b w:val="0"/>
          <w:i w:val="0"/>
        </w:rPr>
        <w:t>Table 5 defines the four severity levels used for all EISP incidents. Classification is set by the Incident Commander within 30 minutes of triage and drives response SLAs.</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val="clear" w:color="auto" w:fill="1F4E79"/>
          </w:tcPr>
          <w:p>
            <w:r/>
            <w:r>
              <w:rPr>
                <w:b/>
                <w:color w:val="FFFFFF"/>
                <w:sz w:val="20"/>
              </w:rPr>
              <w:t>Severity</w:t>
            </w:r>
          </w:p>
        </w:tc>
        <w:tc>
          <w:tcPr>
            <w:tcW w:type="dxa" w:w="2160"/>
            <w:shd w:val="clear" w:color="auto" w:fill="1F4E79"/>
          </w:tcPr>
          <w:p>
            <w:r/>
            <w:r>
              <w:rPr>
                <w:b/>
                <w:color w:val="FFFFFF"/>
                <w:sz w:val="20"/>
              </w:rPr>
              <w:t>Criteria</w:t>
            </w:r>
          </w:p>
        </w:tc>
        <w:tc>
          <w:tcPr>
            <w:tcW w:type="dxa" w:w="2160"/>
            <w:shd w:val="clear" w:color="auto" w:fill="1F4E79"/>
          </w:tcPr>
          <w:p>
            <w:r/>
            <w:r>
              <w:rPr>
                <w:b/>
                <w:color w:val="FFFFFF"/>
                <w:sz w:val="20"/>
              </w:rPr>
              <w:t>Response SLA</w:t>
            </w:r>
          </w:p>
        </w:tc>
        <w:tc>
          <w:tcPr>
            <w:tcW w:type="dxa" w:w="2160"/>
            <w:shd w:val="clear" w:color="auto" w:fill="1F4E79"/>
          </w:tcPr>
          <w:p>
            <w:r/>
            <w:r>
              <w:rPr>
                <w:b/>
                <w:color w:val="FFFFFF"/>
                <w:sz w:val="20"/>
              </w:rPr>
              <w:t>Example</w:t>
            </w:r>
          </w:p>
        </w:tc>
      </w:tr>
      <w:tr>
        <w:tc>
          <w:tcPr>
            <w:tcW w:type="dxa" w:w="2160"/>
          </w:tcPr>
          <w:p>
            <w:r/>
            <w:r>
              <w:rPr>
                <w:sz w:val="20"/>
              </w:rPr>
              <w:t>SEV-1 Critical</w:t>
            </w:r>
          </w:p>
        </w:tc>
        <w:tc>
          <w:tcPr>
            <w:tcW w:type="dxa" w:w="2160"/>
          </w:tcPr>
          <w:p>
            <w:r/>
            <w:r>
              <w:rPr>
                <w:sz w:val="20"/>
              </w:rPr>
              <w:t>Confirmed or highly likely compromise of privileged credentials, IdP integrity, or personal data of &gt;1,000 individuals; active attacker session.</w:t>
            </w:r>
          </w:p>
        </w:tc>
        <w:tc>
          <w:tcPr>
            <w:tcW w:type="dxa" w:w="2160"/>
          </w:tcPr>
          <w:p>
            <w:r/>
            <w:r>
              <w:rPr>
                <w:sz w:val="20"/>
              </w:rPr>
              <w:t>Page IR team immediately; containment begins within 1 hour; executive notification within 2 hours.</w:t>
            </w:r>
          </w:p>
        </w:tc>
        <w:tc>
          <w:tcPr>
            <w:tcW w:type="dxa" w:w="2160"/>
          </w:tcPr>
          <w:p>
            <w:r/>
            <w:r>
              <w:rPr>
                <w:sz w:val="20"/>
              </w:rPr>
              <w:t>This scenario once the anomalous SAML role assumption is confirmed.</w:t>
            </w:r>
          </w:p>
        </w:tc>
      </w:tr>
      <w:tr>
        <w:tc>
          <w:tcPr>
            <w:tcW w:type="dxa" w:w="2160"/>
          </w:tcPr>
          <w:p>
            <w:r/>
            <w:r>
              <w:rPr>
                <w:sz w:val="20"/>
              </w:rPr>
              <w:t>SEV-2 High</w:t>
            </w:r>
          </w:p>
        </w:tc>
        <w:tc>
          <w:tcPr>
            <w:tcW w:type="dxa" w:w="2160"/>
          </w:tcPr>
          <w:p>
            <w:r/>
            <w:r>
              <w:rPr>
                <w:sz w:val="20"/>
              </w:rPr>
              <w:t>Suspected compromise of a standard user account, or confirmed MFA-fatigue attempt without success; no evidence of data access.</w:t>
            </w:r>
          </w:p>
        </w:tc>
        <w:tc>
          <w:tcPr>
            <w:tcW w:type="dxa" w:w="2160"/>
          </w:tcPr>
          <w:p>
            <w:r/>
            <w:r>
              <w:rPr>
                <w:sz w:val="20"/>
              </w:rPr>
              <w:t>IR team engaged within 2 hours; containment within 4 hours.</w:t>
            </w:r>
          </w:p>
        </w:tc>
        <w:tc>
          <w:tcPr>
            <w:tcW w:type="dxa" w:w="2160"/>
          </w:tcPr>
          <w:p>
            <w:r/>
            <w:r>
              <w:rPr>
                <w:sz w:val="20"/>
              </w:rPr>
              <w:t>Single impossible-travel login with no subsequent privileged API calls.</w:t>
            </w:r>
          </w:p>
        </w:tc>
      </w:tr>
      <w:tr>
        <w:tc>
          <w:tcPr>
            <w:tcW w:type="dxa" w:w="2160"/>
          </w:tcPr>
          <w:p>
            <w:r/>
            <w:r>
              <w:rPr>
                <w:sz w:val="20"/>
              </w:rPr>
              <w:t>SEV-3 Medium</w:t>
            </w:r>
          </w:p>
        </w:tc>
        <w:tc>
          <w:tcPr>
            <w:tcW w:type="dxa" w:w="2160"/>
          </w:tcPr>
          <w:p>
            <w:r/>
            <w:r>
              <w:rPr>
                <w:sz w:val="20"/>
              </w:rPr>
              <w:t>Anomalous but explainable activity (e.g., user traveling, VPN egress change); control weakness discovered without exploitation (e.g., the hardcoded LDAP token).</w:t>
            </w:r>
          </w:p>
        </w:tc>
        <w:tc>
          <w:tcPr>
            <w:tcW w:type="dxa" w:w="2160"/>
          </w:tcPr>
          <w:p>
            <w:r/>
            <w:r>
              <w:rPr>
                <w:sz w:val="20"/>
              </w:rPr>
              <w:t>Review within 1 business day; remediation ticket within 3 business days.</w:t>
            </w:r>
          </w:p>
        </w:tc>
        <w:tc>
          <w:tcPr>
            <w:tcW w:type="dxa" w:w="2160"/>
          </w:tcPr>
          <w:p>
            <w:r/>
            <w:r>
              <w:rPr>
                <w:sz w:val="20"/>
              </w:rPr>
              <w:t>R-04 discovered during a config audit with no evidence of token use.</w:t>
            </w:r>
          </w:p>
        </w:tc>
      </w:tr>
      <w:tr>
        <w:tc>
          <w:tcPr>
            <w:tcW w:type="dxa" w:w="2160"/>
          </w:tcPr>
          <w:p>
            <w:r/>
            <w:r>
              <w:rPr>
                <w:sz w:val="20"/>
              </w:rPr>
              <w:t>SEV-4 Low</w:t>
            </w:r>
          </w:p>
        </w:tc>
        <w:tc>
          <w:tcPr>
            <w:tcW w:type="dxa" w:w="2160"/>
          </w:tcPr>
          <w:p>
            <w:r/>
            <w:r>
              <w:rPr>
                <w:sz w:val="20"/>
              </w:rPr>
              <w:t>Informational findings, failed attack attempts blocked by controls, or policy deviations with no security impact.</w:t>
            </w:r>
          </w:p>
        </w:tc>
        <w:tc>
          <w:tcPr>
            <w:tcW w:type="dxa" w:w="2160"/>
          </w:tcPr>
          <w:p>
            <w:r/>
            <w:r>
              <w:rPr>
                <w:sz w:val="20"/>
              </w:rPr>
              <w:t>Logged and reviewed in the weekly security sync.</w:t>
            </w:r>
          </w:p>
        </w:tc>
        <w:tc>
          <w:tcPr>
            <w:tcW w:type="dxa" w:w="2160"/>
          </w:tcPr>
          <w:p>
            <w:r/>
            <w:r>
              <w:rPr>
                <w:sz w:val="20"/>
              </w:rPr>
              <w:t>Password-spray attempts fully blocked by rate limiting.</w:t>
            </w:r>
          </w:p>
        </w:tc>
      </w:tr>
    </w:tbl>
    <w:p/>
    <w:p>
      <w:pPr>
        <w:pStyle w:val="Heading2"/>
      </w:pPr>
      <w:r>
        <w:t>5.2 Incident Response Procedures</w:t>
      </w:r>
    </w:p>
    <w:p>
      <w:r>
        <w:rPr>
          <w:b w:val="0"/>
          <w:i w:val="0"/>
        </w:rPr>
        <w:t>The procedure below satisfies PCI DSS Requirement 12.10 (incident response plan) expectations - roles defined, detection and analysis, containment, eradication, recovery, and post-incident review - adapted to the EISP architecture.</w:t>
      </w:r>
    </w:p>
    <w:p>
      <w:pPr>
        <w:pStyle w:val="Heading3"/>
      </w:pPr>
      <w:r>
        <w:t>Phase 1 - Preparation (standing, before any incident)</w:t>
      </w:r>
    </w:p>
    <w:p>
      <w:pPr>
        <w:pStyle w:val="ListBullet"/>
      </w:pPr>
      <w:r>
        <w:t>Maintain an IR contact list (IAM engineer, security analyst, engineering lead, executive sponsor) reviewed quarterly.</w:t>
      </w:r>
    </w:p>
    <w:p>
      <w:pPr>
        <w:pStyle w:val="ListBullet"/>
      </w:pPr>
      <w:r>
        <w:t>Ensure Authentik event logs and AWS CloudTrail are centralized, immutable, and retained per the retention schedule; verify alerting rules (impossible travel, MFA fatigue, privilege escalation) fire to the on-call channel.</w:t>
      </w:r>
    </w:p>
    <w:p>
      <w:pPr>
        <w:pStyle w:val="ListBullet"/>
      </w:pPr>
      <w:r>
        <w:t>Pre-authorize emergency actions: Authentik user disablement, session/token revocation, and AWS access-key deactivation without waiting for change-control approval during SEV-1/2.</w:t>
      </w:r>
    </w:p>
    <w:p>
      <w:pPr>
        <w:pStyle w:val="ListBullet"/>
      </w:pPr>
      <w:r>
        <w:t>Keep offline copies of the Authentik admin recovery procedure and Terraform state access in case the IdP itself is unavailable.</w:t>
      </w:r>
    </w:p>
    <w:p>
      <w:pPr>
        <w:pStyle w:val="Heading3"/>
      </w:pPr>
      <w:r>
        <w:t>Phase 2 - Detection and analysis (T+0 to T+30 min)</w:t>
      </w:r>
    </w:p>
    <w:p>
      <w:pPr>
        <w:pStyle w:val="ListNumber"/>
      </w:pPr>
      <w:r>
        <w:t>Analyst acknowledges the alert, opens an incident ticket, and proposes SEV-1 classification to the Incident Commander.</w:t>
      </w:r>
    </w:p>
    <w:p>
      <w:pPr>
        <w:pStyle w:val="ListNumber"/>
      </w:pPr>
      <w:r>
        <w:t>Correlate: pull the Authentik event log for the user (login events, MFA challenges, session creation), CloudTrail for sts:AssumeRoleWithSAML and subsequent API calls, and LDAP outpost logs for directory queries.</w:t>
      </w:r>
    </w:p>
    <w:p>
      <w:pPr>
        <w:pStyle w:val="ListNumber"/>
      </w:pPr>
      <w:r>
        <w:t>Establish scope: which accounts, roles, sessions, and API actions are implicated; whether the attacker touched the PostgreSQL identity store or only a user session.</w:t>
      </w:r>
    </w:p>
    <w:p>
      <w:pPr>
        <w:pStyle w:val="ListNumber"/>
      </w:pPr>
      <w:r>
        <w:t>Contact the legitimate user out-of-band (phone) to confirm non-involvement; preserve all logs (set legal hold on the retention window).</w:t>
      </w:r>
    </w:p>
    <w:p>
      <w:pPr>
        <w:pStyle w:val="Heading3"/>
      </w:pPr>
      <w:r>
        <w:t>Phase 3 - Containment (T+30 min to T+2 h)</w:t>
      </w:r>
    </w:p>
    <w:p>
      <w:pPr>
        <w:pStyle w:val="ListNumber"/>
      </w:pPr>
      <w:r>
        <w:t>Disable the compromised user in Authentik immediately; revoke all active sessions and tokens for the user (note: rotating AUTHENTIK_SECRET_KEY invalidates all sessions platform-wide - reserve for suspected IdP-level compromise, and plan for the user impact).</w:t>
      </w:r>
    </w:p>
    <w:p>
      <w:pPr>
        <w:pStyle w:val="ListNumber"/>
      </w:pPr>
      <w:r>
        <w:t>Force a password reset and require MFA re-enrollment (new authenticator) before re-enabling - the old authenticator may be compromised.</w:t>
      </w:r>
    </w:p>
    <w:p>
      <w:pPr>
        <w:pStyle w:val="ListNumber"/>
      </w:pPr>
      <w:r>
        <w:t>In AWS, review and revoke any sessions/keys created during the attacker window; if the attacker assumed roles, treat those role credentials as compromised until the window is fully mapped.</w:t>
      </w:r>
    </w:p>
    <w:p>
      <w:pPr>
        <w:pStyle w:val="ListNumber"/>
      </w:pPr>
      <w:r>
        <w:t>Block the attacker source IPs at the perimeter; do NOT yet delete attacker artifacts needed for forensics.</w:t>
      </w:r>
    </w:p>
    <w:p>
      <w:pPr>
        <w:pStyle w:val="ListNumber"/>
      </w:pPr>
      <w:r>
        <w:t>If there is any indication the PostgreSQL identity store or .env secrets were accessed, rotate PG credentials, AUTHENTIK_SECRET_KEY, and the LDAP outpost token (see R-04/R-06).</w:t>
      </w:r>
    </w:p>
    <w:p>
      <w:pPr>
        <w:pStyle w:val="Heading3"/>
      </w:pPr>
      <w:r>
        <w:t>Phase 4 - Eradication (T+2 h to T+8 h)</w:t>
      </w:r>
    </w:p>
    <w:p>
      <w:pPr>
        <w:pStyle w:val="ListNumber"/>
      </w:pPr>
      <w:r>
        <w:t>Identify the initial vector: credential stuffing (check the password against breach corpora), phishing, MFA fatigue, or endpoint compromise - and close it (e.g., enforce phishing-resistant MFA for the affected user cohort).</w:t>
      </w:r>
    </w:p>
    <w:p>
      <w:pPr>
        <w:pStyle w:val="ListNumber"/>
      </w:pPr>
      <w:r>
        <w:t>Hunt for persistence: additional Authentik users, API tokens, or OAuth2 consents created during the window; scheduled Terraform runs or CI jobs modified.</w:t>
      </w:r>
    </w:p>
    <w:p>
      <w:pPr>
        <w:pStyle w:val="ListNumber"/>
      </w:pPr>
      <w:r>
        <w:t>Remove attacker footholds and verify no residual sessions remain (re-query Authentik sessions and CloudTrail).</w:t>
      </w:r>
    </w:p>
    <w:p>
      <w:pPr>
        <w:pStyle w:val="Heading3"/>
      </w:pPr>
      <w:r>
        <w:t>Phase 5 - Recovery (T+8 h to T+48 h)</w:t>
      </w:r>
    </w:p>
    <w:p>
      <w:pPr>
        <w:pStyle w:val="ListNumber"/>
      </w:pPr>
      <w:r>
        <w:t>Re-enable the user with fresh credentials and re-enrolled MFA only after eradication is verified; monitor the account enhanced for 14 days.</w:t>
      </w:r>
    </w:p>
    <w:p>
      <w:pPr>
        <w:pStyle w:val="ListNumber"/>
      </w:pPr>
      <w:r>
        <w:t>Restore any rotated secrets across server, worker, and LDAP outpost consistently (a partial rotation breaks authentication - follow the secret-rotation runbook).</w:t>
      </w:r>
    </w:p>
    <w:p>
      <w:pPr>
        <w:pStyle w:val="ListNumber"/>
      </w:pPr>
      <w:r>
        <w:t>Bring monitoring back to normal thresholds; confirm alerting rules did not get disabled during the incident.</w:t>
      </w:r>
    </w:p>
    <w:p>
      <w:pPr>
        <w:pStyle w:val="Heading3"/>
      </w:pPr>
      <w:r>
        <w:t>Phase 6 - Post-incident review (within 5 business days)</w:t>
      </w:r>
    </w:p>
    <w:p>
      <w:pPr>
        <w:pStyle w:val="ListBullet"/>
      </w:pPr>
      <w:r>
        <w:t>Blameless postmortem: timeline, what detected it, what worked, what failed.</w:t>
      </w:r>
    </w:p>
    <w:p>
      <w:pPr>
        <w:pStyle w:val="ListBullet"/>
      </w:pPr>
      <w:r>
        <w:t>Convert findings into control improvements (e.g., the impossible-travel alert that fired here becomes a permanent, tuned rule; consider the R-02 mitigations).</w:t>
      </w:r>
    </w:p>
    <w:p>
      <w:pPr>
        <w:pStyle w:val="ListBullet"/>
      </w:pPr>
      <w:r>
        <w:t>Update this incident procedure with lessons learned and record the review in the compliance documentation package.</w:t>
      </w:r>
    </w:p>
    <w:p>
      <w:pPr>
        <w:pStyle w:val="Heading2"/>
      </w:pPr>
      <w:r>
        <w:t>5.3 Reporting Obligations and Timelines</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val="clear" w:color="auto" w:fill="1F4E79"/>
          </w:tcPr>
          <w:p>
            <w:r/>
            <w:r>
              <w:rPr>
                <w:b/>
                <w:color w:val="FFFFFF"/>
                <w:sz w:val="20"/>
              </w:rPr>
              <w:t>Audience</w:t>
            </w:r>
          </w:p>
        </w:tc>
        <w:tc>
          <w:tcPr>
            <w:tcW w:type="dxa" w:w="2160"/>
            <w:shd w:val="clear" w:color="auto" w:fill="1F4E79"/>
          </w:tcPr>
          <w:p>
            <w:r/>
            <w:r>
              <w:rPr>
                <w:b/>
                <w:color w:val="FFFFFF"/>
                <w:sz w:val="20"/>
              </w:rPr>
              <w:t>Trigger</w:t>
            </w:r>
          </w:p>
        </w:tc>
        <w:tc>
          <w:tcPr>
            <w:tcW w:type="dxa" w:w="2160"/>
            <w:shd w:val="clear" w:color="auto" w:fill="1F4E79"/>
          </w:tcPr>
          <w:p>
            <w:r/>
            <w:r>
              <w:rPr>
                <w:b/>
                <w:color w:val="FFFFFF"/>
                <w:sz w:val="20"/>
              </w:rPr>
              <w:t>Timeline</w:t>
            </w:r>
          </w:p>
        </w:tc>
        <w:tc>
          <w:tcPr>
            <w:tcW w:type="dxa" w:w="2160"/>
            <w:shd w:val="clear" w:color="auto" w:fill="1F4E79"/>
          </w:tcPr>
          <w:p>
            <w:r/>
            <w:r>
              <w:rPr>
                <w:b/>
                <w:color w:val="FFFFFF"/>
                <w:sz w:val="20"/>
              </w:rPr>
              <w:t>Content / Notes</w:t>
            </w:r>
          </w:p>
        </w:tc>
      </w:tr>
      <w:tr>
        <w:tc>
          <w:tcPr>
            <w:tcW w:type="dxa" w:w="2160"/>
          </w:tcPr>
          <w:p>
            <w:r/>
            <w:r>
              <w:rPr>
                <w:sz w:val="20"/>
              </w:rPr>
              <w:t>Internal: Incident Commander to executive sponsor</w:t>
            </w:r>
          </w:p>
        </w:tc>
        <w:tc>
          <w:tcPr>
            <w:tcW w:type="dxa" w:w="2160"/>
          </w:tcPr>
          <w:p>
            <w:r/>
            <w:r>
              <w:rPr>
                <w:sz w:val="20"/>
              </w:rPr>
              <w:t>SEV-1 declared</w:t>
            </w:r>
          </w:p>
        </w:tc>
        <w:tc>
          <w:tcPr>
            <w:tcW w:type="dxa" w:w="2160"/>
          </w:tcPr>
          <w:p>
            <w:r/>
            <w:r>
              <w:rPr>
                <w:sz w:val="20"/>
              </w:rPr>
              <w:t>Within 2 hours</w:t>
            </w:r>
          </w:p>
        </w:tc>
        <w:tc>
          <w:tcPr>
            <w:tcW w:type="dxa" w:w="2160"/>
          </w:tcPr>
          <w:p>
            <w:r/>
            <w:r>
              <w:rPr>
                <w:sz w:val="20"/>
              </w:rPr>
              <w:t>Situation, scope known so far, containment status, next update time.</w:t>
            </w:r>
          </w:p>
        </w:tc>
      </w:tr>
      <w:tr>
        <w:tc>
          <w:tcPr>
            <w:tcW w:type="dxa" w:w="2160"/>
          </w:tcPr>
          <w:p>
            <w:r/>
            <w:r>
              <w:rPr>
                <w:sz w:val="20"/>
              </w:rPr>
              <w:t>Internal: all EISP users</w:t>
            </w:r>
          </w:p>
        </w:tc>
        <w:tc>
          <w:tcPr>
            <w:tcW w:type="dxa" w:w="2160"/>
          </w:tcPr>
          <w:p>
            <w:r/>
            <w:r>
              <w:rPr>
                <w:sz w:val="20"/>
              </w:rPr>
              <w:t>Password/MFA reset campaign required</w:t>
            </w:r>
          </w:p>
        </w:tc>
        <w:tc>
          <w:tcPr>
            <w:tcW w:type="dxa" w:w="2160"/>
          </w:tcPr>
          <w:p>
            <w:r/>
            <w:r>
              <w:rPr>
                <w:sz w:val="20"/>
              </w:rPr>
              <w:t>Same business day</w:t>
            </w:r>
          </w:p>
        </w:tc>
        <w:tc>
          <w:tcPr>
            <w:tcW w:type="dxa" w:w="2160"/>
          </w:tcPr>
          <w:p>
            <w:r/>
            <w:r>
              <w:rPr>
                <w:sz w:val="20"/>
              </w:rPr>
              <w:t>What happened in plain language, what users must do, who to contact. No speculation about attribution.</w:t>
            </w:r>
          </w:p>
        </w:tc>
      </w:tr>
      <w:tr>
        <w:tc>
          <w:tcPr>
            <w:tcW w:type="dxa" w:w="2160"/>
          </w:tcPr>
          <w:p>
            <w:r/>
            <w:r>
              <w:rPr>
                <w:sz w:val="20"/>
              </w:rPr>
              <w:t>Supervisory authority (GDPR Art. 33)</w:t>
            </w:r>
          </w:p>
        </w:tc>
        <w:tc>
          <w:tcPr>
            <w:tcW w:type="dxa" w:w="2160"/>
          </w:tcPr>
          <w:p>
            <w:r/>
            <w:r>
              <w:rPr>
                <w:sz w:val="20"/>
              </w:rPr>
              <w:t>Personal data breach likely to result in risk to individuals</w:t>
            </w:r>
          </w:p>
        </w:tc>
        <w:tc>
          <w:tcPr>
            <w:tcW w:type="dxa" w:w="2160"/>
          </w:tcPr>
          <w:p>
            <w:r/>
            <w:r>
              <w:rPr>
                <w:sz w:val="20"/>
              </w:rPr>
              <w:t>Within 72 hours of awareness</w:t>
            </w:r>
          </w:p>
        </w:tc>
        <w:tc>
          <w:tcPr>
            <w:tcW w:type="dxa" w:w="2160"/>
          </w:tcPr>
          <w:p>
            <w:r/>
            <w:r>
              <w:rPr>
                <w:sz w:val="20"/>
              </w:rPr>
              <w:t>Nature, categories and approximate numbers of data subjects/records, DPO contact, likely consequences, measures taken.</w:t>
            </w:r>
          </w:p>
        </w:tc>
      </w:tr>
      <w:tr>
        <w:tc>
          <w:tcPr>
            <w:tcW w:type="dxa" w:w="2160"/>
          </w:tcPr>
          <w:p>
            <w:r/>
            <w:r>
              <w:rPr>
                <w:sz w:val="20"/>
              </w:rPr>
              <w:t>Affected individuals (GDPR Art. 34 / state notification laws)</w:t>
            </w:r>
          </w:p>
        </w:tc>
        <w:tc>
          <w:tcPr>
            <w:tcW w:type="dxa" w:w="2160"/>
          </w:tcPr>
          <w:p>
            <w:r/>
            <w:r>
              <w:rPr>
                <w:sz w:val="20"/>
              </w:rPr>
              <w:t>High risk to rights, or state-law personal-information trigger met</w:t>
            </w:r>
          </w:p>
        </w:tc>
        <w:tc>
          <w:tcPr>
            <w:tcW w:type="dxa" w:w="2160"/>
          </w:tcPr>
          <w:p>
            <w:r/>
            <w:r>
              <w:rPr>
                <w:sz w:val="20"/>
              </w:rPr>
              <w:t>Without undue/unreasonable delay</w:t>
            </w:r>
          </w:p>
        </w:tc>
        <w:tc>
          <w:tcPr>
            <w:tcW w:type="dxa" w:w="2160"/>
          </w:tcPr>
          <w:p>
            <w:r/>
            <w:r>
              <w:rPr>
                <w:sz w:val="20"/>
              </w:rPr>
              <w:t>Plain-language notice with what happened, data types involved, mitigation steps, contact point. State-specific content rules apply.</w:t>
            </w:r>
          </w:p>
        </w:tc>
      </w:tr>
      <w:tr>
        <w:tc>
          <w:tcPr>
            <w:tcW w:type="dxa" w:w="2160"/>
          </w:tcPr>
          <w:p>
            <w:r/>
            <w:r>
              <w:rPr>
                <w:sz w:val="20"/>
              </w:rPr>
              <w:t>Cyber insurance carrier</w:t>
            </w:r>
          </w:p>
        </w:tc>
        <w:tc>
          <w:tcPr>
            <w:tcW w:type="dxa" w:w="2160"/>
          </w:tcPr>
          <w:p>
            <w:r/>
            <w:r>
              <w:rPr>
                <w:sz w:val="20"/>
              </w:rPr>
              <w:t>SEV-1 or suspected data breach</w:t>
            </w:r>
          </w:p>
        </w:tc>
        <w:tc>
          <w:tcPr>
            <w:tcW w:type="dxa" w:w="2160"/>
          </w:tcPr>
          <w:p>
            <w:r/>
            <w:r>
              <w:rPr>
                <w:sz w:val="20"/>
              </w:rPr>
              <w:t>Per policy terms (commonly 24-72 hours)</w:t>
            </w:r>
          </w:p>
        </w:tc>
        <w:tc>
          <w:tcPr>
            <w:tcW w:type="dxa" w:w="2160"/>
          </w:tcPr>
          <w:p>
            <w:r/>
            <w:r>
              <w:rPr>
                <w:sz w:val="20"/>
              </w:rPr>
              <w:t>Notification as required to preserve coverage; coordinate forensics counsel.</w:t>
            </w:r>
          </w:p>
        </w:tc>
      </w:tr>
      <w:tr>
        <w:tc>
          <w:tcPr>
            <w:tcW w:type="dxa" w:w="2160"/>
          </w:tcPr>
          <w:p>
            <w:r/>
            <w:r>
              <w:rPr>
                <w:sz w:val="20"/>
              </w:rPr>
              <w:t>Law enforcement</w:t>
            </w:r>
          </w:p>
        </w:tc>
        <w:tc>
          <w:tcPr>
            <w:tcW w:type="dxa" w:w="2160"/>
          </w:tcPr>
          <w:p>
            <w:r/>
            <w:r>
              <w:rPr>
                <w:sz w:val="20"/>
              </w:rPr>
              <w:t>Criminal activity suspected (e.g., active intrusion)</w:t>
            </w:r>
          </w:p>
        </w:tc>
        <w:tc>
          <w:tcPr>
            <w:tcW w:type="dxa" w:w="2160"/>
          </w:tcPr>
          <w:p>
            <w:r/>
            <w:r>
              <w:rPr>
                <w:sz w:val="20"/>
              </w:rPr>
              <w:t>As appropriate</w:t>
            </w:r>
          </w:p>
        </w:tc>
        <w:tc>
          <w:tcPr>
            <w:tcW w:type="dxa" w:w="2160"/>
          </w:tcPr>
          <w:p>
            <w:r/>
            <w:r>
              <w:rPr>
                <w:sz w:val="20"/>
              </w:rPr>
              <w:t>Voluntary report; preserve chain of custody for any evidence shared.</w:t>
            </w:r>
          </w:p>
        </w:tc>
      </w:tr>
    </w:tbl>
    <w:p/>
    <w:p>
      <w:r>
        <w:rPr>
          <w:b w:val="0"/>
          <w:i w:val="0"/>
        </w:rPr>
        <w:t>Note on scope: EISP as built in this project is an internal/academic platform; external reporting duties activate only if real personal data of real individuals is involved. The table above is the standing procedure so the team does not have to design notification workflows during an incident.</w:t>
      </w:r>
    </w:p>
    <w:p>
      <w:pPr>
        <w:pStyle w:val="Heading2"/>
      </w:pPr>
      <w:r>
        <w:t>5.4 Roles and Responsibilities During Response</w:t>
      </w:r>
    </w:p>
    <w:tbl>
      <w:tblPr>
        <w:tblStyle w:val="TableGrid"/>
        <w:tblW w:type="auto" w:w="0"/>
        <w:jc w:val="center"/>
        <w:tblLook w:firstColumn="1" w:firstRow="1" w:lastColumn="0" w:lastRow="0" w:noHBand="0" w:noVBand="1" w:val="04A0"/>
      </w:tblPr>
      <w:tblGrid>
        <w:gridCol w:w="4320"/>
        <w:gridCol w:w="4320"/>
      </w:tblGrid>
      <w:tr>
        <w:tc>
          <w:tcPr>
            <w:tcW w:type="dxa" w:w="4320"/>
            <w:shd w:val="clear" w:color="auto" w:fill="1F4E79"/>
          </w:tcPr>
          <w:p>
            <w:r/>
            <w:r>
              <w:rPr>
                <w:b/>
                <w:color w:val="FFFFFF"/>
                <w:sz w:val="20"/>
              </w:rPr>
              <w:t>Role</w:t>
            </w:r>
          </w:p>
        </w:tc>
        <w:tc>
          <w:tcPr>
            <w:tcW w:type="dxa" w:w="4320"/>
            <w:shd w:val="clear" w:color="auto" w:fill="1F4E79"/>
          </w:tcPr>
          <w:p>
            <w:r/>
            <w:r>
              <w:rPr>
                <w:b/>
                <w:color w:val="FFFFFF"/>
                <w:sz w:val="20"/>
              </w:rPr>
              <w:t>Responsibilities</w:t>
            </w:r>
          </w:p>
        </w:tc>
      </w:tr>
      <w:tr>
        <w:tc>
          <w:tcPr>
            <w:tcW w:type="dxa" w:w="4320"/>
          </w:tcPr>
          <w:p>
            <w:r/>
            <w:r>
              <w:rPr>
                <w:sz w:val="20"/>
              </w:rPr>
              <w:t>Incident Commander (engineering lead)</w:t>
            </w:r>
          </w:p>
        </w:tc>
        <w:tc>
          <w:tcPr>
            <w:tcW w:type="dxa" w:w="4320"/>
          </w:tcPr>
          <w:p>
            <w:r/>
            <w:r>
              <w:rPr>
                <w:sz w:val="20"/>
              </w:rPr>
              <w:t>Declares severity, runs the response cadence, makes scope and recovery decisions, owns executive communications.</w:t>
            </w:r>
          </w:p>
        </w:tc>
      </w:tr>
      <w:tr>
        <w:tc>
          <w:tcPr>
            <w:tcW w:type="dxa" w:w="4320"/>
          </w:tcPr>
          <w:p>
            <w:r/>
            <w:r>
              <w:rPr>
                <w:sz w:val="20"/>
              </w:rPr>
              <w:t>IAM Engineer</w:t>
            </w:r>
          </w:p>
        </w:tc>
        <w:tc>
          <w:tcPr>
            <w:tcW w:type="dxa" w:w="4320"/>
          </w:tcPr>
          <w:p>
            <w:r/>
            <w:r>
              <w:rPr>
                <w:sz w:val="20"/>
              </w:rPr>
              <w:t>Authentik containment actions (disable user, revoke sessions/tokens), secret rotation, Terraform-mediated permission changes, evidence preservation from the identity store.</w:t>
            </w:r>
          </w:p>
        </w:tc>
      </w:tr>
      <w:tr>
        <w:tc>
          <w:tcPr>
            <w:tcW w:type="dxa" w:w="4320"/>
          </w:tcPr>
          <w:p>
            <w:r/>
            <w:r>
              <w:rPr>
                <w:sz w:val="20"/>
              </w:rPr>
              <w:t>Security Analyst</w:t>
            </w:r>
          </w:p>
        </w:tc>
        <w:tc>
          <w:tcPr>
            <w:tcW w:type="dxa" w:w="4320"/>
          </w:tcPr>
          <w:p>
            <w:r/>
            <w:r>
              <w:rPr>
                <w:sz w:val="20"/>
              </w:rPr>
              <w:t>Log correlation (Authentik events, CloudTrail, LDAP), scoping, attacker infrastructure blocking, forensic timeline.</w:t>
            </w:r>
          </w:p>
        </w:tc>
      </w:tr>
      <w:tr>
        <w:tc>
          <w:tcPr>
            <w:tcW w:type="dxa" w:w="4320"/>
          </w:tcPr>
          <w:p>
            <w:r/>
            <w:r>
              <w:rPr>
                <w:sz w:val="20"/>
              </w:rPr>
              <w:t>Communications / Privacy Lead</w:t>
            </w:r>
          </w:p>
        </w:tc>
        <w:tc>
          <w:tcPr>
            <w:tcW w:type="dxa" w:w="4320"/>
          </w:tcPr>
          <w:p>
            <w:r/>
            <w:r>
              <w:rPr>
                <w:sz w:val="20"/>
              </w:rPr>
              <w:t>Drafts internal and external notifications, tracks GDPR 72-hour and state-law clocks, liaises with legal counsel and the insurer.</w:t>
            </w:r>
          </w:p>
        </w:tc>
      </w:tr>
      <w:tr>
        <w:tc>
          <w:tcPr>
            <w:tcW w:type="dxa" w:w="4320"/>
          </w:tcPr>
          <w:p>
            <w:r/>
            <w:r>
              <w:rPr>
                <w:sz w:val="20"/>
              </w:rPr>
              <w:t>Executive Sponsor</w:t>
            </w:r>
          </w:p>
        </w:tc>
        <w:tc>
          <w:tcPr>
            <w:tcW w:type="dxa" w:w="4320"/>
          </w:tcPr>
          <w:p>
            <w:r/>
            <w:r>
              <w:rPr>
                <w:sz w:val="20"/>
              </w:rPr>
              <w:t>Authorizes disruptive containment (platform-wide session invalidation), accepts residual risk decisions, approves external notifications.</w:t>
            </w:r>
          </w:p>
        </w:tc>
      </w:tr>
    </w:tbl>
    <w:p/>
    <w:p>
      <w:pPr>
        <w:pStyle w:val="Heading2"/>
      </w:pPr>
      <w:r>
        <w:t>5.5 Follow-Up Actions</w:t>
      </w:r>
    </w:p>
    <w:p>
      <w:pPr>
        <w:pStyle w:val="ListBullet"/>
      </w:pPr>
      <w:r>
        <w:t>Complete the post-incident review within 5 business days; file the incident report (outline below) in the controlled documentation repository.</w:t>
      </w:r>
    </w:p>
    <w:p>
      <w:pPr>
        <w:pStyle w:val="ListBullet"/>
      </w:pPr>
      <w:r>
        <w:t>Turn each lesson into a tracked remediation item with owner and target date (feeds the remediation tracker in CMP-EISP-03).</w:t>
      </w:r>
    </w:p>
    <w:p>
      <w:pPr>
        <w:pStyle w:val="ListBullet"/>
      </w:pPr>
      <w:r>
        <w:t>If the vector was credential stuffing or MFA fatigue, accelerate the R-02 and R-08 treatments (phishing-resistant MFA rollout).</w:t>
      </w:r>
    </w:p>
    <w:p>
      <w:pPr>
        <w:pStyle w:val="ListBullet"/>
      </w:pPr>
      <w:r>
        <w:t>Brief the change in the next compliance status report and, if customer notification occurred, retain proof of notification per the retention schedule.</w:t>
      </w:r>
    </w:p>
    <w:p>
      <w:pPr>
        <w:pStyle w:val="Heading2"/>
      </w:pPr>
      <w:r>
        <w:t>5.6 Sample Incident Report Outline</w:t>
      </w:r>
    </w:p>
    <w:p>
      <w:r>
        <w:rPr>
          <w:b w:val="0"/>
          <w:i w:val="0"/>
        </w:rPr>
        <w:t>Every EISP incident report captures the following fields:</w:t>
      </w:r>
    </w:p>
    <w:p>
      <w:pPr>
        <w:pStyle w:val="ListNumber"/>
      </w:pPr>
      <w:r>
        <w:t>Incident ID, classification (SEV level), dates/times (detected, contained, recovered), Incident Commander.</w:t>
      </w:r>
    </w:p>
    <w:p>
      <w:pPr>
        <w:pStyle w:val="ListNumber"/>
      </w:pPr>
      <w:r>
        <w:t>Summary: what happened, in plain language (2-4 sentences).</w:t>
      </w:r>
    </w:p>
    <w:p>
      <w:pPr>
        <w:pStyle w:val="ListNumber"/>
      </w:pPr>
      <w:r>
        <w:t>Detection: how it was found (alert rule, user report), with alert IDs.</w:t>
      </w:r>
    </w:p>
    <w:p>
      <w:pPr>
        <w:pStyle w:val="ListNumber"/>
      </w:pPr>
      <w:r>
        <w:t>Scope: affected users, roles, systems, data types; confirmed vs. suspected.</w:t>
      </w:r>
    </w:p>
    <w:p>
      <w:pPr>
        <w:pStyle w:val="ListNumber"/>
      </w:pPr>
      <w:r>
        <w:t>Timeline of key events (UTC) with log references.</w:t>
      </w:r>
    </w:p>
    <w:p>
      <w:pPr>
        <w:pStyle w:val="ListNumber"/>
      </w:pPr>
      <w:r>
        <w:t>Containment, eradication, and recovery actions taken, by whom and when.</w:t>
      </w:r>
    </w:p>
    <w:p>
      <w:pPr>
        <w:pStyle w:val="ListNumber"/>
      </w:pPr>
      <w:r>
        <w:t>Root cause and initial vector analysis.</w:t>
      </w:r>
    </w:p>
    <w:p>
      <w:pPr>
        <w:pStyle w:val="ListNumber"/>
      </w:pPr>
      <w:r>
        <w:t>Regulatory assessment: which notification duties were evaluated, which triggered, and evidence of timely notice.</w:t>
      </w:r>
    </w:p>
    <w:p>
      <w:pPr>
        <w:pStyle w:val="ListNumber"/>
      </w:pPr>
      <w:r>
        <w:t>Lessons learned and control improvements (linked remediation IDs).</w:t>
      </w:r>
    </w:p>
    <w:p>
      <w:pPr>
        <w:pStyle w:val="ListNumber"/>
      </w:pPr>
      <w:r>
        <w:t>Approvals: Incident Commander and executive sponsor sign-off.</w:t>
      </w:r>
    </w:p>
    <w:p>
      <w:pPr>
        <w:pStyle w:val="Heading1"/>
      </w:pPr>
      <w:r>
        <w:t>6. Conclusion</w:t>
      </w:r>
    </w:p>
    <w:p>
      <w:r>
        <w:rPr>
          <w:b w:val="0"/>
          <w:i w:val="0"/>
        </w:rPr>
        <w:t>An identity platform is where legal obligation and engineering meet: every authentication decision EISP makes is also a compliance decision about personal data, access control, and auditability. This document has shown that EISP's obligations are concrete and traceable - PCI DSS Requirements 7, 8, 10, and 12; the NIST SP 800-53 IA and AC families adopted in EISP-IAM-004; GDPR Articles 5, 6, 32, 33, and 34 for the identity data in PostgreSQL; SOX IT general controls wherever EISP touches financially significant systems; CCPA/CPRA reasonable-security duties; and the patchwork of state breach-notification statutes. The ethical analysis demonstrates that the hardest IAM decisions are rarely technical - revoking an eight-month "temporary" admin grant is a test of professional character that all three ethical frameworks resolve the same way: revoke, replace with just-in-time elevation, and document. The risk assessment converts ten architecture-grounded risks into a prioritized treatment plan with no residual risk above Medium, and the incident scenario gives the team a rehearsed playbook for the account-takeover case, with severity tiers, phase-by-phase procedures, and notification clocks. Together with the four companion documents, this completes the compliance documentation for the Enterprise Identity Security Platform.</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F4E7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