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b/>
          <w:i w:val="0"/>
          <w:sz w:val="52"/>
        </w:rPr>
        <w:t>Risk Management Fundamentals</w:t>
      </w:r>
    </w:p>
    <w:p>
      <w:pPr>
        <w:spacing w:after="160"/>
        <w:jc w:val="center"/>
      </w:pPr>
      <w:r>
        <w:rPr>
          <w:b w:val="0"/>
          <w:i w:val="0"/>
          <w:sz w:val="32"/>
        </w:rPr>
        <w:t>Enterprise Identity Security Platform (EISP)</w:t>
      </w:r>
    </w:p>
    <w:p>
      <w:pPr>
        <w:spacing w:after="160"/>
        <w:jc w:val="center"/>
      </w:pPr>
      <w:r>
        <w:rPr>
          <w:b w:val="0"/>
          <w:i/>
          <w:sz w:val="24"/>
        </w:rPr>
        <w:t>Project Risk Framework  |  Governance  |  PCI DSS Compliance Mapping</w:t>
      </w:r>
    </w:p>
    <w:p/>
    <w:tbl>
      <w:tblPr>
        <w:tblStyle w:val="TableGrid"/>
        <w:tblW w:type="auto" w:w="0"/>
        <w:tblLook w:firstColumn="1" w:firstRow="1" w:lastColumn="0" w:lastRow="0" w:noHBand="0" w:noVBand="1" w:val="04A0"/>
      </w:tblPr>
      <w:tblGrid>
        <w:gridCol w:w="4320"/>
        <w:gridCol w:w="4320"/>
      </w:tblGrid>
      <w:tr>
        <w:tc>
          <w:tcPr>
            <w:tcW w:type="dxa" w:w="4320"/>
            <w:shd w:val="clear" w:fill="1F4E79"/>
          </w:tcPr>
          <w:p>
            <w:r/>
            <w:r>
              <w:rPr>
                <w:b/>
                <w:color w:val="FFFFFF"/>
                <w:sz w:val="20"/>
              </w:rPr>
              <w:t>Field</w:t>
            </w:r>
          </w:p>
        </w:tc>
        <w:tc>
          <w:tcPr>
            <w:tcW w:type="dxa" w:w="4320"/>
            <w:shd w:val="clear" w:fill="1F4E79"/>
          </w:tcPr>
          <w:p>
            <w:r/>
            <w:r>
              <w:rPr>
                <w:b/>
                <w:color w:val="FFFFFF"/>
                <w:sz w:val="20"/>
              </w:rPr>
              <w:t>Detail</w:t>
            </w:r>
          </w:p>
        </w:tc>
      </w:tr>
      <w:tr>
        <w:tc>
          <w:tcPr>
            <w:tcW w:type="dxa" w:w="4320"/>
          </w:tcPr>
          <w:p>
            <w:r/>
            <w:r>
              <w:rPr>
                <w:sz w:val="20"/>
              </w:rPr>
              <w:t>Document ID</w:t>
            </w:r>
          </w:p>
        </w:tc>
        <w:tc>
          <w:tcPr>
            <w:tcW w:type="dxa" w:w="4320"/>
          </w:tcPr>
          <w:p>
            <w:r/>
            <w:r>
              <w:rPr>
                <w:sz w:val="20"/>
              </w:rPr>
              <w:t>RSK-EISP-01</w:t>
            </w:r>
          </w:p>
        </w:tc>
      </w:tr>
      <w:tr>
        <w:tc>
          <w:tcPr>
            <w:tcW w:type="dxa" w:w="4320"/>
          </w:tcPr>
          <w:p>
            <w:r/>
            <w:r>
              <w:rPr>
                <w:sz w:val="20"/>
              </w:rPr>
              <w:t>Version</w:t>
            </w:r>
          </w:p>
        </w:tc>
        <w:tc>
          <w:tcPr>
            <w:tcW w:type="dxa" w:w="4320"/>
          </w:tcPr>
          <w:p>
            <w:r/>
            <w:r>
              <w:rPr>
                <w:sz w:val="20"/>
              </w:rPr>
              <w:t>1.0</w:t>
            </w:r>
          </w:p>
        </w:tc>
      </w:tr>
      <w:tr>
        <w:tc>
          <w:tcPr>
            <w:tcW w:type="dxa" w:w="4320"/>
          </w:tcPr>
          <w:p>
            <w:r/>
            <w:r>
              <w:rPr>
                <w:sz w:val="20"/>
              </w:rPr>
              <w:t>Date</w:t>
            </w:r>
          </w:p>
        </w:tc>
        <w:tc>
          <w:tcPr>
            <w:tcW w:type="dxa" w:w="4320"/>
          </w:tcPr>
          <w:p>
            <w:r/>
            <w:r>
              <w:rPr>
                <w:sz w:val="20"/>
              </w:rPr>
              <w:t>October 2026</w:t>
            </w:r>
          </w:p>
        </w:tc>
      </w:tr>
      <w:tr>
        <w:tc>
          <w:tcPr>
            <w:tcW w:type="dxa" w:w="4320"/>
          </w:tcPr>
          <w:p>
            <w:r/>
            <w:r>
              <w:rPr>
                <w:sz w:val="20"/>
              </w:rPr>
              <w:t>Prepared by</w:t>
            </w:r>
          </w:p>
        </w:tc>
        <w:tc>
          <w:tcPr>
            <w:tcW w:type="dxa" w:w="4320"/>
          </w:tcPr>
          <w:p>
            <w:r/>
            <w:r>
              <w:rPr>
                <w:sz w:val="20"/>
              </w:rPr>
              <w:t>Manisha Gupta</w:t>
            </w:r>
          </w:p>
        </w:tc>
      </w:tr>
      <w:tr>
        <w:tc>
          <w:tcPr>
            <w:tcW w:type="dxa" w:w="4320"/>
          </w:tcPr>
          <w:p>
            <w:r/>
            <w:r>
              <w:rPr>
                <w:sz w:val="20"/>
              </w:rPr>
              <w:t>Classification</w:t>
            </w:r>
          </w:p>
        </w:tc>
        <w:tc>
          <w:tcPr>
            <w:tcW w:type="dxa" w:w="4320"/>
          </w:tcPr>
          <w:p>
            <w:r/>
            <w:r>
              <w:rPr>
                <w:sz w:val="20"/>
              </w:rPr>
              <w:t>Internal</w:t>
            </w:r>
          </w:p>
        </w:tc>
      </w:tr>
      <w:tr>
        <w:tc>
          <w:tcPr>
            <w:tcW w:type="dxa" w:w="4320"/>
          </w:tcPr>
          <w:p>
            <w:r/>
            <w:r>
              <w:rPr>
                <w:sz w:val="20"/>
              </w:rPr>
              <w:t>Framework</w:t>
            </w:r>
          </w:p>
        </w:tc>
        <w:tc>
          <w:tcPr>
            <w:tcW w:type="dxa" w:w="4320"/>
          </w:tcPr>
          <w:p>
            <w:r/>
            <w:r>
              <w:rPr>
                <w:sz w:val="20"/>
              </w:rPr>
              <w:t>NIST Risk Management Framework (SP 800-37 Rev. 2)</w:t>
            </w:r>
          </w:p>
        </w:tc>
      </w:tr>
    </w:tbl>
    <w:p>
      <w:pPr>
        <w:spacing w:after="80"/>
      </w:pPr>
    </w:p>
    <w:p>
      <w:r>
        <w:br w:type="page"/>
      </w:r>
    </w:p>
    <w:p>
      <w:pPr>
        <w:pStyle w:val="Heading1"/>
      </w:pPr>
      <w:r>
        <w:t>1. Executive Summary</w:t>
      </w:r>
    </w:p>
    <w:p>
      <w:pPr>
        <w:spacing w:after="160"/>
      </w:pPr>
      <w:r>
        <w:rPr>
          <w:b w:val="0"/>
          <w:i w:val="0"/>
        </w:rPr>
        <w:t>This document establishes the risk management fundamentals for the Enterprise Identity Security Platform (EISP), a hands-on Identity and Access Management (IAM) platform built to demonstrate IAM engineering capability. EISP centers on an Authentik identity provider (IdP) deployed with Docker Compose (PostgreSQL 16, Authentik server and worker, LDAP outpost) and AWS IAM managed as code with Terraform, enforcing Zero Trust principles of least privilege, explicit deny, and permission boundaries.</w:t>
      </w:r>
    </w:p>
    <w:p>
      <w:pPr>
        <w:spacing w:after="160"/>
      </w:pPr>
      <w:r>
        <w:rPr>
          <w:b w:val="0"/>
          <w:i w:val="0"/>
        </w:rPr>
        <w:t>The document adopts the NIST Risk Management Framework (RMF) defined in NIST SP 800-37 Rev. 2 as the governing risk process for the platform. It defines program risk terminology, documents the governance structure with clear decision-making authority and escalation procedures, maps PCI DSS v4.0 obligations to EISP controls, and aligns each RMF step to EISP lifecycle phases and responsible roles in a visual form suitable for executive presentation.</w:t>
      </w:r>
    </w:p>
    <w:p>
      <w:pPr>
        <w:spacing w:after="160"/>
      </w:pPr>
      <w:r>
        <w:rPr>
          <w:b w:val="0"/>
          <w:i w:val="0"/>
        </w:rPr>
        <w:t>Risk context is drawn from the live EISP Risk Register (EISP-RR-003), which currently tracks ten risks, including two rated CRITICAL: credential theft (RR-001) and privilege escalation (RR-002). This framework provides the repeatable process by which those risks are categorized, treated, authorized, and continuously monitored.</w:t>
      </w:r>
    </w:p>
    <w:p>
      <w:pPr>
        <w:spacing w:after="160"/>
      </w:pPr>
      <w:r>
        <w:rPr>
          <w:b w:val="0"/>
          <w:i w:val="0"/>
        </w:rPr>
        <w:t>Intended audience: Executive Sponsor, System Owner, IAM engineering, security operations, and independent assessors.</w:t>
      </w:r>
    </w:p>
    <w:p>
      <w:pPr>
        <w:pStyle w:val="Heading1"/>
      </w:pPr>
      <w:r>
        <w:t>2. Risk Terminology Glossary</w:t>
      </w:r>
    </w:p>
    <w:p>
      <w:pPr>
        <w:spacing w:after="160"/>
      </w:pPr>
      <w:r>
        <w:rPr>
          <w:b w:val="0"/>
          <w:i w:val="0"/>
        </w:rPr>
        <w:t>Consistent terminology, aligned with NIST SP 800-30 and SP 800-37, is used throughout EISP risk documentation:</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
              <w:rPr>
                <w:b/>
                <w:color w:val="FFFFFF"/>
                <w:sz w:val="20"/>
              </w:rPr>
              <w:t>Term</w:t>
            </w:r>
          </w:p>
        </w:tc>
        <w:tc>
          <w:tcPr>
            <w:tcW w:type="dxa" w:w="4320"/>
            <w:shd w:val="clear" w:fill="1F4E79"/>
          </w:tcPr>
          <w:p>
            <w:r/>
            <w:r>
              <w:rPr>
                <w:b/>
                <w:color w:val="FFFFFF"/>
                <w:sz w:val="20"/>
              </w:rPr>
              <w:t>Definition</w:t>
            </w:r>
          </w:p>
        </w:tc>
      </w:tr>
      <w:tr>
        <w:tc>
          <w:tcPr>
            <w:tcW w:type="dxa" w:w="4320"/>
          </w:tcPr>
          <w:p>
            <w:r/>
            <w:r>
              <w:rPr>
                <w:sz w:val="20"/>
              </w:rPr>
              <w:t>Threat</w:t>
            </w:r>
          </w:p>
        </w:tc>
        <w:tc>
          <w:tcPr>
            <w:tcW w:type="dxa" w:w="4320"/>
          </w:tcPr>
          <w:p>
            <w:r/>
            <w:r>
              <w:rPr>
                <w:sz w:val="20"/>
              </w:rPr>
              <w:t>Any circumstance or event with the potential to adversely impact organizational operations, assets, individuals, or systems (e.g., phishing, credential stuffing).</w:t>
            </w:r>
          </w:p>
        </w:tc>
      </w:tr>
      <w:tr>
        <w:tc>
          <w:tcPr>
            <w:tcW w:type="dxa" w:w="4320"/>
          </w:tcPr>
          <w:p>
            <w:r/>
            <w:r>
              <w:rPr>
                <w:sz w:val="20"/>
              </w:rPr>
              <w:t>Vulnerability</w:t>
            </w:r>
          </w:p>
        </w:tc>
        <w:tc>
          <w:tcPr>
            <w:tcW w:type="dxa" w:w="4320"/>
          </w:tcPr>
          <w:p>
            <w:r/>
            <w:r>
              <w:rPr>
                <w:sz w:val="20"/>
              </w:rPr>
              <w:t>A weakness in an information system, procedure, or control that could be exploited by a threat source (e.g., hardcoded LDAP token in docker-compose.yml).</w:t>
            </w:r>
          </w:p>
        </w:tc>
      </w:tr>
      <w:tr>
        <w:tc>
          <w:tcPr>
            <w:tcW w:type="dxa" w:w="4320"/>
          </w:tcPr>
          <w:p>
            <w:r/>
            <w:r>
              <w:rPr>
                <w:sz w:val="20"/>
              </w:rPr>
              <w:t>Asset</w:t>
            </w:r>
          </w:p>
        </w:tc>
        <w:tc>
          <w:tcPr>
            <w:tcW w:type="dxa" w:w="4320"/>
          </w:tcPr>
          <w:p>
            <w:r/>
            <w:r>
              <w:rPr>
                <w:sz w:val="20"/>
              </w:rPr>
              <w:t>Anything of value requiring protection. EISP assets include the Authentik IdP, the PostgreSQL credential store, the LDAP directory, AWS IAM roles and policies, and Terraform state.</w:t>
            </w:r>
          </w:p>
        </w:tc>
      </w:tr>
      <w:tr>
        <w:tc>
          <w:tcPr>
            <w:tcW w:type="dxa" w:w="4320"/>
          </w:tcPr>
          <w:p>
            <w:r/>
            <w:r>
              <w:rPr>
                <w:sz w:val="20"/>
              </w:rPr>
              <w:t>Control (Safeguard)</w:t>
            </w:r>
          </w:p>
        </w:tc>
        <w:tc>
          <w:tcPr>
            <w:tcW w:type="dxa" w:w="4320"/>
          </w:tcPr>
          <w:p>
            <w:r/>
            <w:r>
              <w:rPr>
                <w:sz w:val="20"/>
              </w:rPr>
              <w:t>A prescribed measure — administrative, technical, or physical — that manages risk (e.g., MFA enforcement, permission boundaries).</w:t>
            </w:r>
          </w:p>
        </w:tc>
      </w:tr>
      <w:tr>
        <w:tc>
          <w:tcPr>
            <w:tcW w:type="dxa" w:w="4320"/>
          </w:tcPr>
          <w:p>
            <w:r/>
            <w:r>
              <w:rPr>
                <w:sz w:val="20"/>
              </w:rPr>
              <w:t>Risk</w:t>
            </w:r>
          </w:p>
        </w:tc>
        <w:tc>
          <w:tcPr>
            <w:tcW w:type="dxa" w:w="4320"/>
          </w:tcPr>
          <w:p>
            <w:r/>
            <w:r>
              <w:rPr>
                <w:sz w:val="20"/>
              </w:rPr>
              <w:t>A measure of the extent to which an entity is threatened by a potential circumstance; a function of the likelihood of occurrence and the resulting impact.</w:t>
            </w:r>
          </w:p>
        </w:tc>
      </w:tr>
      <w:tr>
        <w:tc>
          <w:tcPr>
            <w:tcW w:type="dxa" w:w="4320"/>
          </w:tcPr>
          <w:p>
            <w:r/>
            <w:r>
              <w:rPr>
                <w:sz w:val="20"/>
              </w:rPr>
              <w:t>Likelihood</w:t>
            </w:r>
          </w:p>
        </w:tc>
        <w:tc>
          <w:tcPr>
            <w:tcW w:type="dxa" w:w="4320"/>
          </w:tcPr>
          <w:p>
            <w:r/>
            <w:r>
              <w:rPr>
                <w:sz w:val="20"/>
              </w:rPr>
              <w:t>The probability that a threat will exploit a vulnerability, rated Low / Medium / High in EISP-RR-003.</w:t>
            </w:r>
          </w:p>
        </w:tc>
      </w:tr>
      <w:tr>
        <w:tc>
          <w:tcPr>
            <w:tcW w:type="dxa" w:w="4320"/>
          </w:tcPr>
          <w:p>
            <w:r/>
            <w:r>
              <w:rPr>
                <w:sz w:val="20"/>
              </w:rPr>
              <w:t>Impact</w:t>
            </w:r>
          </w:p>
        </w:tc>
        <w:tc>
          <w:tcPr>
            <w:tcW w:type="dxa" w:w="4320"/>
          </w:tcPr>
          <w:p>
            <w:r/>
            <w:r>
              <w:rPr>
                <w:sz w:val="20"/>
              </w:rPr>
              <w:t>The magnitude of harm if the risk materializes, rated Low / Medium / High / Critical in EISP-RR-003.</w:t>
            </w:r>
          </w:p>
        </w:tc>
      </w:tr>
      <w:tr>
        <w:tc>
          <w:tcPr>
            <w:tcW w:type="dxa" w:w="4320"/>
          </w:tcPr>
          <w:p>
            <w:r/>
            <w:r>
              <w:rPr>
                <w:sz w:val="20"/>
              </w:rPr>
              <w:t>Inherent Risk</w:t>
            </w:r>
          </w:p>
        </w:tc>
        <w:tc>
          <w:tcPr>
            <w:tcW w:type="dxa" w:w="4320"/>
          </w:tcPr>
          <w:p>
            <w:r/>
            <w:r>
              <w:rPr>
                <w:sz w:val="20"/>
              </w:rPr>
              <w:t>The level of risk before controls are applied.</w:t>
            </w:r>
          </w:p>
        </w:tc>
      </w:tr>
      <w:tr>
        <w:tc>
          <w:tcPr>
            <w:tcW w:type="dxa" w:w="4320"/>
          </w:tcPr>
          <w:p>
            <w:r/>
            <w:r>
              <w:rPr>
                <w:sz w:val="20"/>
              </w:rPr>
              <w:t>Residual Risk</w:t>
            </w:r>
          </w:p>
        </w:tc>
        <w:tc>
          <w:tcPr>
            <w:tcW w:type="dxa" w:w="4320"/>
          </w:tcPr>
          <w:p>
            <w:r/>
            <w:r>
              <w:rPr>
                <w:sz w:val="20"/>
              </w:rPr>
              <w:t>The risk remaining after controls are implemented; the basis for authorization decisions.</w:t>
            </w:r>
          </w:p>
        </w:tc>
      </w:tr>
      <w:tr>
        <w:tc>
          <w:tcPr>
            <w:tcW w:type="dxa" w:w="4320"/>
          </w:tcPr>
          <w:p>
            <w:r/>
            <w:r>
              <w:rPr>
                <w:sz w:val="20"/>
              </w:rPr>
              <w:t>Risk Appetite</w:t>
            </w:r>
          </w:p>
        </w:tc>
        <w:tc>
          <w:tcPr>
            <w:tcW w:type="dxa" w:w="4320"/>
          </w:tcPr>
          <w:p>
            <w:r/>
            <w:r>
              <w:rPr>
                <w:sz w:val="20"/>
              </w:rPr>
              <w:t>The broad level of risk the organization is willing to accept in pursuit of its mission.</w:t>
            </w:r>
          </w:p>
        </w:tc>
      </w:tr>
      <w:tr>
        <w:tc>
          <w:tcPr>
            <w:tcW w:type="dxa" w:w="4320"/>
          </w:tcPr>
          <w:p>
            <w:r/>
            <w:r>
              <w:rPr>
                <w:sz w:val="20"/>
              </w:rPr>
              <w:t>Risk Tolerance</w:t>
            </w:r>
          </w:p>
        </w:tc>
        <w:tc>
          <w:tcPr>
            <w:tcW w:type="dxa" w:w="4320"/>
          </w:tcPr>
          <w:p>
            <w:r/>
            <w:r>
              <w:rPr>
                <w:sz w:val="20"/>
              </w:rPr>
              <w:t>The acceptable variation around risk appetite, expressed here as the maximum residual risk level per category.</w:t>
            </w:r>
          </w:p>
        </w:tc>
      </w:tr>
      <w:tr>
        <w:tc>
          <w:tcPr>
            <w:tcW w:type="dxa" w:w="4320"/>
          </w:tcPr>
          <w:p>
            <w:r/>
            <w:r>
              <w:rPr>
                <w:sz w:val="20"/>
              </w:rPr>
              <w:t>Risk Treatment</w:t>
            </w:r>
          </w:p>
        </w:tc>
        <w:tc>
          <w:tcPr>
            <w:tcW w:type="dxa" w:w="4320"/>
          </w:tcPr>
          <w:p>
            <w:r/>
            <w:r>
              <w:rPr>
                <w:sz w:val="20"/>
              </w:rPr>
              <w:t>The chosen response to a risk: mitigate, avoid, transfer, or accept (used in EISP-RR-003).</w:t>
            </w:r>
          </w:p>
        </w:tc>
      </w:tr>
      <w:tr>
        <w:tc>
          <w:tcPr>
            <w:tcW w:type="dxa" w:w="4320"/>
          </w:tcPr>
          <w:p>
            <w:r/>
            <w:r>
              <w:rPr>
                <w:sz w:val="20"/>
              </w:rPr>
              <w:t>Control Effectiveness</w:t>
            </w:r>
          </w:p>
        </w:tc>
        <w:tc>
          <w:tcPr>
            <w:tcW w:type="dxa" w:w="4320"/>
          </w:tcPr>
          <w:p>
            <w:r/>
            <w:r>
              <w:rPr>
                <w:sz w:val="20"/>
              </w:rPr>
              <w:t>The degree to which a control achieves its intended risk-reduction outcome, determined through assessment.</w:t>
            </w:r>
          </w:p>
        </w:tc>
      </w:tr>
    </w:tbl>
    <w:p>
      <w:pPr>
        <w:spacing w:after="80"/>
      </w:pPr>
    </w:p>
    <w:p>
      <w:pPr>
        <w:pStyle w:val="Heading1"/>
      </w:pPr>
      <w:r>
        <w:t>3. Project Risk Framework: NIST RMF Applied to EISP</w:t>
      </w:r>
    </w:p>
    <w:p>
      <w:pPr>
        <w:spacing w:after="160"/>
      </w:pPr>
      <w:r>
        <w:rPr>
          <w:b w:val="0"/>
          <w:i w:val="0"/>
        </w:rPr>
        <w:t>EISP adopts the NIST Risk Management Framework (NIST SP 800-37 Rev. 2) as its governing risk process. RMF provides seven lifecycle steps that integrate security, privacy, and cyber supply chain risk management into the system development life cycle. It is the right framework for EISP because the platform is identity infrastructure: compromise of the identity provider compromises every connected workload, so risk must be managed with the same rigor applied to the systems it protects.</w:t>
      </w:r>
    </w:p>
    <w:p>
      <w:pPr>
        <w:pStyle w:val="Heading2"/>
      </w:pPr>
      <w:r>
        <w:t>3.1 Step 1 — Prepare</w:t>
      </w:r>
    </w:p>
    <w:p>
      <w:pPr>
        <w:spacing w:after="160"/>
      </w:pPr>
      <w:r>
        <w:rPr>
          <w:b w:val="0"/>
          <w:i w:val="0"/>
        </w:rPr>
        <w:t>Purpose: Establish the organizational context, roles, and risk management strategy needed to manage risk before individual systems are addressed.</w:t>
      </w:r>
    </w:p>
    <w:p>
      <w:pPr>
        <w:spacing w:after="160"/>
      </w:pPr>
      <w:r>
        <w:rPr>
          <w:b w:val="0"/>
          <w:i w:val="0"/>
        </w:rPr>
        <w:t>EISP application:</w:t>
      </w:r>
    </w:p>
    <w:p>
      <w:pPr>
        <w:pStyle w:val="ListBullet"/>
      </w:pPr>
      <w:r>
        <w:t>Mission defined: provide centralized, Zero Trust-aligned authentication (SAML, OIDC, LDAP) and AWS access management for lab and demonstration workloads.</w:t>
      </w:r>
    </w:p>
    <w:p>
      <w:pPr>
        <w:pStyle w:val="ListBullet"/>
      </w:pPr>
      <w:r>
        <w:t>Stakeholders identified: Executive Sponsor, System Owner, IAM Engineer, Security Analyst, Risk Manager, Independent Assessor, DevSecOps Engineer.</w:t>
      </w:r>
    </w:p>
    <w:p>
      <w:pPr>
        <w:pStyle w:val="ListBullet"/>
      </w:pPr>
      <w:r>
        <w:t>Risk management strategy documented: risk tolerance set at zero standing privileged access; all High and Critical residual risks require written acceptance (see Section 4.2).</w:t>
      </w:r>
    </w:p>
    <w:p>
      <w:pPr>
        <w:pStyle w:val="ListBullet"/>
      </w:pPr>
      <w:r>
        <w:t>Continuous monitoring strategy established up front, implemented through the EISP-RR-003 Monitoring SOP (weekly sign-in log reviews, weekly CloudTrail reviews, monthly repository scans).</w:t>
      </w:r>
    </w:p>
    <w:p>
      <w:pPr>
        <w:pStyle w:val="Heading2"/>
      </w:pPr>
      <w:r>
        <w:t>3.2 Step 2 — Categorize</w:t>
      </w:r>
    </w:p>
    <w:p>
      <w:pPr>
        <w:spacing w:after="160"/>
      </w:pPr>
      <w:r>
        <w:rPr>
          <w:b w:val="0"/>
          <w:i w:val="0"/>
        </w:rPr>
        <w:t>Purpose: Categorize the system and its information types by potential impact (confidentiality, integrity, availability), following FIPS 199. The high-water mark determines the control baseline.</w:t>
      </w:r>
    </w:p>
    <w:p>
      <w:pPr>
        <w:spacing w:after="160"/>
      </w:pPr>
      <w:r>
        <w:rPr>
          <w:b w:val="0"/>
          <w:i w:val="0"/>
        </w:rPr>
        <w:t>Realistic EISP scenario: the Authentik IdP is categorized as a high-value system because it is the single authentication authority for the environment. A compromise of the IdP yields attacker access to every federated application and, via the authentik-saml trust, to AWS roles.</w:t>
      </w:r>
    </w:p>
    <w:p>
      <w:pPr>
        <w:spacing w:after="160"/>
      </w:pPr>
      <w:r>
        <w:rPr>
          <w:b w:val="0"/>
          <w:i w:val="0"/>
        </w:rPr>
        <w:t>System categorization for EISP: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20"/>
              </w:rPr>
              <w:t>Information Type</w:t>
            </w:r>
          </w:p>
        </w:tc>
        <w:tc>
          <w:tcPr>
            <w:tcW w:type="dxa" w:w="1728"/>
            <w:shd w:val="clear" w:fill="1F4E79"/>
          </w:tcPr>
          <w:p>
            <w:r/>
            <w:r>
              <w:rPr>
                <w:b/>
                <w:color w:val="FFFFFF"/>
                <w:sz w:val="20"/>
              </w:rPr>
              <w:t>Confidentiality</w:t>
            </w:r>
          </w:p>
        </w:tc>
        <w:tc>
          <w:tcPr>
            <w:tcW w:type="dxa" w:w="1728"/>
            <w:shd w:val="clear" w:fill="1F4E79"/>
          </w:tcPr>
          <w:p>
            <w:r/>
            <w:r>
              <w:rPr>
                <w:b/>
                <w:color w:val="FFFFFF"/>
                <w:sz w:val="20"/>
              </w:rPr>
              <w:t>Integrity</w:t>
            </w:r>
          </w:p>
        </w:tc>
        <w:tc>
          <w:tcPr>
            <w:tcW w:type="dxa" w:w="1728"/>
            <w:shd w:val="clear" w:fill="1F4E79"/>
          </w:tcPr>
          <w:p>
            <w:r/>
            <w:r>
              <w:rPr>
                <w:b/>
                <w:color w:val="FFFFFF"/>
                <w:sz w:val="20"/>
              </w:rPr>
              <w:t>Availability</w:t>
            </w:r>
          </w:p>
        </w:tc>
        <w:tc>
          <w:tcPr>
            <w:tcW w:type="dxa" w:w="1728"/>
            <w:shd w:val="clear" w:fill="1F4E79"/>
          </w:tcPr>
          <w:p>
            <w:r/>
            <w:r>
              <w:rPr>
                <w:b/>
                <w:color w:val="FFFFFF"/>
                <w:sz w:val="20"/>
              </w:rPr>
              <w:t>Rationale</w:t>
            </w:r>
          </w:p>
        </w:tc>
      </w:tr>
      <w:tr>
        <w:tc>
          <w:tcPr>
            <w:tcW w:type="dxa" w:w="1728"/>
          </w:tcPr>
          <w:p>
            <w:r/>
            <w:r>
              <w:rPr>
                <w:sz w:val="20"/>
              </w:rPr>
              <w:t>Identity credentials and secrets (passwords, tokens, .env values)</w:t>
            </w:r>
          </w:p>
        </w:tc>
        <w:tc>
          <w:tcPr>
            <w:tcW w:type="dxa" w:w="1728"/>
          </w:tcPr>
          <w:p>
            <w:r/>
            <w:r>
              <w:rPr>
                <w:sz w:val="20"/>
              </w:rPr>
              <w:t>High</w:t>
            </w:r>
          </w:p>
        </w:tc>
        <w:tc>
          <w:tcPr>
            <w:tcW w:type="dxa" w:w="1728"/>
          </w:tcPr>
          <w:p>
            <w:r/>
            <w:r>
              <w:rPr>
                <w:sz w:val="20"/>
              </w:rPr>
              <w:t>High</w:t>
            </w:r>
          </w:p>
        </w:tc>
        <w:tc>
          <w:tcPr>
            <w:tcW w:type="dxa" w:w="1728"/>
          </w:tcPr>
          <w:p>
            <w:r/>
            <w:r>
              <w:rPr>
                <w:sz w:val="20"/>
              </w:rPr>
              <w:t>Moderate</w:t>
            </w:r>
          </w:p>
        </w:tc>
        <w:tc>
          <w:tcPr>
            <w:tcW w:type="dxa" w:w="1728"/>
          </w:tcPr>
          <w:p>
            <w:r/>
            <w:r>
              <w:rPr>
                <w:sz w:val="20"/>
              </w:rPr>
              <w:t>Disclosure or alteration enables full impersonation.</w:t>
            </w:r>
          </w:p>
        </w:tc>
      </w:tr>
      <w:tr>
        <w:tc>
          <w:tcPr>
            <w:tcW w:type="dxa" w:w="1728"/>
          </w:tcPr>
          <w:p>
            <w:r/>
            <w:r>
              <w:rPr>
                <w:sz w:val="20"/>
              </w:rPr>
              <w:t>SAML assertions and session tokens</w:t>
            </w:r>
          </w:p>
        </w:tc>
        <w:tc>
          <w:tcPr>
            <w:tcW w:type="dxa" w:w="1728"/>
          </w:tcPr>
          <w:p>
            <w:r/>
            <w:r>
              <w:rPr>
                <w:sz w:val="20"/>
              </w:rPr>
              <w:t>High</w:t>
            </w:r>
          </w:p>
        </w:tc>
        <w:tc>
          <w:tcPr>
            <w:tcW w:type="dxa" w:w="1728"/>
          </w:tcPr>
          <w:p>
            <w:r/>
            <w:r>
              <w:rPr>
                <w:sz w:val="20"/>
              </w:rPr>
              <w:t>High</w:t>
            </w:r>
          </w:p>
        </w:tc>
        <w:tc>
          <w:tcPr>
            <w:tcW w:type="dxa" w:w="1728"/>
          </w:tcPr>
          <w:p>
            <w:r/>
            <w:r>
              <w:rPr>
                <w:sz w:val="20"/>
              </w:rPr>
              <w:t>Moderate</w:t>
            </w:r>
          </w:p>
        </w:tc>
        <w:tc>
          <w:tcPr>
            <w:tcW w:type="dxa" w:w="1728"/>
          </w:tcPr>
          <w:p>
            <w:r/>
            <w:r>
              <w:rPr>
                <w:sz w:val="20"/>
              </w:rPr>
              <w:t>Forgery or replay grants unauthorized federated access.</w:t>
            </w:r>
          </w:p>
        </w:tc>
      </w:tr>
      <w:tr>
        <w:tc>
          <w:tcPr>
            <w:tcW w:type="dxa" w:w="1728"/>
          </w:tcPr>
          <w:p>
            <w:r/>
            <w:r>
              <w:rPr>
                <w:sz w:val="20"/>
              </w:rPr>
              <w:t>IAM policy definitions (Terraform code)</w:t>
            </w:r>
          </w:p>
        </w:tc>
        <w:tc>
          <w:tcPr>
            <w:tcW w:type="dxa" w:w="1728"/>
          </w:tcPr>
          <w:p>
            <w:r/>
            <w:r>
              <w:rPr>
                <w:sz w:val="20"/>
              </w:rPr>
              <w:t>Moderate</w:t>
            </w:r>
          </w:p>
        </w:tc>
        <w:tc>
          <w:tcPr>
            <w:tcW w:type="dxa" w:w="1728"/>
          </w:tcPr>
          <w:p>
            <w:r/>
            <w:r>
              <w:rPr>
                <w:sz w:val="20"/>
              </w:rPr>
              <w:t>High</w:t>
            </w:r>
          </w:p>
        </w:tc>
        <w:tc>
          <w:tcPr>
            <w:tcW w:type="dxa" w:w="1728"/>
          </w:tcPr>
          <w:p>
            <w:r/>
            <w:r>
              <w:rPr>
                <w:sz w:val="20"/>
              </w:rPr>
              <w:t>Moderate</w:t>
            </w:r>
          </w:p>
        </w:tc>
        <w:tc>
          <w:tcPr>
            <w:tcW w:type="dxa" w:w="1728"/>
          </w:tcPr>
          <w:p>
            <w:r/>
            <w:r>
              <w:rPr>
                <w:sz w:val="20"/>
              </w:rPr>
              <w:t>Tampering enables privilege escalation (RR-002).</w:t>
            </w:r>
          </w:p>
        </w:tc>
      </w:tr>
      <w:tr>
        <w:tc>
          <w:tcPr>
            <w:tcW w:type="dxa" w:w="1728"/>
          </w:tcPr>
          <w:p>
            <w:r/>
            <w:r>
              <w:rPr>
                <w:sz w:val="20"/>
              </w:rPr>
              <w:t>Authentication and access event logs</w:t>
            </w:r>
          </w:p>
        </w:tc>
        <w:tc>
          <w:tcPr>
            <w:tcW w:type="dxa" w:w="1728"/>
          </w:tcPr>
          <w:p>
            <w:r/>
            <w:r>
              <w:rPr>
                <w:sz w:val="20"/>
              </w:rPr>
              <w:t>Moderate</w:t>
            </w:r>
          </w:p>
        </w:tc>
        <w:tc>
          <w:tcPr>
            <w:tcW w:type="dxa" w:w="1728"/>
          </w:tcPr>
          <w:p>
            <w:r/>
            <w:r>
              <w:rPr>
                <w:sz w:val="20"/>
              </w:rPr>
              <w:t>High</w:t>
            </w:r>
          </w:p>
        </w:tc>
        <w:tc>
          <w:tcPr>
            <w:tcW w:type="dxa" w:w="1728"/>
          </w:tcPr>
          <w:p>
            <w:r/>
            <w:r>
              <w:rPr>
                <w:sz w:val="20"/>
              </w:rPr>
              <w:t>Moderate</w:t>
            </w:r>
          </w:p>
        </w:tc>
        <w:tc>
          <w:tcPr>
            <w:tcW w:type="dxa" w:w="1728"/>
          </w:tcPr>
          <w:p>
            <w:r/>
            <w:r>
              <w:rPr>
                <w:sz w:val="20"/>
              </w:rPr>
              <w:t>Required for forensics and non-repudiation.</w:t>
            </w:r>
          </w:p>
        </w:tc>
      </w:tr>
      <w:tr>
        <w:tc>
          <w:tcPr>
            <w:tcW w:type="dxa" w:w="1728"/>
          </w:tcPr>
          <w:p>
            <w:r/>
            <w:r>
              <w:rPr>
                <w:sz w:val="20"/>
              </w:rPr>
              <w:t>Test application data (whoami service)</w:t>
            </w:r>
          </w:p>
        </w:tc>
        <w:tc>
          <w:tcPr>
            <w:tcW w:type="dxa" w:w="1728"/>
          </w:tcPr>
          <w:p>
            <w:r/>
            <w:r>
              <w:rPr>
                <w:sz w:val="20"/>
              </w:rPr>
              <w:t>Low</w:t>
            </w:r>
          </w:p>
        </w:tc>
        <w:tc>
          <w:tcPr>
            <w:tcW w:type="dxa" w:w="1728"/>
          </w:tcPr>
          <w:p>
            <w:r/>
            <w:r>
              <w:rPr>
                <w:sz w:val="20"/>
              </w:rPr>
              <w:t>Low</w:t>
            </w:r>
          </w:p>
        </w:tc>
        <w:tc>
          <w:tcPr>
            <w:tcW w:type="dxa" w:w="1728"/>
          </w:tcPr>
          <w:p>
            <w:r/>
            <w:r>
              <w:rPr>
                <w:sz w:val="20"/>
              </w:rPr>
              <w:t>Low</w:t>
            </w:r>
          </w:p>
        </w:tc>
        <w:tc>
          <w:tcPr>
            <w:tcW w:type="dxa" w:w="1728"/>
          </w:tcPr>
          <w:p>
            <w:r/>
            <w:r>
              <w:rPr>
                <w:sz w:val="20"/>
              </w:rPr>
              <w:t>No sensitive data; disposable.</w:t>
            </w:r>
          </w:p>
        </w:tc>
      </w:tr>
    </w:tbl>
    <w:p>
      <w:pPr>
        <w:spacing w:after="80"/>
      </w:pPr>
    </w:p>
    <w:p>
      <w:pPr>
        <w:spacing w:after="160"/>
      </w:pPr>
      <w:r>
        <w:rPr>
          <w:b w:val="0"/>
          <w:i/>
        </w:rPr>
        <w:t>High-water mark: {(Confidentiality, High), (Integrity, High), (Availability, Moderate)} — EISP is categorized as a HIGH-baseline system, driven by the credential store and the IdP trust position.</w:t>
      </w:r>
    </w:p>
    <w:p>
      <w:pPr>
        <w:pStyle w:val="Heading2"/>
      </w:pPr>
      <w:r>
        <w:t>3.3 Step 3 — Select</w:t>
      </w:r>
    </w:p>
    <w:p>
      <w:pPr>
        <w:spacing w:after="160"/>
      </w:pPr>
      <w:r>
        <w:rPr>
          <w:b w:val="0"/>
          <w:i w:val="0"/>
        </w:rPr>
        <w:t>Purpose: Select, tailor, and document the security controls for the system, based on its categorization, from NIST SP 800-53 Rev. 5.</w:t>
      </w:r>
    </w:p>
    <w:p>
      <w:pPr>
        <w:spacing w:after="160"/>
      </w:pPr>
      <w:r>
        <w:rPr>
          <w:b w:val="0"/>
          <w:i w:val="0"/>
        </w:rPr>
        <w:t>EISP application — tailored control set (HIGH baseline, focused on the AC and IA families most relevant to an identity platform):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0"/>
              </w:rPr>
              <w:t>NIST Control</w:t>
            </w:r>
          </w:p>
        </w:tc>
        <w:tc>
          <w:tcPr>
            <w:tcW w:type="dxa" w:w="2880"/>
            <w:shd w:val="clear" w:fill="1F4E79"/>
          </w:tcPr>
          <w:p>
            <w:r/>
            <w:r>
              <w:rPr>
                <w:b/>
                <w:color w:val="FFFFFF"/>
                <w:sz w:val="20"/>
              </w:rPr>
              <w:t>Control Name</w:t>
            </w:r>
          </w:p>
        </w:tc>
        <w:tc>
          <w:tcPr>
            <w:tcW w:type="dxa" w:w="2880"/>
            <w:shd w:val="clear" w:fill="1F4E79"/>
          </w:tcPr>
          <w:p>
            <w:r/>
            <w:r>
              <w:rPr>
                <w:b/>
                <w:color w:val="FFFFFF"/>
                <w:sz w:val="20"/>
              </w:rPr>
              <w:t>EISP Implementation</w:t>
            </w:r>
          </w:p>
        </w:tc>
      </w:tr>
      <w:tr>
        <w:tc>
          <w:tcPr>
            <w:tcW w:type="dxa" w:w="2880"/>
          </w:tcPr>
          <w:p>
            <w:r/>
            <w:r>
              <w:rPr>
                <w:sz w:val="20"/>
              </w:rPr>
              <w:t>AC-2</w:t>
            </w:r>
          </w:p>
        </w:tc>
        <w:tc>
          <w:tcPr>
            <w:tcW w:type="dxa" w:w="2880"/>
          </w:tcPr>
          <w:p>
            <w:r/>
            <w:r>
              <w:rPr>
                <w:sz w:val="20"/>
              </w:rPr>
              <w:t>Account Management</w:t>
            </w:r>
          </w:p>
        </w:tc>
        <w:tc>
          <w:tcPr>
            <w:tcW w:type="dxa" w:w="2880"/>
          </w:tcPr>
          <w:p>
            <w:r/>
            <w:r>
              <w:rPr>
                <w:sz w:val="20"/>
              </w:rPr>
              <w:t>Authentik user lifecycle; quarterly access recertification.</w:t>
            </w:r>
          </w:p>
        </w:tc>
      </w:tr>
      <w:tr>
        <w:tc>
          <w:tcPr>
            <w:tcW w:type="dxa" w:w="2880"/>
          </w:tcPr>
          <w:p>
            <w:r/>
            <w:r>
              <w:rPr>
                <w:sz w:val="20"/>
              </w:rPr>
              <w:t>AC-3</w:t>
            </w:r>
          </w:p>
        </w:tc>
        <w:tc>
          <w:tcPr>
            <w:tcW w:type="dxa" w:w="2880"/>
          </w:tcPr>
          <w:p>
            <w:r/>
            <w:r>
              <w:rPr>
                <w:sz w:val="20"/>
              </w:rPr>
              <w:t>Access Enforcement</w:t>
            </w:r>
          </w:p>
        </w:tc>
        <w:tc>
          <w:tcPr>
            <w:tcW w:type="dxa" w:w="2880"/>
          </w:tcPr>
          <w:p>
            <w:r/>
            <w:r>
              <w:rPr>
                <w:sz w:val="20"/>
              </w:rPr>
              <w:t>Authentik authentication policies; AWS permission boundaries.</w:t>
            </w:r>
          </w:p>
        </w:tc>
      </w:tr>
      <w:tr>
        <w:tc>
          <w:tcPr>
            <w:tcW w:type="dxa" w:w="2880"/>
          </w:tcPr>
          <w:p>
            <w:r/>
            <w:r>
              <w:rPr>
                <w:sz w:val="20"/>
              </w:rPr>
              <w:t>AC-6</w:t>
            </w:r>
          </w:p>
        </w:tc>
        <w:tc>
          <w:tcPr>
            <w:tcW w:type="dxa" w:w="2880"/>
          </w:tcPr>
          <w:p>
            <w:r/>
            <w:r>
              <w:rPr>
                <w:sz w:val="20"/>
              </w:rPr>
              <w:t>Least Privilege</w:t>
            </w:r>
          </w:p>
        </w:tc>
        <w:tc>
          <w:tcPr>
            <w:tcW w:type="dxa" w:w="2880"/>
          </w:tcPr>
          <w:p>
            <w:r/>
            <w:r>
              <w:rPr>
                <w:sz w:val="20"/>
              </w:rPr>
              <w:t>Three RBAC roles (Developer, Security Analyst, IAM Engineer); EISP-PermissionBoundary as hard ceiling.</w:t>
            </w:r>
          </w:p>
        </w:tc>
      </w:tr>
      <w:tr>
        <w:tc>
          <w:tcPr>
            <w:tcW w:type="dxa" w:w="2880"/>
          </w:tcPr>
          <w:p>
            <w:r/>
            <w:r>
              <w:rPr>
                <w:sz w:val="20"/>
              </w:rPr>
              <w:t>IA-2</w:t>
            </w:r>
          </w:p>
        </w:tc>
        <w:tc>
          <w:tcPr>
            <w:tcW w:type="dxa" w:w="2880"/>
          </w:tcPr>
          <w:p>
            <w:r/>
            <w:r>
              <w:rPr>
                <w:sz w:val="20"/>
              </w:rPr>
              <w:t>Identification and Authentication</w:t>
            </w:r>
          </w:p>
        </w:tc>
        <w:tc>
          <w:tcPr>
            <w:tcW w:type="dxa" w:w="2880"/>
          </w:tcPr>
          <w:p>
            <w:r/>
            <w:r>
              <w:rPr>
                <w:sz w:val="20"/>
              </w:rPr>
              <w:t>MFA enforced for all human users in Authentik.</w:t>
            </w:r>
          </w:p>
        </w:tc>
      </w:tr>
      <w:tr>
        <w:tc>
          <w:tcPr>
            <w:tcW w:type="dxa" w:w="2880"/>
          </w:tcPr>
          <w:p>
            <w:r/>
            <w:r>
              <w:rPr>
                <w:sz w:val="20"/>
              </w:rPr>
              <w:t>IA-5</w:t>
            </w:r>
          </w:p>
        </w:tc>
        <w:tc>
          <w:tcPr>
            <w:tcW w:type="dxa" w:w="2880"/>
          </w:tcPr>
          <w:p>
            <w:r/>
            <w:r>
              <w:rPr>
                <w:sz w:val="20"/>
              </w:rPr>
              <w:t>Authenticator Management</w:t>
            </w:r>
          </w:p>
        </w:tc>
        <w:tc>
          <w:tcPr>
            <w:tcW w:type="dxa" w:w="2880"/>
          </w:tcPr>
          <w:p>
            <w:r/>
            <w:r>
              <w:rPr>
                <w:sz w:val="20"/>
              </w:rPr>
              <w:t>Password policy in Authentik; secrets via .env with rotation plan (RR-003).</w:t>
            </w:r>
          </w:p>
        </w:tc>
      </w:tr>
      <w:tr>
        <w:tc>
          <w:tcPr>
            <w:tcW w:type="dxa" w:w="2880"/>
          </w:tcPr>
          <w:p>
            <w:r/>
            <w:r>
              <w:rPr>
                <w:sz w:val="20"/>
              </w:rPr>
              <w:t>AU-2 / AU-3</w:t>
            </w:r>
          </w:p>
        </w:tc>
        <w:tc>
          <w:tcPr>
            <w:tcW w:type="dxa" w:w="2880"/>
          </w:tcPr>
          <w:p>
            <w:r/>
            <w:r>
              <w:rPr>
                <w:sz w:val="20"/>
              </w:rPr>
              <w:t>Audit Events / Content of Records</w:t>
            </w:r>
          </w:p>
        </w:tc>
        <w:tc>
          <w:tcPr>
            <w:tcW w:type="dxa" w:w="2880"/>
          </w:tcPr>
          <w:p>
            <w:r/>
            <w:r>
              <w:rPr>
                <w:sz w:val="20"/>
              </w:rPr>
              <w:t>Authentik event log; AWS CloudTrail; 1-year retention target.</w:t>
            </w:r>
          </w:p>
        </w:tc>
      </w:tr>
      <w:tr>
        <w:tc>
          <w:tcPr>
            <w:tcW w:type="dxa" w:w="2880"/>
          </w:tcPr>
          <w:p>
            <w:r/>
            <w:r>
              <w:rPr>
                <w:sz w:val="20"/>
              </w:rPr>
              <w:t>IR-4</w:t>
            </w:r>
          </w:p>
        </w:tc>
        <w:tc>
          <w:tcPr>
            <w:tcW w:type="dxa" w:w="2880"/>
          </w:tcPr>
          <w:p>
            <w:r/>
            <w:r>
              <w:rPr>
                <w:sz w:val="20"/>
              </w:rPr>
              <w:t>Incident Handling</w:t>
            </w:r>
          </w:p>
        </w:tc>
        <w:tc>
          <w:tcPr>
            <w:tcW w:type="dxa" w:w="2880"/>
          </w:tcPr>
          <w:p>
            <w:r/>
            <w:r>
              <w:rPr>
                <w:sz w:val="20"/>
              </w:rPr>
              <w:t>Documented incident response procedure with severity classification.</w:t>
            </w:r>
          </w:p>
        </w:tc>
      </w:tr>
    </w:tbl>
    <w:p>
      <w:pPr>
        <w:spacing w:after="80"/>
      </w:pPr>
    </w:p>
    <w:p>
      <w:pPr>
        <w:spacing w:after="160"/>
      </w:pPr>
      <w:r>
        <w:rPr>
          <w:b w:val="0"/>
          <w:i/>
        </w:rPr>
        <w:t>Tailoring rationale: the full HIGH baseline is acknowledged; controls are prioritized for identity-specific risk first (IA, AC), consistent with the top risks RR-001 (credential theft) and RR-002 (privilege escalation).</w:t>
      </w:r>
    </w:p>
    <w:p>
      <w:pPr>
        <w:pStyle w:val="Heading2"/>
      </w:pPr>
      <w:r>
        <w:t>3.4 Step 4 — Implement</w:t>
      </w:r>
    </w:p>
    <w:p>
      <w:pPr>
        <w:spacing w:after="160"/>
      </w:pPr>
      <w:r>
        <w:rPr>
          <w:b w:val="0"/>
          <w:i w:val="0"/>
        </w:rPr>
        <w:t>Purpose: Implement the selected controls and document how they are deployed within the system.</w:t>
      </w:r>
    </w:p>
    <w:p>
      <w:pPr>
        <w:spacing w:after="160"/>
      </w:pPr>
      <w:r>
        <w:rPr>
          <w:b w:val="0"/>
          <w:i w:val="0"/>
        </w:rPr>
        <w:t>EISP application:</w:t>
      </w:r>
    </w:p>
    <w:p>
      <w:pPr>
        <w:pStyle w:val="ListBullet"/>
      </w:pPr>
      <w:r>
        <w:t>Infrastructure as code: Terraform configuration (eisp-iam/main.tf) implements the EISP-PermissionBoundary, the authentik-saml federation trust with SAML:aud condition, 4-hour STS session limits, and default resource tags.</w:t>
      </w:r>
    </w:p>
    <w:p>
      <w:pPr>
        <w:pStyle w:val="ListBullet"/>
      </w:pPr>
      <w:r>
        <w:t>Identity controls: Authentik authentication flows and policies implement MFA, password rules, and LDAP outpost bindings; the LDAP outpost exposes directory services on ports 389/636.</w:t>
      </w:r>
    </w:p>
    <w:p>
      <w:pPr>
        <w:pStyle w:val="ListBullet"/>
      </w:pPr>
      <w:r>
        <w:t>Configuration documented in the EISP Design Document v1.1 and the IAM Policies Design Document (EISP-IAM-004).</w:t>
      </w:r>
    </w:p>
    <w:p>
      <w:pPr>
        <w:pStyle w:val="ListBullet"/>
      </w:pPr>
      <w:r>
        <w:t>Known implementation gaps are tracked as risks, not ignored: AUTHENTIK_INSECURE=true and the hardcoded LDAP token in docker-compose.yml, and the worker container running as root with the Docker socket mounted (see RR-003 context).</w:t>
      </w:r>
    </w:p>
    <w:p>
      <w:pPr>
        <w:pStyle w:val="Heading2"/>
      </w:pPr>
      <w:r>
        <w:t>3.5 Step 5 — Assess</w:t>
      </w:r>
    </w:p>
    <w:p>
      <w:pPr>
        <w:spacing w:after="160"/>
      </w:pPr>
      <w:r>
        <w:rPr>
          <w:b w:val="0"/>
          <w:i w:val="0"/>
        </w:rPr>
        <w:t>Purpose: Determine whether controls are implemented correctly, operating as intended, and producing the desired outcome — using examine, interview, and test methods.</w:t>
      </w:r>
    </w:p>
    <w:p>
      <w:pPr>
        <w:spacing w:after="160"/>
      </w:pPr>
      <w:r>
        <w:rPr>
          <w:b w:val="0"/>
          <w:i w:val="0"/>
        </w:rPr>
        <w:t>EISP application — assessment activities drawn from the live Monitoring SOP (EISP-RR-003):</w:t>
      </w:r>
    </w:p>
    <w:p>
      <w:pPr>
        <w:pStyle w:val="ListBullet"/>
      </w:pPr>
      <w:r>
        <w:t>Weekly: pull Authentik sign-in logs; investigate any failed-MFA spike above 5 attempts or impossible-travel events (RR-001).</w:t>
      </w:r>
    </w:p>
    <w:p>
      <w:pPr>
        <w:pStyle w:val="ListBullet"/>
      </w:pPr>
      <w:r>
        <w:t>Weekly: query CloudTrail for AttachRolePolicy / PutRolePolicy events; any role policy modification not tied to a change record escalates (RR-002).</w:t>
      </w:r>
    </w:p>
    <w:p>
      <w:pPr>
        <w:pStyle w:val="ListBullet"/>
      </w:pPr>
      <w:r>
        <w:t>Monthly: run TruffleHog against all EISP repositories; any credential found triggers immediate rotation (RR-003).</w:t>
      </w:r>
    </w:p>
    <w:p>
      <w:pPr>
        <w:pStyle w:val="ListBullet"/>
      </w:pPr>
      <w:r>
        <w:t>Monthly: review Wazuh detection coverage against MITRE ATT&amp;CK techniques relevant to identity attack paths (RR-010).</w:t>
      </w:r>
    </w:p>
    <w:p>
      <w:pPr>
        <w:pStyle w:val="Heading2"/>
      </w:pPr>
      <w:r>
        <w:t>3.6 Step 6 — Authorize</w:t>
      </w:r>
    </w:p>
    <w:p>
      <w:pPr>
        <w:spacing w:after="160"/>
      </w:pPr>
      <w:r>
        <w:rPr>
          <w:b w:val="0"/>
          <w:i w:val="0"/>
        </w:rPr>
        <w:t>Purpose: Senior leadership makes a risk-based authorization decision to operate the system, explicitly accepting residual risk.</w:t>
      </w:r>
    </w:p>
    <w:p>
      <w:pPr>
        <w:spacing w:after="160"/>
      </w:pPr>
      <w:r>
        <w:rPr>
          <w:b w:val="0"/>
          <w:i w:val="0"/>
        </w:rPr>
        <w:t>EISP application: the System Owner authorizes EISP operation in the lab environment. Any residual risk rated High requires a formal risk acceptance memo signed by the System Owner; any residual risk rated Critical requires written acceptance by the Executive Sponsor with documented compensating controls and a review date (see decision-authority matrix in Section 4.2). Authorization is time-bound and revisited when the system or threat landscape changes materially.</w:t>
      </w:r>
    </w:p>
    <w:p>
      <w:pPr>
        <w:pStyle w:val="Heading2"/>
      </w:pPr>
      <w:r>
        <w:t>3.7 Step 7 — Monitor</w:t>
      </w:r>
    </w:p>
    <w:p>
      <w:pPr>
        <w:spacing w:after="160"/>
      </w:pPr>
      <w:r>
        <w:rPr>
          <w:b w:val="0"/>
          <w:i w:val="0"/>
        </w:rPr>
        <w:t>Purpose: Maintain ongoing awareness of the security posture through continuous monitoring, keeping the authorization current.</w:t>
      </w:r>
    </w:p>
    <w:p>
      <w:pPr>
        <w:spacing w:after="160"/>
      </w:pPr>
      <w:r>
        <w:rPr>
          <w:b w:val="0"/>
          <w:i w:val="0"/>
        </w:rPr>
        <w:t>EISP application: continuous monitoring is operationalized through the EISP-RR-003 Monitoring SOP — defined review triggers (weekly log reviews, monthly scans), review steps, escalation conditions, and escalation targets (IAM Engineer to Security Lead). Control effectiveness metrics (e.g., MFA enrollment percentage, mean time to deprovision) are tracked and reported, and the risk register is updated as findings emerge, closing the RMF loop back to re-categorization and control selection as needed.</w:t>
      </w:r>
    </w:p>
    <w:p>
      <w:pPr>
        <w:pStyle w:val="Heading1"/>
      </w:pPr>
      <w:r>
        <w:t>4. Governance Structure</w:t>
      </w:r>
    </w:p>
    <w:p>
      <w:pPr>
        <w:pStyle w:val="Heading2"/>
      </w:pPr>
      <w:r>
        <w:t>4.1 Roles and Responsibilities</w:t>
      </w:r>
    </w:p>
    <w:tbl>
      <w:tblPr>
        <w:tblStyle w:val="TableGrid"/>
        <w:tblW w:type="auto" w:w="0"/>
        <w:tblLook w:firstColumn="1" w:firstRow="1" w:lastColumn="0" w:lastRow="0" w:noHBand="0" w:noVBand="1" w:val="04A0"/>
      </w:tblPr>
      <w:tblGrid>
        <w:gridCol w:w="4320"/>
        <w:gridCol w:w="4320"/>
      </w:tblGrid>
      <w:tr>
        <w:tc>
          <w:tcPr>
            <w:tcW w:type="dxa" w:w="4320"/>
            <w:shd w:val="clear" w:fill="1F4E79"/>
          </w:tcPr>
          <w:p>
            <w:r/>
            <w:r>
              <w:rPr>
                <w:b/>
                <w:color w:val="FFFFFF"/>
                <w:sz w:val="20"/>
              </w:rPr>
              <w:t>Role</w:t>
            </w:r>
          </w:p>
        </w:tc>
        <w:tc>
          <w:tcPr>
            <w:tcW w:type="dxa" w:w="4320"/>
            <w:shd w:val="clear" w:fill="1F4E79"/>
          </w:tcPr>
          <w:p>
            <w:r/>
            <w:r>
              <w:rPr>
                <w:b/>
                <w:color w:val="FFFFFF"/>
                <w:sz w:val="20"/>
              </w:rPr>
              <w:t>Key Responsibilities</w:t>
            </w:r>
          </w:p>
        </w:tc>
      </w:tr>
      <w:tr>
        <w:tc>
          <w:tcPr>
            <w:tcW w:type="dxa" w:w="4320"/>
          </w:tcPr>
          <w:p>
            <w:r/>
            <w:r>
              <w:rPr>
                <w:sz w:val="20"/>
              </w:rPr>
              <w:t>Executive Sponsor</w:t>
            </w:r>
          </w:p>
        </w:tc>
        <w:tc>
          <w:tcPr>
            <w:tcW w:type="dxa" w:w="4320"/>
          </w:tcPr>
          <w:p>
            <w:r/>
            <w:r>
              <w:rPr>
                <w:sz w:val="20"/>
              </w:rPr>
              <w:t>Sets organizational risk appetite; approves program funding; accepts Critical residual risk in writing; final authority on risk-vs-mission trade-offs.</w:t>
            </w:r>
          </w:p>
        </w:tc>
      </w:tr>
      <w:tr>
        <w:tc>
          <w:tcPr>
            <w:tcW w:type="dxa" w:w="4320"/>
          </w:tcPr>
          <w:p>
            <w:r/>
            <w:r>
              <w:rPr>
                <w:sz w:val="20"/>
              </w:rPr>
              <w:t>System Owner</w:t>
            </w:r>
          </w:p>
        </w:tc>
        <w:tc>
          <w:tcPr>
            <w:tcW w:type="dxa" w:w="4320"/>
          </w:tcPr>
          <w:p>
            <w:r/>
            <w:r>
              <w:rPr>
                <w:sz w:val="20"/>
              </w:rPr>
              <w:t>Owns the EISP system; approves system categorization; authorizes operation; accepts High residual risk; approves architectural changes.</w:t>
            </w:r>
          </w:p>
        </w:tc>
      </w:tr>
      <w:tr>
        <w:tc>
          <w:tcPr>
            <w:tcW w:type="dxa" w:w="4320"/>
          </w:tcPr>
          <w:p>
            <w:r/>
            <w:r>
              <w:rPr>
                <w:sz w:val="20"/>
              </w:rPr>
              <w:t>IAM Engineer</w:t>
            </w:r>
          </w:p>
        </w:tc>
        <w:tc>
          <w:tcPr>
            <w:tcW w:type="dxa" w:w="4320"/>
          </w:tcPr>
          <w:p>
            <w:r/>
            <w:r>
              <w:rPr>
                <w:sz w:val="20"/>
              </w:rPr>
              <w:t>Implements and operates identity controls (Authentik, AWS IAM); owns remediation for RR-001, RR-002, RR-004; performs weekly monitoring reviews.</w:t>
            </w:r>
          </w:p>
        </w:tc>
      </w:tr>
      <w:tr>
        <w:tc>
          <w:tcPr>
            <w:tcW w:type="dxa" w:w="4320"/>
          </w:tcPr>
          <w:p>
            <w:r/>
            <w:r>
              <w:rPr>
                <w:sz w:val="20"/>
              </w:rPr>
              <w:t>Security Analyst</w:t>
            </w:r>
          </w:p>
        </w:tc>
        <w:tc>
          <w:tcPr>
            <w:tcW w:type="dxa" w:w="4320"/>
          </w:tcPr>
          <w:p>
            <w:r/>
            <w:r>
              <w:rPr>
                <w:sz w:val="20"/>
              </w:rPr>
              <w:t>Operates detection content (RR-010); triages authentication alerts; keeps phishing simulations within lab scope (RR-009).</w:t>
            </w:r>
          </w:p>
        </w:tc>
      </w:tr>
      <w:tr>
        <w:tc>
          <w:tcPr>
            <w:tcW w:type="dxa" w:w="4320"/>
          </w:tcPr>
          <w:p>
            <w:r/>
            <w:r>
              <w:rPr>
                <w:sz w:val="20"/>
              </w:rPr>
              <w:t>Risk Manager</w:t>
            </w:r>
          </w:p>
        </w:tc>
        <w:tc>
          <w:tcPr>
            <w:tcW w:type="dxa" w:w="4320"/>
          </w:tcPr>
          <w:p>
            <w:r/>
            <w:r>
              <w:rPr>
                <w:sz w:val="20"/>
              </w:rPr>
              <w:t>Maintains the risk register (EISP-RR-003); facilitates risk assessments; tracks remediation to closure; reports risk posture upward.</w:t>
            </w:r>
          </w:p>
        </w:tc>
      </w:tr>
      <w:tr>
        <w:tc>
          <w:tcPr>
            <w:tcW w:type="dxa" w:w="4320"/>
          </w:tcPr>
          <w:p>
            <w:r/>
            <w:r>
              <w:rPr>
                <w:sz w:val="20"/>
              </w:rPr>
              <w:t>DevSecOps Engineer</w:t>
            </w:r>
          </w:p>
        </w:tc>
        <w:tc>
          <w:tcPr>
            <w:tcW w:type="dxa" w:w="4320"/>
          </w:tcPr>
          <w:p>
            <w:r/>
            <w:r>
              <w:rPr>
                <w:sz w:val="20"/>
              </w:rPr>
              <w:t>Owns secrets management and pipeline security (RR-003, RR-005); container and supply-chain hygiene for EISP images.</w:t>
            </w:r>
          </w:p>
        </w:tc>
      </w:tr>
      <w:tr>
        <w:tc>
          <w:tcPr>
            <w:tcW w:type="dxa" w:w="4320"/>
          </w:tcPr>
          <w:p>
            <w:r/>
            <w:r>
              <w:rPr>
                <w:sz w:val="20"/>
              </w:rPr>
              <w:t>Independent Assessor</w:t>
            </w:r>
          </w:p>
        </w:tc>
        <w:tc>
          <w:tcPr>
            <w:tcW w:type="dxa" w:w="4320"/>
          </w:tcPr>
          <w:p>
            <w:r/>
            <w:r>
              <w:rPr>
                <w:sz w:val="20"/>
              </w:rPr>
              <w:t>Conducts objective control assessments; reports findings free of operational bias; validates remediation effectiveness.</w:t>
            </w:r>
          </w:p>
        </w:tc>
      </w:tr>
    </w:tbl>
    <w:p>
      <w:pPr>
        <w:spacing w:after="80"/>
      </w:pPr>
    </w:p>
    <w:p>
      <w:pPr>
        <w:pStyle w:val="Heading2"/>
      </w:pPr>
      <w:r>
        <w:t>4.2 Decision-Making Authority</w:t>
      </w:r>
    </w:p>
    <w:p>
      <w:pPr>
        <w:spacing w:after="160"/>
      </w:pPr>
      <w:r>
        <w:rPr>
          <w:b w:val="0"/>
          <w:i w:val="0"/>
        </w:rPr>
        <w:t>Risk acceptance authority — no risk above the stated level may be accepted without the named authority and documentation: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b/>
                <w:color w:val="FFFFFF"/>
                <w:sz w:val="20"/>
              </w:rPr>
              <w:t>Residual Risk Level</w:t>
            </w:r>
          </w:p>
        </w:tc>
        <w:tc>
          <w:tcPr>
            <w:tcW w:type="dxa" w:w="2880"/>
            <w:shd w:val="clear" w:fill="1F4E79"/>
          </w:tcPr>
          <w:p>
            <w:r/>
            <w:r>
              <w:rPr>
                <w:b/>
                <w:color w:val="FFFFFF"/>
                <w:sz w:val="20"/>
              </w:rPr>
              <w:t>Acceptance Authority</w:t>
            </w:r>
          </w:p>
        </w:tc>
        <w:tc>
          <w:tcPr>
            <w:tcW w:type="dxa" w:w="2880"/>
            <w:shd w:val="clear" w:fill="1F4E79"/>
          </w:tcPr>
          <w:p>
            <w:r/>
            <w:r>
              <w:rPr>
                <w:b/>
                <w:color w:val="FFFFFF"/>
                <w:sz w:val="20"/>
              </w:rPr>
              <w:t>Required Documentation</w:t>
            </w:r>
          </w:p>
        </w:tc>
      </w:tr>
      <w:tr>
        <w:tc>
          <w:tcPr>
            <w:tcW w:type="dxa" w:w="2880"/>
          </w:tcPr>
          <w:p>
            <w:r/>
            <w:r>
              <w:rPr>
                <w:sz w:val="20"/>
              </w:rPr>
              <w:t>Low</w:t>
            </w:r>
          </w:p>
        </w:tc>
        <w:tc>
          <w:tcPr>
            <w:tcW w:type="dxa" w:w="2880"/>
          </w:tcPr>
          <w:p>
            <w:r/>
            <w:r>
              <w:rPr>
                <w:sz w:val="20"/>
              </w:rPr>
              <w:t>IAM Engineer</w:t>
            </w:r>
          </w:p>
        </w:tc>
        <w:tc>
          <w:tcPr>
            <w:tcW w:type="dxa" w:w="2880"/>
          </w:tcPr>
          <w:p>
            <w:r/>
            <w:r>
              <w:rPr>
                <w:sz w:val="20"/>
              </w:rPr>
              <w:t>Risk register entry with treatment and review date.</w:t>
            </w:r>
          </w:p>
        </w:tc>
      </w:tr>
      <w:tr>
        <w:tc>
          <w:tcPr>
            <w:tcW w:type="dxa" w:w="2880"/>
          </w:tcPr>
          <w:p>
            <w:r/>
            <w:r>
              <w:rPr>
                <w:sz w:val="20"/>
              </w:rPr>
              <w:t>Medium</w:t>
            </w:r>
          </w:p>
        </w:tc>
        <w:tc>
          <w:tcPr>
            <w:tcW w:type="dxa" w:w="2880"/>
          </w:tcPr>
          <w:p>
            <w:r/>
            <w:r>
              <w:rPr>
                <w:sz w:val="20"/>
              </w:rPr>
              <w:t>Risk Manager + System Owner</w:t>
            </w:r>
          </w:p>
        </w:tc>
        <w:tc>
          <w:tcPr>
            <w:tcW w:type="dxa" w:w="2880"/>
          </w:tcPr>
          <w:p>
            <w:r/>
            <w:r>
              <w:rPr>
                <w:sz w:val="20"/>
              </w:rPr>
              <w:t>Written risk acceptance note; compensating controls listed.</w:t>
            </w:r>
          </w:p>
        </w:tc>
      </w:tr>
      <w:tr>
        <w:tc>
          <w:tcPr>
            <w:tcW w:type="dxa" w:w="2880"/>
          </w:tcPr>
          <w:p>
            <w:r/>
            <w:r>
              <w:rPr>
                <w:sz w:val="20"/>
              </w:rPr>
              <w:t>High</w:t>
            </w:r>
          </w:p>
        </w:tc>
        <w:tc>
          <w:tcPr>
            <w:tcW w:type="dxa" w:w="2880"/>
          </w:tcPr>
          <w:p>
            <w:r/>
            <w:r>
              <w:rPr>
                <w:sz w:val="20"/>
              </w:rPr>
              <w:t>System Owner</w:t>
            </w:r>
          </w:p>
        </w:tc>
        <w:tc>
          <w:tcPr>
            <w:tcW w:type="dxa" w:w="2880"/>
          </w:tcPr>
          <w:p>
            <w:r/>
            <w:r>
              <w:rPr>
                <w:sz w:val="20"/>
              </w:rPr>
              <w:t>Formal risk acceptance memo; compensating controls; review date within 90 days.</w:t>
            </w:r>
          </w:p>
        </w:tc>
      </w:tr>
      <w:tr>
        <w:tc>
          <w:tcPr>
            <w:tcW w:type="dxa" w:w="2880"/>
          </w:tcPr>
          <w:p>
            <w:r/>
            <w:r>
              <w:rPr>
                <w:sz w:val="20"/>
              </w:rPr>
              <w:t>Critical</w:t>
            </w:r>
          </w:p>
        </w:tc>
        <w:tc>
          <w:tcPr>
            <w:tcW w:type="dxa" w:w="2880"/>
          </w:tcPr>
          <w:p>
            <w:r/>
            <w:r>
              <w:rPr>
                <w:sz w:val="20"/>
              </w:rPr>
              <w:t>Executive Sponsor</w:t>
            </w:r>
          </w:p>
        </w:tc>
        <w:tc>
          <w:tcPr>
            <w:tcW w:type="dxa" w:w="2880"/>
          </w:tcPr>
          <w:p>
            <w:r/>
            <w:r>
              <w:rPr>
                <w:sz w:val="20"/>
              </w:rPr>
              <w:t>Formal risk acceptance memo; compensating controls; review date within 30 days; briefing recorded.</w:t>
            </w:r>
          </w:p>
        </w:tc>
      </w:tr>
    </w:tbl>
    <w:p>
      <w:pPr>
        <w:spacing w:after="80"/>
      </w:pPr>
    </w:p>
    <w:p>
      <w:pPr>
        <w:spacing w:after="160"/>
      </w:pPr>
      <w:r>
        <w:rPr>
          <w:b w:val="0"/>
          <w:i/>
        </w:rPr>
        <w:t>Change authority: standard changes follow the documented change workflow with IAM Engineer implementation and System Owner approval. Emergency changes during an active incident may be approved verbally by the IAM Engineer and Security Analyst jointly, with retroactive documentation within 24 hours.</w:t>
      </w:r>
    </w:p>
    <w:p>
      <w:pPr>
        <w:pStyle w:val="Heading2"/>
      </w:pPr>
      <w:r>
        <w:t>4.3 Escalation Procedures</w:t>
      </w:r>
    </w:p>
    <w:p>
      <w:pPr>
        <w:spacing w:after="160"/>
      </w:pPr>
      <w:r>
        <w:rPr>
          <w:b w:val="0"/>
          <w:i w:val="0"/>
        </w:rPr>
        <w:t>Time-bound escalation path for risk and security events affecting EISP:</w:t>
      </w:r>
    </w:p>
    <w:p>
      <w:pPr>
        <w:pStyle w:val="ListNumber"/>
      </w:pPr>
      <w:r>
        <w:t>Detection and triage (0-1 hour): the discovering engineer or analyst triages the event, classifies severity, and opens an incident record.</w:t>
      </w:r>
    </w:p>
    <w:p>
      <w:pPr>
        <w:pStyle w:val="ListNumber"/>
      </w:pPr>
      <w:r>
        <w:t>Initial escalation (within 1 hour for High/Critical): notify the Risk Manager and System Owner; begin containment.</w:t>
      </w:r>
    </w:p>
    <w:p>
      <w:pPr>
        <w:pStyle w:val="ListNumber"/>
      </w:pPr>
      <w:r>
        <w:t>Impact assessment (within 4 hours): determine scope and impact; confirm whether customer or credential data is affected.</w:t>
      </w:r>
    </w:p>
    <w:p>
      <w:pPr>
        <w:pStyle w:val="ListNumber"/>
      </w:pPr>
      <w:r>
        <w:t>Executive escalation (within 24 hours, immediately for Critical): brief the Executive Sponsor; obtain risk acceptance decision if continued operation is required.</w:t>
      </w:r>
    </w:p>
    <w:p>
      <w:pPr>
        <w:pStyle w:val="ListNumber"/>
      </w:pPr>
      <w:r>
        <w:t>External escalation (as required): notify acquirers, regulators, or law enforcement per the incident response plan and legal obligations.</w:t>
      </w:r>
    </w:p>
    <w:p>
      <w:pPr>
        <w:pStyle w:val="ListNumber"/>
      </w:pPr>
      <w:r>
        <w:t>Post-incident (within 5 business days): conduct lessons-learned review; update EISP-RR-003 and control documentation.</w:t>
      </w:r>
    </w:p>
    <w:p>
      <w:pPr>
        <w:spacing w:after="160"/>
      </w:pPr>
      <w:r>
        <w:rPr>
          <w:b w:val="0"/>
          <w:i/>
        </w:rPr>
        <w:t>Standing escalation triggers from the Monitoring SOP apply continuously — for example, IAM Engineer escalates to the Security Lead on any failed-MFA spike above 5 attempts, any role policy modification not tied to a change record, or any credential discovered in a repository scan.</w:t>
      </w:r>
    </w:p>
    <w:p>
      <w:pPr>
        <w:pStyle w:val="Heading1"/>
      </w:pPr>
      <w:r>
        <w:t>5. Regulatory Compliance Matrix — PCI DSS v4.0</w:t>
      </w:r>
    </w:p>
    <w:p>
      <w:pPr>
        <w:spacing w:after="160"/>
      </w:pPr>
      <w:r>
        <w:rPr>
          <w:b w:val="0"/>
          <w:i w:val="0"/>
        </w:rPr>
        <w:t>EISP is an identity platform: it authenticates users and administrators of systems that may store, process, or transmit cardholder data. PCI DSS v4.0 access-control requirements therefore apply to EISP itself. Requirements 7, 8, 10, and 12 are analyzed in depth below; remaining requirements are summarized.</w:t>
      </w:r>
    </w:p>
    <w:p>
      <w:pPr>
        <w:spacing w:after="160"/>
      </w:pPr>
      <w:r>
        <w:rPr>
          <w:b w:val="0"/>
          <w:i/>
        </w:rPr>
        <w:t>Status legend: Implemented — control in place with evidence. Partially Implemented — control defined, gaps tracked. Planned — scheduled remediation. N/A — not applicable to EISP scope.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1F4E79"/>
          </w:tcPr>
          <w:p>
            <w:r/>
            <w:r>
              <w:rPr>
                <w:b/>
                <w:color w:val="FFFFFF"/>
                <w:sz w:val="20"/>
              </w:rPr>
              <w:t>Req</w:t>
            </w:r>
          </w:p>
        </w:tc>
        <w:tc>
          <w:tcPr>
            <w:tcW w:type="dxa" w:w="1728"/>
            <w:shd w:val="clear" w:fill="1F4E79"/>
          </w:tcPr>
          <w:p>
            <w:r/>
            <w:r>
              <w:rPr>
                <w:b/>
                <w:color w:val="FFFFFF"/>
                <w:sz w:val="20"/>
              </w:rPr>
              <w:t>Requirement (summary)</w:t>
            </w:r>
          </w:p>
        </w:tc>
        <w:tc>
          <w:tcPr>
            <w:tcW w:type="dxa" w:w="1728"/>
            <w:shd w:val="clear" w:fill="1F4E79"/>
          </w:tcPr>
          <w:p>
            <w:r/>
            <w:r>
              <w:rPr>
                <w:b/>
                <w:color w:val="FFFFFF"/>
                <w:sz w:val="20"/>
              </w:rPr>
              <w:t>EISP Applicability</w:t>
            </w:r>
          </w:p>
        </w:tc>
        <w:tc>
          <w:tcPr>
            <w:tcW w:type="dxa" w:w="1728"/>
            <w:shd w:val="clear" w:fill="1F4E79"/>
          </w:tcPr>
          <w:p>
            <w:r/>
            <w:r>
              <w:rPr>
                <w:b/>
                <w:color w:val="FFFFFF"/>
                <w:sz w:val="20"/>
              </w:rPr>
              <w:t>Owner</w:t>
            </w:r>
          </w:p>
        </w:tc>
        <w:tc>
          <w:tcPr>
            <w:tcW w:type="dxa" w:w="1728"/>
            <w:shd w:val="clear" w:fill="1F4E79"/>
          </w:tcPr>
          <w:p>
            <w:r/>
            <w:r>
              <w:rPr>
                <w:b/>
                <w:color w:val="FFFFFF"/>
                <w:sz w:val="20"/>
              </w:rPr>
              <w:t>Status</w:t>
            </w:r>
          </w:p>
        </w:tc>
      </w:tr>
      <w:tr>
        <w:tc>
          <w:tcPr>
            <w:tcW w:type="dxa" w:w="1728"/>
          </w:tcPr>
          <w:p>
            <w:r/>
            <w:r>
              <w:rPr>
                <w:sz w:val="20"/>
              </w:rPr>
              <w:t>7</w:t>
            </w:r>
          </w:p>
        </w:tc>
        <w:tc>
          <w:tcPr>
            <w:tcW w:type="dxa" w:w="1728"/>
          </w:tcPr>
          <w:p>
            <w:r/>
            <w:r>
              <w:rPr>
                <w:sz w:val="20"/>
              </w:rPr>
              <w:t>Restrict access to cardholder data by business need-to-know (roles, least privilege, periodic reviews)</w:t>
            </w:r>
          </w:p>
        </w:tc>
        <w:tc>
          <w:tcPr>
            <w:tcW w:type="dxa" w:w="1728"/>
          </w:tcPr>
          <w:p>
            <w:r/>
            <w:r>
              <w:rPr>
                <w:sz w:val="20"/>
              </w:rPr>
              <w:t>Three RBAC roles with least privilege; EISP-PermissionBoundary as hard ceiling; quarterly recertification procedure defined</w:t>
            </w:r>
          </w:p>
        </w:tc>
        <w:tc>
          <w:tcPr>
            <w:tcW w:type="dxa" w:w="1728"/>
          </w:tcPr>
          <w:p>
            <w:r/>
            <w:r>
              <w:rPr>
                <w:sz w:val="20"/>
              </w:rPr>
              <w:t>IAM Engineer</w:t>
            </w:r>
          </w:p>
        </w:tc>
        <w:tc>
          <w:tcPr>
            <w:tcW w:type="dxa" w:w="1728"/>
          </w:tcPr>
          <w:p>
            <w:r/>
            <w:r>
              <w:rPr>
                <w:sz w:val="20"/>
              </w:rPr>
              <w:t>Implemented</w:t>
            </w:r>
          </w:p>
        </w:tc>
      </w:tr>
      <w:tr>
        <w:tc>
          <w:tcPr>
            <w:tcW w:type="dxa" w:w="1728"/>
          </w:tcPr>
          <w:p>
            <w:r/>
            <w:r>
              <w:rPr>
                <w:sz w:val="20"/>
              </w:rPr>
              <w:t>8</w:t>
            </w:r>
          </w:p>
        </w:tc>
        <w:tc>
          <w:tcPr>
            <w:tcW w:type="dxa" w:w="1728"/>
          </w:tcPr>
          <w:p>
            <w:r/>
            <w:r>
              <w:rPr>
                <w:sz w:val="20"/>
              </w:rPr>
              <w:t>Identify and authenticate access to system components (unique IDs, MFA, password controls)</w:t>
            </w:r>
          </w:p>
        </w:tc>
        <w:tc>
          <w:tcPr>
            <w:tcW w:type="dxa" w:w="1728"/>
          </w:tcPr>
          <w:p>
            <w:r/>
            <w:r>
              <w:rPr>
                <w:sz w:val="20"/>
              </w:rPr>
              <w:t>Authentik enforces unique user IDs and MFA for human users; LDAP bind authentication; .env secret handling tracked under RR-003</w:t>
            </w:r>
          </w:p>
        </w:tc>
        <w:tc>
          <w:tcPr>
            <w:tcW w:type="dxa" w:w="1728"/>
          </w:tcPr>
          <w:p>
            <w:r/>
            <w:r>
              <w:rPr>
                <w:sz w:val="20"/>
              </w:rPr>
              <w:t>IAM Engineer</w:t>
            </w:r>
          </w:p>
        </w:tc>
        <w:tc>
          <w:tcPr>
            <w:tcW w:type="dxa" w:w="1728"/>
          </w:tcPr>
          <w:p>
            <w:r/>
            <w:r>
              <w:rPr>
                <w:sz w:val="20"/>
              </w:rPr>
              <w:t>Partially Implemented</w:t>
            </w:r>
          </w:p>
        </w:tc>
      </w:tr>
      <w:tr>
        <w:tc>
          <w:tcPr>
            <w:tcW w:type="dxa" w:w="1728"/>
          </w:tcPr>
          <w:p>
            <w:r/>
            <w:r>
              <w:rPr>
                <w:sz w:val="20"/>
              </w:rPr>
              <w:t>10</w:t>
            </w:r>
          </w:p>
        </w:tc>
        <w:tc>
          <w:tcPr>
            <w:tcW w:type="dxa" w:w="1728"/>
          </w:tcPr>
          <w:p>
            <w:r/>
            <w:r>
              <w:rPr>
                <w:sz w:val="20"/>
              </w:rPr>
              <w:t>Log and monitor all access to system components and cardholder data</w:t>
            </w:r>
          </w:p>
        </w:tc>
        <w:tc>
          <w:tcPr>
            <w:tcW w:type="dxa" w:w="1728"/>
          </w:tcPr>
          <w:p>
            <w:r/>
            <w:r>
              <w:rPr>
                <w:sz w:val="20"/>
              </w:rPr>
              <w:t>Authentik authentication event logging; AWS CloudTrail for IAM changes; weekly review cadence defined</w:t>
            </w:r>
          </w:p>
        </w:tc>
        <w:tc>
          <w:tcPr>
            <w:tcW w:type="dxa" w:w="1728"/>
          </w:tcPr>
          <w:p>
            <w:r/>
            <w:r>
              <w:rPr>
                <w:sz w:val="20"/>
              </w:rPr>
              <w:t>Security Analyst</w:t>
            </w:r>
          </w:p>
        </w:tc>
        <w:tc>
          <w:tcPr>
            <w:tcW w:type="dxa" w:w="1728"/>
          </w:tcPr>
          <w:p>
            <w:r/>
            <w:r>
              <w:rPr>
                <w:sz w:val="20"/>
              </w:rPr>
              <w:t>Partially Implemented</w:t>
            </w:r>
          </w:p>
        </w:tc>
      </w:tr>
      <w:tr>
        <w:tc>
          <w:tcPr>
            <w:tcW w:type="dxa" w:w="1728"/>
          </w:tcPr>
          <w:p>
            <w:r/>
            <w:r>
              <w:rPr>
                <w:sz w:val="20"/>
              </w:rPr>
              <w:t>12</w:t>
            </w:r>
          </w:p>
        </w:tc>
        <w:tc>
          <w:tcPr>
            <w:tcW w:type="dxa" w:w="1728"/>
          </w:tcPr>
          <w:p>
            <w:r/>
            <w:r>
              <w:rPr>
                <w:sz w:val="20"/>
              </w:rPr>
              <w:t>Support information security with policies and programs (risk assessments, incident response, training)</w:t>
            </w:r>
          </w:p>
        </w:tc>
        <w:tc>
          <w:tcPr>
            <w:tcW w:type="dxa" w:w="1728"/>
          </w:tcPr>
          <w:p>
            <w:r/>
            <w:r>
              <w:rPr>
                <w:sz w:val="20"/>
              </w:rPr>
              <w:t>EISP-IAM-004 policy; EISP-RR-003 risk register with Monitoring SOP; incident response procedure documented</w:t>
            </w:r>
          </w:p>
        </w:tc>
        <w:tc>
          <w:tcPr>
            <w:tcW w:type="dxa" w:w="1728"/>
          </w:tcPr>
          <w:p>
            <w:r/>
            <w:r>
              <w:rPr>
                <w:sz w:val="20"/>
              </w:rPr>
              <w:t>Risk Manager</w:t>
            </w:r>
          </w:p>
        </w:tc>
        <w:tc>
          <w:tcPr>
            <w:tcW w:type="dxa" w:w="1728"/>
          </w:tcPr>
          <w:p>
            <w:r/>
            <w:r>
              <w:rPr>
                <w:sz w:val="20"/>
              </w:rPr>
              <w:t>Implemented</w:t>
            </w:r>
          </w:p>
        </w:tc>
      </w:tr>
      <w:tr>
        <w:tc>
          <w:tcPr>
            <w:tcW w:type="dxa" w:w="1728"/>
          </w:tcPr>
          <w:p>
            <w:r/>
            <w:r>
              <w:rPr>
                <w:sz w:val="20"/>
              </w:rPr>
              <w:t>1-2</w:t>
            </w:r>
          </w:p>
        </w:tc>
        <w:tc>
          <w:tcPr>
            <w:tcW w:type="dxa" w:w="1728"/>
          </w:tcPr>
          <w:p>
            <w:r/>
            <w:r>
              <w:rPr>
                <w:sz w:val="20"/>
              </w:rPr>
              <w:t>Network security controls; apply secure configurations</w:t>
            </w:r>
          </w:p>
        </w:tc>
        <w:tc>
          <w:tcPr>
            <w:tcW w:type="dxa" w:w="1728"/>
          </w:tcPr>
          <w:p>
            <w:r/>
            <w:r>
              <w:rPr>
                <w:sz w:val="20"/>
              </w:rPr>
              <w:t>Supporting: Docker network segmentation for EISP services; hardening tracked as improvement item</w:t>
            </w:r>
          </w:p>
        </w:tc>
        <w:tc>
          <w:tcPr>
            <w:tcW w:type="dxa" w:w="1728"/>
          </w:tcPr>
          <w:p>
            <w:r/>
            <w:r>
              <w:rPr>
                <w:sz w:val="20"/>
              </w:rPr>
              <w:t>DevSecOps Engineer</w:t>
            </w:r>
          </w:p>
        </w:tc>
        <w:tc>
          <w:tcPr>
            <w:tcW w:type="dxa" w:w="1728"/>
          </w:tcPr>
          <w:p>
            <w:r/>
            <w:r>
              <w:rPr>
                <w:sz w:val="20"/>
              </w:rPr>
              <w:t>Partially Implemented</w:t>
            </w:r>
          </w:p>
        </w:tc>
      </w:tr>
      <w:tr>
        <w:tc>
          <w:tcPr>
            <w:tcW w:type="dxa" w:w="1728"/>
          </w:tcPr>
          <w:p>
            <w:r/>
            <w:r>
              <w:rPr>
                <w:sz w:val="20"/>
              </w:rPr>
              <w:t>3-4</w:t>
            </w:r>
          </w:p>
        </w:tc>
        <w:tc>
          <w:tcPr>
            <w:tcW w:type="dxa" w:w="1728"/>
          </w:tcPr>
          <w:p>
            <w:r/>
            <w:r>
              <w:rPr>
                <w:sz w:val="20"/>
              </w:rPr>
              <w:t>Protect stored/transmitted account data with strong cryptography</w:t>
            </w:r>
          </w:p>
        </w:tc>
        <w:tc>
          <w:tcPr>
            <w:tcW w:type="dxa" w:w="1728"/>
          </w:tcPr>
          <w:p>
            <w:r/>
            <w:r>
              <w:rPr>
                <w:sz w:val="20"/>
              </w:rPr>
              <w:t>Supporting: PostgreSQL credential store encryption; LDAPS on port 636 available (note: AUTHENTIK_INSECURE=true flagged as gap)</w:t>
            </w:r>
          </w:p>
        </w:tc>
        <w:tc>
          <w:tcPr>
            <w:tcW w:type="dxa" w:w="1728"/>
          </w:tcPr>
          <w:p>
            <w:r/>
            <w:r>
              <w:rPr>
                <w:sz w:val="20"/>
              </w:rPr>
              <w:t>IAM Engineer</w:t>
            </w:r>
          </w:p>
        </w:tc>
        <w:tc>
          <w:tcPr>
            <w:tcW w:type="dxa" w:w="1728"/>
          </w:tcPr>
          <w:p>
            <w:r/>
            <w:r>
              <w:rPr>
                <w:sz w:val="20"/>
              </w:rPr>
              <w:t>Partially Implemented</w:t>
            </w:r>
          </w:p>
        </w:tc>
      </w:tr>
      <w:tr>
        <w:tc>
          <w:tcPr>
            <w:tcW w:type="dxa" w:w="1728"/>
          </w:tcPr>
          <w:p>
            <w:r/>
            <w:r>
              <w:rPr>
                <w:sz w:val="20"/>
              </w:rPr>
              <w:t>5-6</w:t>
            </w:r>
          </w:p>
        </w:tc>
        <w:tc>
          <w:tcPr>
            <w:tcW w:type="dxa" w:w="1728"/>
          </w:tcPr>
          <w:p>
            <w:r/>
            <w:r>
              <w:rPr>
                <w:sz w:val="20"/>
              </w:rPr>
              <w:t>Protect against malicious software; develop secure systems</w:t>
            </w:r>
          </w:p>
        </w:tc>
        <w:tc>
          <w:tcPr>
            <w:tcW w:type="dxa" w:w="1728"/>
          </w:tcPr>
          <w:p>
            <w:r/>
            <w:r>
              <w:rPr>
                <w:sz w:val="20"/>
              </w:rPr>
              <w:t>Supporting: image hygiene for Authentik/PostgreSQL containers; change control via Terraform</w:t>
            </w:r>
          </w:p>
        </w:tc>
        <w:tc>
          <w:tcPr>
            <w:tcW w:type="dxa" w:w="1728"/>
          </w:tcPr>
          <w:p>
            <w:r/>
            <w:r>
              <w:rPr>
                <w:sz w:val="20"/>
              </w:rPr>
              <w:t>DevSecOps Engineer</w:t>
            </w:r>
          </w:p>
        </w:tc>
        <w:tc>
          <w:tcPr>
            <w:tcW w:type="dxa" w:w="1728"/>
          </w:tcPr>
          <w:p>
            <w:r/>
            <w:r>
              <w:rPr>
                <w:sz w:val="20"/>
              </w:rPr>
              <w:t>Planned</w:t>
            </w:r>
          </w:p>
        </w:tc>
      </w:tr>
      <w:tr>
        <w:tc>
          <w:tcPr>
            <w:tcW w:type="dxa" w:w="1728"/>
          </w:tcPr>
          <w:p>
            <w:r/>
            <w:r>
              <w:rPr>
                <w:sz w:val="20"/>
              </w:rPr>
              <w:t>9</w:t>
            </w:r>
          </w:p>
        </w:tc>
        <w:tc>
          <w:tcPr>
            <w:tcW w:type="dxa" w:w="1728"/>
          </w:tcPr>
          <w:p>
            <w:r/>
            <w:r>
              <w:rPr>
                <w:sz w:val="20"/>
              </w:rPr>
              <w:t>Restrict physical access to cardholder data</w:t>
            </w:r>
          </w:p>
        </w:tc>
        <w:tc>
          <w:tcPr>
            <w:tcW w:type="dxa" w:w="1728"/>
          </w:tcPr>
          <w:p>
            <w:r/>
            <w:r>
              <w:rPr>
                <w:sz w:val="20"/>
              </w:rPr>
              <w:t>N/A — EISP is a logical platform; physical security is inherited from the hosting environment</w:t>
            </w:r>
          </w:p>
        </w:tc>
        <w:tc>
          <w:tcPr>
            <w:tcW w:type="dxa" w:w="1728"/>
          </w:tcPr>
          <w:p>
            <w:r/>
            <w:r>
              <w:rPr>
                <w:sz w:val="20"/>
              </w:rPr>
              <w:t>—</w:t>
            </w:r>
          </w:p>
        </w:tc>
        <w:tc>
          <w:tcPr>
            <w:tcW w:type="dxa" w:w="1728"/>
          </w:tcPr>
          <w:p>
            <w:r/>
            <w:r>
              <w:rPr>
                <w:sz w:val="20"/>
              </w:rPr>
              <w:t>N/A</w:t>
            </w:r>
          </w:p>
        </w:tc>
      </w:tr>
      <w:tr>
        <w:tc>
          <w:tcPr>
            <w:tcW w:type="dxa" w:w="1728"/>
          </w:tcPr>
          <w:p>
            <w:r/>
            <w:r>
              <w:rPr>
                <w:sz w:val="20"/>
              </w:rPr>
              <w:t>11</w:t>
            </w:r>
          </w:p>
        </w:tc>
        <w:tc>
          <w:tcPr>
            <w:tcW w:type="dxa" w:w="1728"/>
          </w:tcPr>
          <w:p>
            <w:r/>
            <w:r>
              <w:rPr>
                <w:sz w:val="20"/>
              </w:rPr>
              <w:t>Test security of systems and networks regularly</w:t>
            </w:r>
          </w:p>
        </w:tc>
        <w:tc>
          <w:tcPr>
            <w:tcW w:type="dxa" w:w="1728"/>
          </w:tcPr>
          <w:p>
            <w:r/>
            <w:r>
              <w:rPr>
                <w:sz w:val="20"/>
              </w:rPr>
              <w:t>Vulnerability scanning of container images and quarterly control assessments</w:t>
            </w:r>
          </w:p>
        </w:tc>
        <w:tc>
          <w:tcPr>
            <w:tcW w:type="dxa" w:w="1728"/>
          </w:tcPr>
          <w:p>
            <w:r/>
            <w:r>
              <w:rPr>
                <w:sz w:val="20"/>
              </w:rPr>
              <w:t>Security Analyst</w:t>
            </w:r>
          </w:p>
        </w:tc>
        <w:tc>
          <w:tcPr>
            <w:tcW w:type="dxa" w:w="1728"/>
          </w:tcPr>
          <w:p>
            <w:r/>
            <w:r>
              <w:rPr>
                <w:sz w:val="20"/>
              </w:rPr>
              <w:t>Planned</w:t>
            </w:r>
          </w:p>
        </w:tc>
      </w:tr>
    </w:tbl>
    <w:p>
      <w:pPr>
        <w:spacing w:after="80"/>
      </w:pPr>
    </w:p>
    <w:p>
      <w:pPr>
        <w:spacing w:after="160"/>
      </w:pPr>
      <w:r>
        <w:rPr>
          <w:b w:val="0"/>
          <w:i/>
        </w:rPr>
        <w:t>Traceability: each matrix row maps to controls in the EISP Risk Register and to the NIST SP 800-53 control set selected in Section 3.3, so a single assessment activity can satisfy evidence needs for both frameworks.</w:t>
      </w:r>
    </w:p>
    <w:p>
      <w:pPr>
        <w:pStyle w:val="Heading1"/>
      </w:pPr>
      <w:r>
        <w:t>6. Visual Framework Mapping — RMF to EISP</w:t>
      </w:r>
    </w:p>
    <w:p>
      <w:pPr>
        <w:spacing w:after="160"/>
      </w:pPr>
      <w:r>
        <w:rPr>
          <w:b w:val="0"/>
          <w:i w:val="0"/>
        </w:rPr>
        <w:t>The mapping below aligns each NIST RMF step to the EISP lifecycle phase, the accountable role, and the governing artifact. It is designed to be presented on a single executive slide.</w:t>
      </w:r>
    </w:p>
    <w:p>
      <w:pPr>
        <w:pStyle w:val="Heading2"/>
      </w:pPr>
      <w:r>
        <w:t>6.1 Step-to-Phase Flow</w:t>
      </w:r>
    </w:p>
    <w:p>
      <w:pPr>
        <w:pStyle w:val="ListBullet"/>
      </w:pPr>
      <w:r>
        <w:rPr>
          <w:rFonts w:ascii="Consolas" w:hAnsi="Consolas"/>
          <w:sz w:val="19"/>
        </w:rPr>
        <w:t>PREPARE  →  Plan &amp; Design  →  System Owner  →  Risk management strategy; EISP Design Document v1.1</w:t>
      </w:r>
    </w:p>
    <w:p>
      <w:pPr>
        <w:pStyle w:val="ListBullet"/>
      </w:pPr>
      <w:r>
        <w:rPr>
          <w:rFonts w:ascii="Consolas" w:hAnsi="Consolas"/>
          <w:sz w:val="19"/>
        </w:rPr>
        <w:t>CATEGORIZE  →  Design  →  System Owner + Risk Manager  →  System categorization record (HIGH baseline)</w:t>
      </w:r>
    </w:p>
    <w:p>
      <w:pPr>
        <w:pStyle w:val="ListBullet"/>
      </w:pPr>
      <w:r>
        <w:rPr>
          <w:rFonts w:ascii="Consolas" w:hAnsi="Consolas"/>
          <w:sz w:val="19"/>
        </w:rPr>
        <w:t>SELECT  →  Build  →  IAM Engineer  →  Tailored NIST SP 800-53 control set (AC / IA families)</w:t>
      </w:r>
    </w:p>
    <w:p>
      <w:pPr>
        <w:pStyle w:val="ListBullet"/>
      </w:pPr>
      <w:r>
        <w:rPr>
          <w:rFonts w:ascii="Consolas" w:hAnsi="Consolas"/>
          <w:sz w:val="19"/>
        </w:rPr>
        <w:t>IMPLEMENT  →  Deploy  →  IAM Engineer / DevSecOps  →  Terraform IAM code; Authentik policies; LDAP config</w:t>
      </w:r>
    </w:p>
    <w:p>
      <w:pPr>
        <w:pStyle w:val="ListBullet"/>
      </w:pPr>
      <w:r>
        <w:rPr>
          <w:rFonts w:ascii="Consolas" w:hAnsi="Consolas"/>
          <w:sz w:val="19"/>
        </w:rPr>
        <w:t>ASSESS  →  Validate  →  Independent Assessor  →  Assessment results; findings register</w:t>
      </w:r>
    </w:p>
    <w:p>
      <w:pPr>
        <w:pStyle w:val="ListBullet"/>
      </w:pPr>
      <w:r>
        <w:rPr>
          <w:rFonts w:ascii="Consolas" w:hAnsi="Consolas"/>
          <w:sz w:val="19"/>
        </w:rPr>
        <w:t>AUTHORIZE  →  Go-Live  →  System Owner / Executive Sponsor  →  Authorization decision; risk acceptance memos</w:t>
      </w:r>
    </w:p>
    <w:p>
      <w:pPr>
        <w:pStyle w:val="ListBullet"/>
      </w:pPr>
      <w:r>
        <w:rPr>
          <w:rFonts w:ascii="Consolas" w:hAnsi="Consolas"/>
          <w:sz w:val="19"/>
        </w:rPr>
        <w:t>MONITOR  →  Operate  →  Security Analyst / Risk Manager  →  EISP-RR-003 Monitoring SOP; effectiveness metrics</w:t>
      </w:r>
    </w:p>
    <w:p>
      <w:pPr>
        <w:pStyle w:val="Heading2"/>
      </w:pPr>
      <w:r>
        <w:t>6.2 Mapping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1F4E79"/>
          </w:tcPr>
          <w:p>
            <w:r/>
            <w:r>
              <w:rPr>
                <w:b/>
                <w:color w:val="FFFFFF"/>
                <w:sz w:val="20"/>
              </w:rPr>
              <w:t>RMF Step</w:t>
            </w:r>
          </w:p>
        </w:tc>
        <w:tc>
          <w:tcPr>
            <w:tcW w:type="dxa" w:w="1440"/>
            <w:shd w:val="clear" w:fill="1F4E79"/>
          </w:tcPr>
          <w:p>
            <w:r/>
            <w:r>
              <w:rPr>
                <w:b/>
                <w:color w:val="FFFFFF"/>
                <w:sz w:val="20"/>
              </w:rPr>
              <w:t>EISP Lifecycle Phase</w:t>
            </w:r>
          </w:p>
        </w:tc>
        <w:tc>
          <w:tcPr>
            <w:tcW w:type="dxa" w:w="1440"/>
            <w:shd w:val="clear" w:fill="1F4E79"/>
          </w:tcPr>
          <w:p>
            <w:r/>
            <w:r>
              <w:rPr>
                <w:b/>
                <w:color w:val="FFFFFF"/>
                <w:sz w:val="20"/>
              </w:rPr>
              <w:t>Primary Role</w:t>
            </w:r>
          </w:p>
        </w:tc>
        <w:tc>
          <w:tcPr>
            <w:tcW w:type="dxa" w:w="1440"/>
            <w:shd w:val="clear" w:fill="1F4E79"/>
          </w:tcPr>
          <w:p>
            <w:r/>
            <w:r>
              <w:rPr>
                <w:b/>
                <w:color w:val="FFFFFF"/>
                <w:sz w:val="20"/>
              </w:rPr>
              <w:t>Supporting Roles</w:t>
            </w:r>
          </w:p>
        </w:tc>
        <w:tc>
          <w:tcPr>
            <w:tcW w:type="dxa" w:w="1440"/>
            <w:shd w:val="clear" w:fill="1F4E79"/>
          </w:tcPr>
          <w:p>
            <w:r/>
            <w:r>
              <w:rPr>
                <w:b/>
                <w:color w:val="FFFFFF"/>
                <w:sz w:val="20"/>
              </w:rPr>
              <w:t>Key Artifact</w:t>
            </w:r>
          </w:p>
        </w:tc>
        <w:tc>
          <w:tcPr>
            <w:tcW w:type="dxa" w:w="1440"/>
            <w:shd w:val="clear" w:fill="1F4E79"/>
          </w:tcPr>
          <w:p>
            <w:r/>
            <w:r>
              <w:rPr>
                <w:b/>
                <w:color w:val="FFFFFF"/>
                <w:sz w:val="20"/>
              </w:rPr>
              <w:t>Cadence</w:t>
            </w:r>
          </w:p>
        </w:tc>
      </w:tr>
      <w:tr>
        <w:tc>
          <w:tcPr>
            <w:tcW w:type="dxa" w:w="1440"/>
          </w:tcPr>
          <w:p>
            <w:r/>
            <w:r>
              <w:rPr>
                <w:sz w:val="20"/>
              </w:rPr>
              <w:t>Prepare</w:t>
            </w:r>
          </w:p>
        </w:tc>
        <w:tc>
          <w:tcPr>
            <w:tcW w:type="dxa" w:w="1440"/>
          </w:tcPr>
          <w:p>
            <w:r/>
            <w:r>
              <w:rPr>
                <w:sz w:val="20"/>
              </w:rPr>
              <w:t>Plan &amp; Design</w:t>
            </w:r>
          </w:p>
        </w:tc>
        <w:tc>
          <w:tcPr>
            <w:tcW w:type="dxa" w:w="1440"/>
          </w:tcPr>
          <w:p>
            <w:r/>
            <w:r>
              <w:rPr>
                <w:sz w:val="20"/>
              </w:rPr>
              <w:t>System Owner</w:t>
            </w:r>
          </w:p>
        </w:tc>
        <w:tc>
          <w:tcPr>
            <w:tcW w:type="dxa" w:w="1440"/>
          </w:tcPr>
          <w:p>
            <w:r/>
            <w:r>
              <w:rPr>
                <w:sz w:val="20"/>
              </w:rPr>
              <w:t>Risk Manager, Executive Sponsor</w:t>
            </w:r>
          </w:p>
        </w:tc>
        <w:tc>
          <w:tcPr>
            <w:tcW w:type="dxa" w:w="1440"/>
          </w:tcPr>
          <w:p>
            <w:r/>
            <w:r>
              <w:rPr>
                <w:sz w:val="20"/>
              </w:rPr>
              <w:t>Risk management strategy</w:t>
            </w:r>
          </w:p>
        </w:tc>
        <w:tc>
          <w:tcPr>
            <w:tcW w:type="dxa" w:w="1440"/>
          </w:tcPr>
          <w:p>
            <w:r/>
            <w:r>
              <w:rPr>
                <w:sz w:val="20"/>
              </w:rPr>
              <w:t>Annual / on major change</w:t>
            </w:r>
          </w:p>
        </w:tc>
      </w:tr>
      <w:tr>
        <w:tc>
          <w:tcPr>
            <w:tcW w:type="dxa" w:w="1440"/>
          </w:tcPr>
          <w:p>
            <w:r/>
            <w:r>
              <w:rPr>
                <w:sz w:val="20"/>
              </w:rPr>
              <w:t>Categorize</w:t>
            </w:r>
          </w:p>
        </w:tc>
        <w:tc>
          <w:tcPr>
            <w:tcW w:type="dxa" w:w="1440"/>
          </w:tcPr>
          <w:p>
            <w:r/>
            <w:r>
              <w:rPr>
                <w:sz w:val="20"/>
              </w:rPr>
              <w:t>Design</w:t>
            </w:r>
          </w:p>
        </w:tc>
        <w:tc>
          <w:tcPr>
            <w:tcW w:type="dxa" w:w="1440"/>
          </w:tcPr>
          <w:p>
            <w:r/>
            <w:r>
              <w:rPr>
                <w:sz w:val="20"/>
              </w:rPr>
              <w:t>System Owner</w:t>
            </w:r>
          </w:p>
        </w:tc>
        <w:tc>
          <w:tcPr>
            <w:tcW w:type="dxa" w:w="1440"/>
          </w:tcPr>
          <w:p>
            <w:r/>
            <w:r>
              <w:rPr>
                <w:sz w:val="20"/>
              </w:rPr>
              <w:t>Risk Manager</w:t>
            </w:r>
          </w:p>
        </w:tc>
        <w:tc>
          <w:tcPr>
            <w:tcW w:type="dxa" w:w="1440"/>
          </w:tcPr>
          <w:p>
            <w:r/>
            <w:r>
              <w:rPr>
                <w:sz w:val="20"/>
              </w:rPr>
              <w:t>Categorization record (High)</w:t>
            </w:r>
          </w:p>
        </w:tc>
        <w:tc>
          <w:tcPr>
            <w:tcW w:type="dxa" w:w="1440"/>
          </w:tcPr>
          <w:p>
            <w:r/>
            <w:r>
              <w:rPr>
                <w:sz w:val="20"/>
              </w:rPr>
              <w:t>On major change</w:t>
            </w:r>
          </w:p>
        </w:tc>
      </w:tr>
      <w:tr>
        <w:tc>
          <w:tcPr>
            <w:tcW w:type="dxa" w:w="1440"/>
          </w:tcPr>
          <w:p>
            <w:r/>
            <w:r>
              <w:rPr>
                <w:sz w:val="20"/>
              </w:rPr>
              <w:t>Select</w:t>
            </w:r>
          </w:p>
        </w:tc>
        <w:tc>
          <w:tcPr>
            <w:tcW w:type="dxa" w:w="1440"/>
          </w:tcPr>
          <w:p>
            <w:r/>
            <w:r>
              <w:rPr>
                <w:sz w:val="20"/>
              </w:rPr>
              <w:t>Build</w:t>
            </w:r>
          </w:p>
        </w:tc>
        <w:tc>
          <w:tcPr>
            <w:tcW w:type="dxa" w:w="1440"/>
          </w:tcPr>
          <w:p>
            <w:r/>
            <w:r>
              <w:rPr>
                <w:sz w:val="20"/>
              </w:rPr>
              <w:t>IAM Engineer</w:t>
            </w:r>
          </w:p>
        </w:tc>
        <w:tc>
          <w:tcPr>
            <w:tcW w:type="dxa" w:w="1440"/>
          </w:tcPr>
          <w:p>
            <w:r/>
            <w:r>
              <w:rPr>
                <w:sz w:val="20"/>
              </w:rPr>
              <w:t>Risk Manager</w:t>
            </w:r>
          </w:p>
        </w:tc>
        <w:tc>
          <w:tcPr>
            <w:tcW w:type="dxa" w:w="1440"/>
          </w:tcPr>
          <w:p>
            <w:r/>
            <w:r>
              <w:rPr>
                <w:sz w:val="20"/>
              </w:rPr>
              <w:t>Tailored control set</w:t>
            </w:r>
          </w:p>
        </w:tc>
        <w:tc>
          <w:tcPr>
            <w:tcW w:type="dxa" w:w="1440"/>
          </w:tcPr>
          <w:p>
            <w:r/>
            <w:r>
              <w:rPr>
                <w:sz w:val="20"/>
              </w:rPr>
              <w:t>On major change</w:t>
            </w:r>
          </w:p>
        </w:tc>
      </w:tr>
      <w:tr>
        <w:tc>
          <w:tcPr>
            <w:tcW w:type="dxa" w:w="1440"/>
          </w:tcPr>
          <w:p>
            <w:r/>
            <w:r>
              <w:rPr>
                <w:sz w:val="20"/>
              </w:rPr>
              <w:t>Implement</w:t>
            </w:r>
          </w:p>
        </w:tc>
        <w:tc>
          <w:tcPr>
            <w:tcW w:type="dxa" w:w="1440"/>
          </w:tcPr>
          <w:p>
            <w:r/>
            <w:r>
              <w:rPr>
                <w:sz w:val="20"/>
              </w:rPr>
              <w:t>Deploy</w:t>
            </w:r>
          </w:p>
        </w:tc>
        <w:tc>
          <w:tcPr>
            <w:tcW w:type="dxa" w:w="1440"/>
          </w:tcPr>
          <w:p>
            <w:r/>
            <w:r>
              <w:rPr>
                <w:sz w:val="20"/>
              </w:rPr>
              <w:t>IAM Engineer</w:t>
            </w:r>
          </w:p>
        </w:tc>
        <w:tc>
          <w:tcPr>
            <w:tcW w:type="dxa" w:w="1440"/>
          </w:tcPr>
          <w:p>
            <w:r/>
            <w:r>
              <w:rPr>
                <w:sz w:val="20"/>
              </w:rPr>
              <w:t>DevSecOps Engineer</w:t>
            </w:r>
          </w:p>
        </w:tc>
        <w:tc>
          <w:tcPr>
            <w:tcW w:type="dxa" w:w="1440"/>
          </w:tcPr>
          <w:p>
            <w:r/>
            <w:r>
              <w:rPr>
                <w:sz w:val="20"/>
              </w:rPr>
              <w:t>Terraform + Authentik configs</w:t>
            </w:r>
          </w:p>
        </w:tc>
        <w:tc>
          <w:tcPr>
            <w:tcW w:type="dxa" w:w="1440"/>
          </w:tcPr>
          <w:p>
            <w:r/>
            <w:r>
              <w:rPr>
                <w:sz w:val="20"/>
              </w:rPr>
              <w:t>Per change</w:t>
            </w:r>
          </w:p>
        </w:tc>
      </w:tr>
      <w:tr>
        <w:tc>
          <w:tcPr>
            <w:tcW w:type="dxa" w:w="1440"/>
          </w:tcPr>
          <w:p>
            <w:r/>
            <w:r>
              <w:rPr>
                <w:sz w:val="20"/>
              </w:rPr>
              <w:t>Assess</w:t>
            </w:r>
          </w:p>
        </w:tc>
        <w:tc>
          <w:tcPr>
            <w:tcW w:type="dxa" w:w="1440"/>
          </w:tcPr>
          <w:p>
            <w:r/>
            <w:r>
              <w:rPr>
                <w:sz w:val="20"/>
              </w:rPr>
              <w:t>Validate</w:t>
            </w:r>
          </w:p>
        </w:tc>
        <w:tc>
          <w:tcPr>
            <w:tcW w:type="dxa" w:w="1440"/>
          </w:tcPr>
          <w:p>
            <w:r/>
            <w:r>
              <w:rPr>
                <w:sz w:val="20"/>
              </w:rPr>
              <w:t>Independent Assessor</w:t>
            </w:r>
          </w:p>
        </w:tc>
        <w:tc>
          <w:tcPr>
            <w:tcW w:type="dxa" w:w="1440"/>
          </w:tcPr>
          <w:p>
            <w:r/>
            <w:r>
              <w:rPr>
                <w:sz w:val="20"/>
              </w:rPr>
              <w:t>Security Analyst</w:t>
            </w:r>
          </w:p>
        </w:tc>
        <w:tc>
          <w:tcPr>
            <w:tcW w:type="dxa" w:w="1440"/>
          </w:tcPr>
          <w:p>
            <w:r/>
            <w:r>
              <w:rPr>
                <w:sz w:val="20"/>
              </w:rPr>
              <w:t>Assessment results</w:t>
            </w:r>
          </w:p>
        </w:tc>
        <w:tc>
          <w:tcPr>
            <w:tcW w:type="dxa" w:w="1440"/>
          </w:tcPr>
          <w:p>
            <w:r/>
            <w:r>
              <w:rPr>
                <w:sz w:val="20"/>
              </w:rPr>
              <w:t>Quarterly</w:t>
            </w:r>
          </w:p>
        </w:tc>
      </w:tr>
      <w:tr>
        <w:tc>
          <w:tcPr>
            <w:tcW w:type="dxa" w:w="1440"/>
          </w:tcPr>
          <w:p>
            <w:r/>
            <w:r>
              <w:rPr>
                <w:sz w:val="20"/>
              </w:rPr>
              <w:t>Authorize</w:t>
            </w:r>
          </w:p>
        </w:tc>
        <w:tc>
          <w:tcPr>
            <w:tcW w:type="dxa" w:w="1440"/>
          </w:tcPr>
          <w:p>
            <w:r/>
            <w:r>
              <w:rPr>
                <w:sz w:val="20"/>
              </w:rPr>
              <w:t>Go-Live</w:t>
            </w:r>
          </w:p>
        </w:tc>
        <w:tc>
          <w:tcPr>
            <w:tcW w:type="dxa" w:w="1440"/>
          </w:tcPr>
          <w:p>
            <w:r/>
            <w:r>
              <w:rPr>
                <w:sz w:val="20"/>
              </w:rPr>
              <w:t>System Owner</w:t>
            </w:r>
          </w:p>
        </w:tc>
        <w:tc>
          <w:tcPr>
            <w:tcW w:type="dxa" w:w="1440"/>
          </w:tcPr>
          <w:p>
            <w:r/>
            <w:r>
              <w:rPr>
                <w:sz w:val="20"/>
              </w:rPr>
              <w:t>Executive Sponsor</w:t>
            </w:r>
          </w:p>
        </w:tc>
        <w:tc>
          <w:tcPr>
            <w:tcW w:type="dxa" w:w="1440"/>
          </w:tcPr>
          <w:p>
            <w:r/>
            <w:r>
              <w:rPr>
                <w:sz w:val="20"/>
              </w:rPr>
              <w:t>Authorization decision</w:t>
            </w:r>
          </w:p>
        </w:tc>
        <w:tc>
          <w:tcPr>
            <w:tcW w:type="dxa" w:w="1440"/>
          </w:tcPr>
          <w:p>
            <w:r/>
            <w:r>
              <w:rPr>
                <w:sz w:val="20"/>
              </w:rPr>
              <w:t>Annual / on major change</w:t>
            </w:r>
          </w:p>
        </w:tc>
      </w:tr>
      <w:tr>
        <w:tc>
          <w:tcPr>
            <w:tcW w:type="dxa" w:w="1440"/>
          </w:tcPr>
          <w:p>
            <w:r/>
            <w:r>
              <w:rPr>
                <w:sz w:val="20"/>
              </w:rPr>
              <w:t>Monitor</w:t>
            </w:r>
          </w:p>
        </w:tc>
        <w:tc>
          <w:tcPr>
            <w:tcW w:type="dxa" w:w="1440"/>
          </w:tcPr>
          <w:p>
            <w:r/>
            <w:r>
              <w:rPr>
                <w:sz w:val="20"/>
              </w:rPr>
              <w:t>Operate</w:t>
            </w:r>
          </w:p>
        </w:tc>
        <w:tc>
          <w:tcPr>
            <w:tcW w:type="dxa" w:w="1440"/>
          </w:tcPr>
          <w:p>
            <w:r/>
            <w:r>
              <w:rPr>
                <w:sz w:val="20"/>
              </w:rPr>
              <w:t>Security Analyst</w:t>
            </w:r>
          </w:p>
        </w:tc>
        <w:tc>
          <w:tcPr>
            <w:tcW w:type="dxa" w:w="1440"/>
          </w:tcPr>
          <w:p>
            <w:r/>
            <w:r>
              <w:rPr>
                <w:sz w:val="20"/>
              </w:rPr>
              <w:t>Risk Manager, IAM Engineer</w:t>
            </w:r>
          </w:p>
        </w:tc>
        <w:tc>
          <w:tcPr>
            <w:tcW w:type="dxa" w:w="1440"/>
          </w:tcPr>
          <w:p>
            <w:r/>
            <w:r>
              <w:rPr>
                <w:sz w:val="20"/>
              </w:rPr>
              <w:t>Monitoring SOP; metrics</w:t>
            </w:r>
          </w:p>
        </w:tc>
        <w:tc>
          <w:tcPr>
            <w:tcW w:type="dxa" w:w="1440"/>
          </w:tcPr>
          <w:p>
            <w:r/>
            <w:r>
              <w:rPr>
                <w:sz w:val="20"/>
              </w:rPr>
              <w:t>Weekly / monthly</w:t>
            </w:r>
          </w:p>
        </w:tc>
      </w:tr>
    </w:tbl>
    <w:p>
      <w:pPr>
        <w:spacing w:after="80"/>
      </w:pPr>
    </w:p>
    <w:p>
      <w:pPr>
        <w:pStyle w:val="Heading1"/>
      </w:pPr>
      <w:r>
        <w:t>7. Conclusion</w:t>
      </w:r>
    </w:p>
    <w:p>
      <w:pPr>
        <w:spacing w:after="160"/>
      </w:pPr>
      <w:r>
        <w:rPr>
          <w:b w:val="0"/>
          <w:i w:val="0"/>
        </w:rPr>
        <w:t>This document gives EISP a complete risk management foundation: the NIST RMF provides a repeatable seven-step process; the governance structure assigns clear accountability with time-bound escalation; the PCI DSS v4.0 matrix anchors the platform to a recognized regulatory baseline; and the visual mapping makes the entire program legible to executive stakeholders.</w:t>
      </w:r>
    </w:p>
    <w:p>
      <w:pPr>
        <w:spacing w:after="160"/>
      </w:pPr>
      <w:r>
        <w:rPr>
          <w:b w:val="0"/>
          <w:i w:val="0"/>
        </w:rPr>
        <w:t>Recommended next steps: (1) measure MFA enrollment completeness to close the Requirement 8 gap; (2) formalize the authentication log retention schedule to close the Requirement 10 gap; (3) remediate the tracked configuration gaps (hardcoded LDAP token, AUTHENTIK_INSECURE=true, root worker container); and (4) conduct the first independent control assessment to validate the framework in practice.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RSK-EISP-01  |  Enterprise Identity Security Platform  |  Confidential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