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ENTERPRISE IDENTITY SECURITY PLATFORM (EISP)</w:t>
      </w:r>
    </w:p>
    <w:p>
      <w:pPr>
        <w:jc w:val="center"/>
      </w:pPr>
      <w:r>
        <w:rPr>
          <w:b/>
          <w:color w:val="1F3B5B"/>
          <w:sz w:val="52"/>
        </w:rPr>
        <w:t>Risk Evaluation Methods</w:t>
      </w:r>
    </w:p>
    <w:p>
      <w:pPr>
        <w:jc w:val="center"/>
      </w:pPr>
      <w:r>
        <w:rPr>
          <w:i/>
          <w:sz w:val="22"/>
        </w:rPr>
        <w:t>Multi-Criteria Risk Scoring  •  Business Impact Analysis  •  Critical Asset Risk Exposure Register</w:t>
      </w:r>
    </w:p>
    <w:p/>
    <w:p>
      <w:pPr>
        <w:jc w:val="center"/>
      </w:pPr>
      <w:r>
        <w:rPr>
          <w:b/>
          <w:sz w:val="22"/>
        </w:rPr>
        <w:t xml:space="preserve">Document ID: </w:t>
      </w:r>
      <w:r>
        <w:rPr>
          <w:sz w:val="22"/>
        </w:rPr>
        <w:t>RSK-EISP-03</w:t>
      </w:r>
    </w:p>
    <w:p>
      <w:pPr>
        <w:jc w:val="center"/>
      </w:pPr>
      <w:r>
        <w:rPr>
          <w:b/>
          <w:sz w:val="22"/>
        </w:rPr>
        <w:t xml:space="preserve">Version: </w:t>
      </w:r>
      <w:r>
        <w:rPr>
          <w:sz w:val="22"/>
        </w:rPr>
        <w:t>1.0</w:t>
      </w:r>
    </w:p>
    <w:p>
      <w:pPr>
        <w:jc w:val="center"/>
      </w:pPr>
      <w:r>
        <w:rPr>
          <w:b/>
          <w:sz w:val="22"/>
        </w:rPr>
        <w:t xml:space="preserve">Date: </w:t>
      </w:r>
      <w:r>
        <w:rPr>
          <w:sz w:val="22"/>
        </w:rPr>
        <w:t>October 2026</w:t>
      </w:r>
    </w:p>
    <w:p>
      <w:pPr>
        <w:jc w:val="center"/>
      </w:pPr>
      <w:r>
        <w:rPr>
          <w:b/>
          <w:sz w:val="22"/>
        </w:rPr>
        <w:t xml:space="preserve">Prepared by: </w:t>
      </w:r>
      <w:r>
        <w:rPr>
          <w:sz w:val="22"/>
        </w:rPr>
        <w:t>Manisha Gupta</w:t>
      </w:r>
    </w:p>
    <w:p>
      <w:pPr>
        <w:jc w:val="center"/>
      </w:pPr>
      <w:r>
        <w:rPr>
          <w:b/>
          <w:sz w:val="22"/>
        </w:rPr>
        <w:t xml:space="preserve">Classification: </w:t>
      </w:r>
      <w:r>
        <w:rPr>
          <w:sz w:val="22"/>
        </w:rPr>
        <w:t>Confidential — Internal Use Only</w:t>
      </w:r>
    </w:p>
    <w:p>
      <w:pPr>
        <w:jc w:val="center"/>
      </w:pPr>
      <w:r>
        <w:rPr>
          <w:b/>
          <w:sz w:val="22"/>
        </w:rPr>
        <w:t xml:space="preserve">Framework alignment: </w:t>
      </w:r>
      <w:r>
        <w:rPr>
          <w:sz w:val="22"/>
        </w:rPr>
        <w:t>NIST SP 800-53 Rev. 5 · ISO 31000 · NIST Cybersecurity Framework</w:t>
      </w:r>
    </w:p>
    <w:p>
      <w:r>
        <w:br w:type="page"/>
      </w:r>
    </w:p>
    <w:p>
      <w:pPr>
        <w:pStyle w:val="Heading1"/>
      </w:pPr>
      <w:r>
        <w:t>1. Executive Summary</w:t>
      </w:r>
    </w:p>
    <w:p>
      <w:r>
        <w:rPr>
          <w:b w:val="0"/>
          <w:i w:val="0"/>
          <w:sz w:val="22"/>
        </w:rPr>
        <w:t>This document defines how the Enterprise Identity Security Platform (EISP) evaluates information security risk: the scoring model used to rank risks, the Business Impact Analysis (BIA) that sets recovery objectives for critical identity functions, and the Critical Asset Risk Exposure Register that ties assets to the threats and vulnerabilities that endanger them.</w:t>
      </w:r>
    </w:p>
    <w:p>
      <w:r>
        <w:rPr>
          <w:b w:val="0"/>
          <w:i w:val="0"/>
          <w:sz w:val="22"/>
        </w:rPr>
        <w:t>EISP is an Identity and Access Management (IAM) platform built as a hands-on engineering project. It combines an Authentik identity provider (deployed via Docker Compose with PostgreSQL 16, an LDAP outpost, and a test application) with AWS IAM managed as code in Terraform — including role-based access control (RBAC) roles, permission boundaries, SAML federation, and short-lived STS sessions. Because EISP is the system that authenticates users and authorizes access to everything downstream, the way its risks are evaluated directly determines where engineering effort and controls are prioritized.</w:t>
      </w:r>
    </w:p>
    <w:p>
      <w:pPr>
        <w:pStyle w:val="ListBullet"/>
      </w:pPr>
      <w:r>
        <w:t>Section 2 defines a weighted multi-criteria risk scoring model (Financial 30%, Operational 25%, Compliance 25%, Reputation 20%), applies it to six key EISP risks drawn from the project risk register (EISP-RR-003), and records stakeholder approval of the criteria.</w:t>
      </w:r>
    </w:p>
    <w:p>
      <w:pPr>
        <w:pStyle w:val="ListBullet"/>
      </w:pPr>
      <w:r>
        <w:t>Section 3 presents a Business Impact Analysis for the three critical EISP functions — Authentik authentication/SSO, the LDAP directory service, and AWS IAM role/policy management — with Recovery Time Objectives (RTO), Recovery Point Objectives (RPO), Maximum Tolerable Downtime (MTD), illustrative financial impact analysis, and dependency mapping.</w:t>
      </w:r>
    </w:p>
    <w:p>
      <w:pPr>
        <w:pStyle w:val="ListBullet"/>
      </w:pPr>
      <w:r>
        <w:t>Section 4 provides the Critical Asset Risk Exposure Register, linking each critical asset to its threat exposure, known vulnerabilities, interconnection dependencies, and current control coverage.</w:t>
      </w:r>
    </w:p>
    <w:p>
      <w:r>
        <w:rPr>
          <w:b w:val="0"/>
          <w:i/>
          <w:sz w:val="22"/>
        </w:rPr>
        <w:t>All financial figures in this document are illustrative academic estimates, clearly labelled as such, included to demonstrate the evaluation methodology rather than to represent actual organizational costs.</w:t>
      </w:r>
    </w:p>
    <w:p>
      <w:pPr>
        <w:pStyle w:val="Heading1"/>
      </w:pPr>
      <w:r>
        <w:t>2. Multi-Criteria Risk Scoring Model</w:t>
      </w:r>
    </w:p>
    <w:p>
      <w:pPr>
        <w:pStyle w:val="Heading2"/>
      </w:pPr>
      <w:r>
        <w:t>2.1 Evaluation Factors and Weights</w:t>
      </w:r>
    </w:p>
    <w:p>
      <w:r>
        <w:rPr>
          <w:b w:val="0"/>
          <w:i w:val="0"/>
          <w:sz w:val="22"/>
        </w:rPr>
        <w:t>Single-dimension risk ratings (e.g., High/Medium/Low) hide the reasons behind a ranking. The EISP program therefore scores each risk against four weighted factors so that trade-offs are explicit, repeatable, and auditable. The weights reflect an identity platform's reality: direct financial loss matters, but loss of the authentication service (operational) and breach of identity-related obligations (compliance) matter nearly as much.</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1F3B5B"/>
          </w:tcPr>
          <w:p>
            <w:r>
              <w:rPr>
                <w:b/>
                <w:color w:val="FFFFFF"/>
                <w:sz w:val="20"/>
              </w:rPr>
            </w:r>
            <w:r>
              <w:rPr>
                <w:b/>
                <w:color w:val="FFFFFF"/>
                <w:sz w:val="20"/>
              </w:rPr>
              <w:t>Factor</w:t>
            </w:r>
          </w:p>
        </w:tc>
        <w:tc>
          <w:tcPr>
            <w:tcW w:type="dxa" w:w="1152"/>
            <w:shd w:val="clear" w:fill="1F3B5B"/>
          </w:tcPr>
          <w:p>
            <w:r>
              <w:rPr>
                <w:b/>
                <w:color w:val="FFFFFF"/>
                <w:sz w:val="20"/>
              </w:rPr>
            </w:r>
            <w:r>
              <w:rPr>
                <w:b/>
                <w:color w:val="FFFFFF"/>
                <w:sz w:val="20"/>
              </w:rPr>
              <w:t>Weight</w:t>
            </w:r>
          </w:p>
        </w:tc>
        <w:tc>
          <w:tcPr>
            <w:tcW w:type="dxa" w:w="6480"/>
            <w:shd w:val="clear" w:fill="1F3B5B"/>
          </w:tcPr>
          <w:p>
            <w:r>
              <w:rPr>
                <w:b/>
                <w:color w:val="FFFFFF"/>
                <w:sz w:val="20"/>
              </w:rPr>
            </w:r>
            <w:r>
              <w:rPr>
                <w:b/>
                <w:color w:val="FFFFFF"/>
                <w:sz w:val="20"/>
              </w:rPr>
              <w:t>Rationale for weight</w:t>
            </w:r>
          </w:p>
        </w:tc>
      </w:tr>
      <w:tr>
        <w:tc>
          <w:tcPr>
            <w:tcW w:type="dxa" w:w="1728"/>
          </w:tcPr>
          <w:p>
            <w:r/>
            <w:r>
              <w:rPr>
                <w:sz w:val="20"/>
              </w:rPr>
              <w:t>Financial</w:t>
            </w:r>
          </w:p>
        </w:tc>
        <w:tc>
          <w:tcPr>
            <w:tcW w:type="dxa" w:w="1152"/>
          </w:tcPr>
          <w:p>
            <w:r/>
            <w:r>
              <w:rPr>
                <w:sz w:val="20"/>
              </w:rPr>
              <w:t>30%</w:t>
            </w:r>
          </w:p>
        </w:tc>
        <w:tc>
          <w:tcPr>
            <w:tcW w:type="dxa" w:w="6480"/>
          </w:tcPr>
          <w:p>
            <w:r/>
            <w:r>
              <w:rPr>
                <w:sz w:val="20"/>
              </w:rPr>
              <w:t>Direct monetary loss: incident response cost, fraud, regulatory fines, recovery labour. Highest single weight because quantified loss drives funding decisions.</w:t>
            </w:r>
          </w:p>
        </w:tc>
      </w:tr>
      <w:tr>
        <w:tc>
          <w:tcPr>
            <w:tcW w:type="dxa" w:w="1728"/>
          </w:tcPr>
          <w:p>
            <w:r/>
            <w:r>
              <w:rPr>
                <w:sz w:val="20"/>
              </w:rPr>
              <w:t>Operational</w:t>
            </w:r>
          </w:p>
        </w:tc>
        <w:tc>
          <w:tcPr>
            <w:tcW w:type="dxa" w:w="1152"/>
          </w:tcPr>
          <w:p>
            <w:r/>
            <w:r>
              <w:rPr>
                <w:sz w:val="20"/>
              </w:rPr>
              <w:t>25%</w:t>
            </w:r>
          </w:p>
        </w:tc>
        <w:tc>
          <w:tcPr>
            <w:tcW w:type="dxa" w:w="6480"/>
          </w:tcPr>
          <w:p>
            <w:r/>
            <w:r>
              <w:rPr>
                <w:sz w:val="20"/>
              </w:rPr>
              <w:t>Impact on service availability and engineering productivity. EISP is a single point of authentication; its outage halts all dependent access.</w:t>
            </w:r>
          </w:p>
        </w:tc>
      </w:tr>
      <w:tr>
        <w:tc>
          <w:tcPr>
            <w:tcW w:type="dxa" w:w="1728"/>
          </w:tcPr>
          <w:p>
            <w:r/>
            <w:r>
              <w:rPr>
                <w:sz w:val="20"/>
              </w:rPr>
              <w:t>Compliance</w:t>
            </w:r>
          </w:p>
        </w:tc>
        <w:tc>
          <w:tcPr>
            <w:tcW w:type="dxa" w:w="1152"/>
          </w:tcPr>
          <w:p>
            <w:r/>
            <w:r>
              <w:rPr>
                <w:sz w:val="20"/>
              </w:rPr>
              <w:t>25%</w:t>
            </w:r>
          </w:p>
        </w:tc>
        <w:tc>
          <w:tcPr>
            <w:tcW w:type="dxa" w:w="6480"/>
          </w:tcPr>
          <w:p>
            <w:r/>
            <w:r>
              <w:rPr>
                <w:sz w:val="20"/>
              </w:rPr>
              <w:t>Breach of PCI DSS, NIST SP 800-53, GDPR or breach-notification obligations. Identity data compromise triggers mandatory reporting.</w:t>
            </w:r>
          </w:p>
        </w:tc>
      </w:tr>
      <w:tr>
        <w:tc>
          <w:tcPr>
            <w:tcW w:type="dxa" w:w="1728"/>
          </w:tcPr>
          <w:p>
            <w:r/>
            <w:r>
              <w:rPr>
                <w:sz w:val="20"/>
              </w:rPr>
              <w:t>Reputation</w:t>
            </w:r>
          </w:p>
        </w:tc>
        <w:tc>
          <w:tcPr>
            <w:tcW w:type="dxa" w:w="1152"/>
          </w:tcPr>
          <w:p>
            <w:r/>
            <w:r>
              <w:rPr>
                <w:sz w:val="20"/>
              </w:rPr>
              <w:t>20%</w:t>
            </w:r>
          </w:p>
        </w:tc>
        <w:tc>
          <w:tcPr>
            <w:tcW w:type="dxa" w:w="6480"/>
          </w:tcPr>
          <w:p>
            <w:r/>
            <w:r>
              <w:rPr>
                <w:sz w:val="20"/>
              </w:rPr>
              <w:t>Loss of stakeholder and user trust in the identity platform. Lower weight than the other factors for an internal/lab platform, but still material.</w:t>
            </w:r>
          </w:p>
        </w:tc>
      </w:tr>
    </w:tbl>
    <w:p/>
    <w:p>
      <w:r>
        <w:rPr>
          <w:b w:val="0"/>
          <w:i/>
          <w:sz w:val="22"/>
        </w:rPr>
        <w:t>Weighted risk score = (0.30 × Financial) + (0.25 × Operational) + (0.25 × Compliance) + (0.20 × Reputation). Scores range from 1.00 (minimal) to 5.00 (catastrophic).</w:t>
      </w:r>
    </w:p>
    <w:p>
      <w:pPr>
        <w:pStyle w:val="Heading2"/>
      </w:pPr>
      <w:r>
        <w:t>2.2 Measurement Scales (1–5 per factor)</w:t>
      </w:r>
    </w:p>
    <w:p>
      <w:r>
        <w:rPr>
          <w:b w:val="0"/>
          <w:i w:val="0"/>
          <w:sz w:val="22"/>
        </w:rPr>
        <w:t>Each factor is scored on a defined 1–5 scale. Scorers must select the band whose description best matches the risk; the scales are documented here so scoring is consistent across assessors and over time.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val="clear" w:fill="1F3B5B"/>
          </w:tcPr>
          <w:p>
            <w:r>
              <w:rPr>
                <w:b/>
                <w:color w:val="FFFFFF"/>
                <w:sz w:val="20"/>
              </w:rPr>
            </w:r>
            <w:r>
              <w:rPr>
                <w:b/>
                <w:color w:val="FFFFFF"/>
                <w:sz w:val="20"/>
              </w:rPr>
              <w:t>Score</w:t>
            </w:r>
          </w:p>
        </w:tc>
        <w:tc>
          <w:tcPr>
            <w:tcW w:type="dxa" w:w="2016"/>
            <w:shd w:val="clear" w:fill="1F3B5B"/>
          </w:tcPr>
          <w:p>
            <w:r>
              <w:rPr>
                <w:b/>
                <w:color w:val="FFFFFF"/>
                <w:sz w:val="20"/>
              </w:rPr>
            </w:r>
            <w:r>
              <w:rPr>
                <w:b/>
                <w:color w:val="FFFFFF"/>
                <w:sz w:val="20"/>
              </w:rPr>
              <w:t>Financial (illustrative)</w:t>
            </w:r>
          </w:p>
        </w:tc>
        <w:tc>
          <w:tcPr>
            <w:tcW w:type="dxa" w:w="2016"/>
            <w:shd w:val="clear" w:fill="1F3B5B"/>
          </w:tcPr>
          <w:p>
            <w:r>
              <w:rPr>
                <w:b/>
                <w:color w:val="FFFFFF"/>
                <w:sz w:val="20"/>
              </w:rPr>
            </w:r>
            <w:r>
              <w:rPr>
                <w:b/>
                <w:color w:val="FFFFFF"/>
                <w:sz w:val="20"/>
              </w:rPr>
              <w:t>Operational</w:t>
            </w:r>
          </w:p>
        </w:tc>
        <w:tc>
          <w:tcPr>
            <w:tcW w:type="dxa" w:w="2016"/>
            <w:shd w:val="clear" w:fill="1F3B5B"/>
          </w:tcPr>
          <w:p>
            <w:r>
              <w:rPr>
                <w:b/>
                <w:color w:val="FFFFFF"/>
                <w:sz w:val="20"/>
              </w:rPr>
            </w:r>
            <w:r>
              <w:rPr>
                <w:b/>
                <w:color w:val="FFFFFF"/>
                <w:sz w:val="20"/>
              </w:rPr>
              <w:t>Compliance</w:t>
            </w:r>
          </w:p>
        </w:tc>
        <w:tc>
          <w:tcPr>
            <w:tcW w:type="dxa" w:w="2016"/>
            <w:shd w:val="clear" w:fill="1F3B5B"/>
          </w:tcPr>
          <w:p>
            <w:r>
              <w:rPr>
                <w:b/>
                <w:color w:val="FFFFFF"/>
                <w:sz w:val="20"/>
              </w:rPr>
            </w:r>
            <w:r>
              <w:rPr>
                <w:b/>
                <w:color w:val="FFFFFF"/>
                <w:sz w:val="20"/>
              </w:rPr>
              <w:t>Reputation</w:t>
            </w:r>
          </w:p>
        </w:tc>
      </w:tr>
      <w:tr>
        <w:tc>
          <w:tcPr>
            <w:tcW w:type="dxa" w:w="1296"/>
          </w:tcPr>
          <w:p>
            <w:r/>
            <w:r>
              <w:rPr>
                <w:sz w:val="20"/>
              </w:rPr>
              <w:t>1 — Minimal</w:t>
            </w:r>
          </w:p>
        </w:tc>
        <w:tc>
          <w:tcPr>
            <w:tcW w:type="dxa" w:w="2016"/>
          </w:tcPr>
          <w:p>
            <w:r/>
            <w:r>
              <w:rPr>
                <w:sz w:val="20"/>
              </w:rPr>
              <w:t>Loss &lt; $1,000; no incident response spend</w:t>
            </w:r>
          </w:p>
        </w:tc>
        <w:tc>
          <w:tcPr>
            <w:tcW w:type="dxa" w:w="2016"/>
          </w:tcPr>
          <w:p>
            <w:r/>
            <w:r>
              <w:rPr>
                <w:sz w:val="20"/>
              </w:rPr>
              <w:t>No service degradation; &lt;1 hour of staff time</w:t>
            </w:r>
          </w:p>
        </w:tc>
        <w:tc>
          <w:tcPr>
            <w:tcW w:type="dxa" w:w="2016"/>
          </w:tcPr>
          <w:p>
            <w:r/>
            <w:r>
              <w:rPr>
                <w:sz w:val="20"/>
              </w:rPr>
              <w:t>No regulatory obligation triggered</w:t>
            </w:r>
          </w:p>
        </w:tc>
        <w:tc>
          <w:tcPr>
            <w:tcW w:type="dxa" w:w="2016"/>
          </w:tcPr>
          <w:p>
            <w:r/>
            <w:r>
              <w:rPr>
                <w:sz w:val="20"/>
              </w:rPr>
              <w:t>No external awareness</w:t>
            </w:r>
          </w:p>
        </w:tc>
      </w:tr>
      <w:tr>
        <w:tc>
          <w:tcPr>
            <w:tcW w:type="dxa" w:w="1296"/>
          </w:tcPr>
          <w:p>
            <w:r/>
            <w:r>
              <w:rPr>
                <w:sz w:val="20"/>
              </w:rPr>
              <w:t>2 — Minor</w:t>
            </w:r>
          </w:p>
        </w:tc>
        <w:tc>
          <w:tcPr>
            <w:tcW w:type="dxa" w:w="2016"/>
          </w:tcPr>
          <w:p>
            <w:r/>
            <w:r>
              <w:rPr>
                <w:sz w:val="20"/>
              </w:rPr>
              <w:t>Loss $1k–$10k; contained response effort</w:t>
            </w:r>
          </w:p>
        </w:tc>
        <w:tc>
          <w:tcPr>
            <w:tcW w:type="dxa" w:w="2016"/>
          </w:tcPr>
          <w:p>
            <w:r/>
            <w:r>
              <w:rPr>
                <w:sz w:val="20"/>
              </w:rPr>
              <w:t>Degraded non-critical function; &lt;1 day recovery</w:t>
            </w:r>
          </w:p>
        </w:tc>
        <w:tc>
          <w:tcPr>
            <w:tcW w:type="dxa" w:w="2016"/>
          </w:tcPr>
          <w:p>
            <w:r/>
            <w:r>
              <w:rPr>
                <w:sz w:val="20"/>
              </w:rPr>
              <w:t>Internal policy finding only</w:t>
            </w:r>
          </w:p>
        </w:tc>
        <w:tc>
          <w:tcPr>
            <w:tcW w:type="dxa" w:w="2016"/>
          </w:tcPr>
          <w:p>
            <w:r/>
            <w:r>
              <w:rPr>
                <w:sz w:val="20"/>
              </w:rPr>
              <w:t>Limited internal awareness</w:t>
            </w:r>
          </w:p>
        </w:tc>
      </w:tr>
      <w:tr>
        <w:tc>
          <w:tcPr>
            <w:tcW w:type="dxa" w:w="1296"/>
          </w:tcPr>
          <w:p>
            <w:r/>
            <w:r>
              <w:rPr>
                <w:sz w:val="20"/>
              </w:rPr>
              <w:t>3 — Moderate</w:t>
            </w:r>
          </w:p>
        </w:tc>
        <w:tc>
          <w:tcPr>
            <w:tcW w:type="dxa" w:w="2016"/>
          </w:tcPr>
          <w:p>
            <w:r/>
            <w:r>
              <w:rPr>
                <w:sz w:val="20"/>
              </w:rPr>
              <w:t>Loss $10k–$50k; multi-day response</w:t>
            </w:r>
          </w:p>
        </w:tc>
        <w:tc>
          <w:tcPr>
            <w:tcW w:type="dxa" w:w="2016"/>
          </w:tcPr>
          <w:p>
            <w:r/>
            <w:r>
              <w:rPr>
                <w:sz w:val="20"/>
              </w:rPr>
              <w:t>Critical function degraded; 1–3 day recovery</w:t>
            </w:r>
          </w:p>
        </w:tc>
        <w:tc>
          <w:tcPr>
            <w:tcW w:type="dxa" w:w="2016"/>
          </w:tcPr>
          <w:p>
            <w:r/>
            <w:r>
              <w:rPr>
                <w:sz w:val="20"/>
              </w:rPr>
              <w:t>Reportable control gap; remediation plan required</w:t>
            </w:r>
          </w:p>
        </w:tc>
        <w:tc>
          <w:tcPr>
            <w:tcW w:type="dxa" w:w="2016"/>
          </w:tcPr>
          <w:p>
            <w:r/>
            <w:r>
              <w:rPr>
                <w:sz w:val="20"/>
              </w:rPr>
              <w:t>Stakeholder concern; questions raised</w:t>
            </w:r>
          </w:p>
        </w:tc>
      </w:tr>
      <w:tr>
        <w:tc>
          <w:tcPr>
            <w:tcW w:type="dxa" w:w="1296"/>
          </w:tcPr>
          <w:p>
            <w:r/>
            <w:r>
              <w:rPr>
                <w:sz w:val="20"/>
              </w:rPr>
              <w:t>4 — Major</w:t>
            </w:r>
          </w:p>
        </w:tc>
        <w:tc>
          <w:tcPr>
            <w:tcW w:type="dxa" w:w="2016"/>
          </w:tcPr>
          <w:p>
            <w:r/>
            <w:r>
              <w:rPr>
                <w:sz w:val="20"/>
              </w:rPr>
              <w:t>Loss $50k–$250k; fraud or extortion possible</w:t>
            </w:r>
          </w:p>
        </w:tc>
        <w:tc>
          <w:tcPr>
            <w:tcW w:type="dxa" w:w="2016"/>
          </w:tcPr>
          <w:p>
            <w:r/>
            <w:r>
              <w:rPr>
                <w:sz w:val="20"/>
              </w:rPr>
              <w:t>Critical function unavailable; 3–7 day recovery</w:t>
            </w:r>
          </w:p>
        </w:tc>
        <w:tc>
          <w:tcPr>
            <w:tcW w:type="dxa" w:w="2016"/>
          </w:tcPr>
          <w:p>
            <w:r/>
            <w:r>
              <w:rPr>
                <w:sz w:val="20"/>
              </w:rPr>
              <w:t>Breach-notification or regulatory finding likely</w:t>
            </w:r>
          </w:p>
        </w:tc>
        <w:tc>
          <w:tcPr>
            <w:tcW w:type="dxa" w:w="2016"/>
          </w:tcPr>
          <w:p>
            <w:r/>
            <w:r>
              <w:rPr>
                <w:sz w:val="20"/>
              </w:rPr>
              <w:t>Public or customer-facing reputational damage</w:t>
            </w:r>
          </w:p>
        </w:tc>
      </w:tr>
      <w:tr>
        <w:tc>
          <w:tcPr>
            <w:tcW w:type="dxa" w:w="1296"/>
          </w:tcPr>
          <w:p>
            <w:r/>
            <w:r>
              <w:rPr>
                <w:sz w:val="20"/>
              </w:rPr>
              <w:t>5 — Catastrophic</w:t>
            </w:r>
          </w:p>
        </w:tc>
        <w:tc>
          <w:tcPr>
            <w:tcW w:type="dxa" w:w="2016"/>
          </w:tcPr>
          <w:p>
            <w:r/>
            <w:r>
              <w:rPr>
                <w:sz w:val="20"/>
              </w:rPr>
              <w:t>Loss &gt; $250k; existential fraud/theft</w:t>
            </w:r>
          </w:p>
        </w:tc>
        <w:tc>
          <w:tcPr>
            <w:tcW w:type="dxa" w:w="2016"/>
          </w:tcPr>
          <w:p>
            <w:r/>
            <w:r>
              <w:rPr>
                <w:sz w:val="20"/>
              </w:rPr>
              <w:t>Platform-wide outage; &gt;7 day recovery or data loss</w:t>
            </w:r>
          </w:p>
        </w:tc>
        <w:tc>
          <w:tcPr>
            <w:tcW w:type="dxa" w:w="2016"/>
          </w:tcPr>
          <w:p>
            <w:r/>
            <w:r>
              <w:rPr>
                <w:sz w:val="20"/>
              </w:rPr>
              <w:t>Regulatory enforcement, lawsuits, license risk</w:t>
            </w:r>
          </w:p>
        </w:tc>
        <w:tc>
          <w:tcPr>
            <w:tcW w:type="dxa" w:w="2016"/>
          </w:tcPr>
          <w:p>
            <w:r/>
            <w:r>
              <w:rPr>
                <w:sz w:val="20"/>
              </w:rPr>
              <w:t>Sustained loss of trust; media coverage</w:t>
            </w:r>
          </w:p>
        </w:tc>
      </w:tr>
    </w:tbl>
    <w:p/>
    <w:p>
      <w:r>
        <w:rPr>
          <w:b w:val="0"/>
          <w:i/>
          <w:sz w:val="22"/>
        </w:rPr>
        <w:t>Result bands: 4.00–5.00 = Critical (immediate executive attention); 3.00–3.99 = High (planned remediation with deadline); 2.00–2.99 = Medium (monitor / mitigate as resources allow); 1.00–1.99 = Low (accept and review periodically).</w:t>
      </w:r>
    </w:p>
    <w:p>
      <w:pPr>
        <w:pStyle w:val="Heading2"/>
      </w:pPr>
      <w:r>
        <w:t>2.3 Application of the Model to Key EISP Risks</w:t>
      </w:r>
    </w:p>
    <w:p>
      <w:r>
        <w:rPr>
          <w:b w:val="0"/>
          <w:i w:val="0"/>
          <w:sz w:val="22"/>
        </w:rPr>
        <w:t>Six risks were selected for scoring: five drawn directly from the project risk register (EISP-RR-003, document EISP-RR-003) and one Authentik-specific risk identified during configuration review of the Docker Compose deployment. Scoring rationale is documented per risk so the results are reproducible.</w:t>
      </w:r>
    </w:p>
    <w:p>
      <w:pPr>
        <w:pStyle w:val="Heading3"/>
      </w:pPr>
      <w:r>
        <w:t>RR-002: Privilege Escalation — compromised standard account attempts role escalation (MITRE T1548/T1078)</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B5B"/>
          </w:tcPr>
          <w:p>
            <w:r>
              <w:rPr>
                <w:b/>
                <w:color w:val="FFFFFF"/>
                <w:sz w:val="20"/>
              </w:rPr>
            </w:r>
            <w:r>
              <w:rPr>
                <w:b/>
                <w:color w:val="FFFFFF"/>
                <w:sz w:val="20"/>
              </w:rPr>
              <w:t>Factor (weight)</w:t>
            </w:r>
          </w:p>
        </w:tc>
        <w:tc>
          <w:tcPr>
            <w:tcW w:type="dxa" w:w="1296"/>
            <w:shd w:val="clear" w:fill="1F3B5B"/>
          </w:tcPr>
          <w:p>
            <w:r>
              <w:rPr>
                <w:b/>
                <w:color w:val="FFFFFF"/>
                <w:sz w:val="20"/>
              </w:rPr>
            </w:r>
            <w:r>
              <w:rPr>
                <w:b/>
                <w:color w:val="FFFFFF"/>
                <w:sz w:val="20"/>
              </w:rPr>
              <w:t>Score (1–5)</w:t>
            </w:r>
          </w:p>
        </w:tc>
        <w:tc>
          <w:tcPr>
            <w:tcW w:type="dxa" w:w="6048"/>
            <w:shd w:val="clear" w:fill="1F3B5B"/>
          </w:tcPr>
          <w:p>
            <w:r>
              <w:rPr>
                <w:b/>
                <w:color w:val="FFFFFF"/>
                <w:sz w:val="20"/>
              </w:rPr>
            </w:r>
            <w:r>
              <w:rPr>
                <w:b/>
                <w:color w:val="FFFFFF"/>
                <w:sz w:val="20"/>
              </w:rPr>
              <w:t>Scoring rationale</w:t>
            </w:r>
          </w:p>
        </w:tc>
      </w:tr>
      <w:tr>
        <w:tc>
          <w:tcPr>
            <w:tcW w:type="dxa" w:w="2016"/>
          </w:tcPr>
          <w:p>
            <w:r/>
            <w:r>
              <w:rPr>
                <w:sz w:val="20"/>
              </w:rPr>
              <w:t>Financial (30%)</w:t>
            </w:r>
          </w:p>
        </w:tc>
        <w:tc>
          <w:tcPr>
            <w:tcW w:type="dxa" w:w="1296"/>
          </w:tcPr>
          <w:p>
            <w:r/>
            <w:r>
              <w:rPr>
                <w:sz w:val="20"/>
              </w:rPr>
              <w:t>4</w:t>
            </w:r>
          </w:p>
        </w:tc>
        <w:tc>
          <w:tcPr>
            <w:tcW w:type="dxa" w:w="6048"/>
          </w:tcPr>
          <w:p>
            <w:r/>
            <w:r>
              <w:rPr>
                <w:sz w:val="20"/>
              </w:rPr>
              <w:t>Attacker with admin-equivalent AWS access could alter infrastructure; direct fraud/theft possible.</w:t>
            </w:r>
          </w:p>
        </w:tc>
      </w:tr>
      <w:tr>
        <w:tc>
          <w:tcPr>
            <w:tcW w:type="dxa" w:w="2016"/>
          </w:tcPr>
          <w:p>
            <w:r/>
            <w:r>
              <w:rPr>
                <w:sz w:val="20"/>
              </w:rPr>
              <w:t>Operational (25%)</w:t>
            </w:r>
          </w:p>
        </w:tc>
        <w:tc>
          <w:tcPr>
            <w:tcW w:type="dxa" w:w="1296"/>
          </w:tcPr>
          <w:p>
            <w:r/>
            <w:r>
              <w:rPr>
                <w:sz w:val="20"/>
              </w:rPr>
              <w:t>5</w:t>
            </w:r>
          </w:p>
        </w:tc>
        <w:tc>
          <w:tcPr>
            <w:tcW w:type="dxa" w:w="6048"/>
          </w:tcPr>
          <w:p>
            <w:r/>
            <w:r>
              <w:rPr>
                <w:sz w:val="20"/>
              </w:rPr>
              <w:t>Full platform compromise; all downstream systems exposed via federated trust.</w:t>
            </w:r>
          </w:p>
        </w:tc>
      </w:tr>
      <w:tr>
        <w:tc>
          <w:tcPr>
            <w:tcW w:type="dxa" w:w="2016"/>
          </w:tcPr>
          <w:p>
            <w:r/>
            <w:r>
              <w:rPr>
                <w:sz w:val="20"/>
              </w:rPr>
              <w:t>Compliance (25%)</w:t>
            </w:r>
          </w:p>
        </w:tc>
        <w:tc>
          <w:tcPr>
            <w:tcW w:type="dxa" w:w="1296"/>
          </w:tcPr>
          <w:p>
            <w:r/>
            <w:r>
              <w:rPr>
                <w:sz w:val="20"/>
              </w:rPr>
              <w:t>5</w:t>
            </w:r>
          </w:p>
        </w:tc>
        <w:tc>
          <w:tcPr>
            <w:tcW w:type="dxa" w:w="6048"/>
          </w:tcPr>
          <w:p>
            <w:r/>
            <w:r>
              <w:rPr>
                <w:sz w:val="20"/>
              </w:rPr>
              <w:t>SOX-relevant control failure; PCI DSS Req 7 violation; potential breach-notification trigger.</w:t>
            </w:r>
          </w:p>
        </w:tc>
      </w:tr>
      <w:tr>
        <w:tc>
          <w:tcPr>
            <w:tcW w:type="dxa" w:w="2016"/>
          </w:tcPr>
          <w:p>
            <w:r/>
            <w:r>
              <w:rPr>
                <w:sz w:val="20"/>
              </w:rPr>
              <w:t>Reputation (20%)</w:t>
            </w:r>
          </w:p>
        </w:tc>
        <w:tc>
          <w:tcPr>
            <w:tcW w:type="dxa" w:w="1296"/>
          </w:tcPr>
          <w:p>
            <w:r/>
            <w:r>
              <w:rPr>
                <w:sz w:val="20"/>
              </w:rPr>
              <w:t>4</w:t>
            </w:r>
          </w:p>
        </w:tc>
        <w:tc>
          <w:tcPr>
            <w:tcW w:type="dxa" w:w="6048"/>
          </w:tcPr>
          <w:p>
            <w:r/>
            <w:r>
              <w:rPr>
                <w:sz w:val="20"/>
              </w:rPr>
              <w:t>Loss of trust in the identity platform undermines every dependent system.</w:t>
            </w:r>
          </w:p>
        </w:tc>
      </w:tr>
      <w:tr>
        <w:tc>
          <w:tcPr>
            <w:tcW w:type="dxa" w:w="2016"/>
          </w:tcPr>
          <w:p>
            <w:r/>
            <w:r>
              <w:rPr>
                <w:sz w:val="20"/>
              </w:rPr>
              <w:t>Weighted total</w:t>
            </w:r>
          </w:p>
        </w:tc>
        <w:tc>
          <w:tcPr>
            <w:tcW w:type="dxa" w:w="1296"/>
          </w:tcPr>
          <w:p>
            <w:r/>
            <w:r>
              <w:rPr>
                <w:sz w:val="20"/>
              </w:rPr>
              <w:t>4.50</w:t>
            </w:r>
          </w:p>
        </w:tc>
        <w:tc>
          <w:tcPr>
            <w:tcW w:type="dxa" w:w="6048"/>
          </w:tcPr>
          <w:p>
            <w:r/>
            <w:r>
              <w:rPr>
                <w:sz w:val="20"/>
              </w:rPr>
              <w:t>(0.30×4) + (0.25×5) + (0.25×5) + (0.20×4) = 4.50</w:t>
            </w:r>
          </w:p>
        </w:tc>
      </w:tr>
    </w:tbl>
    <w:p/>
    <w:p>
      <w:pPr>
        <w:pStyle w:val="Heading3"/>
      </w:pPr>
      <w:r>
        <w:t>RR-001: Credential Theft — attacker steals Authentik or AWS IAM credentials (MITRE T1566/T1110)</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B5B"/>
          </w:tcPr>
          <w:p>
            <w:r>
              <w:rPr>
                <w:b/>
                <w:color w:val="FFFFFF"/>
                <w:sz w:val="20"/>
              </w:rPr>
            </w:r>
            <w:r>
              <w:rPr>
                <w:b/>
                <w:color w:val="FFFFFF"/>
                <w:sz w:val="20"/>
              </w:rPr>
              <w:t>Factor (weight)</w:t>
            </w:r>
          </w:p>
        </w:tc>
        <w:tc>
          <w:tcPr>
            <w:tcW w:type="dxa" w:w="1296"/>
            <w:shd w:val="clear" w:fill="1F3B5B"/>
          </w:tcPr>
          <w:p>
            <w:r>
              <w:rPr>
                <w:b/>
                <w:color w:val="FFFFFF"/>
                <w:sz w:val="20"/>
              </w:rPr>
            </w:r>
            <w:r>
              <w:rPr>
                <w:b/>
                <w:color w:val="FFFFFF"/>
                <w:sz w:val="20"/>
              </w:rPr>
              <w:t>Score (1–5)</w:t>
            </w:r>
          </w:p>
        </w:tc>
        <w:tc>
          <w:tcPr>
            <w:tcW w:type="dxa" w:w="6048"/>
            <w:shd w:val="clear" w:fill="1F3B5B"/>
          </w:tcPr>
          <w:p>
            <w:r>
              <w:rPr>
                <w:b/>
                <w:color w:val="FFFFFF"/>
                <w:sz w:val="20"/>
              </w:rPr>
            </w:r>
            <w:r>
              <w:rPr>
                <w:b/>
                <w:color w:val="FFFFFF"/>
                <w:sz w:val="20"/>
              </w:rPr>
              <w:t>Scoring rationale</w:t>
            </w:r>
          </w:p>
        </w:tc>
      </w:tr>
      <w:tr>
        <w:tc>
          <w:tcPr>
            <w:tcW w:type="dxa" w:w="2016"/>
          </w:tcPr>
          <w:p>
            <w:r/>
            <w:r>
              <w:rPr>
                <w:sz w:val="20"/>
              </w:rPr>
              <w:t>Financial (30%)</w:t>
            </w:r>
          </w:p>
        </w:tc>
        <w:tc>
          <w:tcPr>
            <w:tcW w:type="dxa" w:w="1296"/>
          </w:tcPr>
          <w:p>
            <w:r/>
            <w:r>
              <w:rPr>
                <w:sz w:val="20"/>
              </w:rPr>
              <w:t>4</w:t>
            </w:r>
          </w:p>
        </w:tc>
        <w:tc>
          <w:tcPr>
            <w:tcW w:type="dxa" w:w="6048"/>
          </w:tcPr>
          <w:p>
            <w:r/>
            <w:r>
              <w:rPr>
                <w:sz w:val="20"/>
              </w:rPr>
              <w:t>Stolen credentials enable fraud and data theft; incident response and rotation costs significant.</w:t>
            </w:r>
          </w:p>
        </w:tc>
      </w:tr>
      <w:tr>
        <w:tc>
          <w:tcPr>
            <w:tcW w:type="dxa" w:w="2016"/>
          </w:tcPr>
          <w:p>
            <w:r/>
            <w:r>
              <w:rPr>
                <w:sz w:val="20"/>
              </w:rPr>
              <w:t>Operational (25%)</w:t>
            </w:r>
          </w:p>
        </w:tc>
        <w:tc>
          <w:tcPr>
            <w:tcW w:type="dxa" w:w="1296"/>
          </w:tcPr>
          <w:p>
            <w:r/>
            <w:r>
              <w:rPr>
                <w:sz w:val="20"/>
              </w:rPr>
              <w:t>5</w:t>
            </w:r>
          </w:p>
        </w:tc>
        <w:tc>
          <w:tcPr>
            <w:tcW w:type="dxa" w:w="6048"/>
          </w:tcPr>
          <w:p>
            <w:r/>
            <w:r>
              <w:rPr>
                <w:sz w:val="20"/>
              </w:rPr>
              <w:t>Account takeover of the IdP affects every federated application simultaneously.</w:t>
            </w:r>
          </w:p>
        </w:tc>
      </w:tr>
      <w:tr>
        <w:tc>
          <w:tcPr>
            <w:tcW w:type="dxa" w:w="2016"/>
          </w:tcPr>
          <w:p>
            <w:r/>
            <w:r>
              <w:rPr>
                <w:sz w:val="20"/>
              </w:rPr>
              <w:t>Compliance (25%)</w:t>
            </w:r>
          </w:p>
        </w:tc>
        <w:tc>
          <w:tcPr>
            <w:tcW w:type="dxa" w:w="1296"/>
          </w:tcPr>
          <w:p>
            <w:r/>
            <w:r>
              <w:rPr>
                <w:sz w:val="20"/>
              </w:rPr>
              <w:t>4</w:t>
            </w:r>
          </w:p>
        </w:tc>
        <w:tc>
          <w:tcPr>
            <w:tcW w:type="dxa" w:w="6048"/>
          </w:tcPr>
          <w:p>
            <w:r/>
            <w:r>
              <w:rPr>
                <w:sz w:val="20"/>
              </w:rPr>
              <w:t>GDPR/personal-data breach obligations if identity store is exfiltrated.</w:t>
            </w:r>
          </w:p>
        </w:tc>
      </w:tr>
      <w:tr>
        <w:tc>
          <w:tcPr>
            <w:tcW w:type="dxa" w:w="2016"/>
          </w:tcPr>
          <w:p>
            <w:r/>
            <w:r>
              <w:rPr>
                <w:sz w:val="20"/>
              </w:rPr>
              <w:t>Reputation (20%)</w:t>
            </w:r>
          </w:p>
        </w:tc>
        <w:tc>
          <w:tcPr>
            <w:tcW w:type="dxa" w:w="1296"/>
          </w:tcPr>
          <w:p>
            <w:r/>
            <w:r>
              <w:rPr>
                <w:sz w:val="20"/>
              </w:rPr>
              <w:t>4</w:t>
            </w:r>
          </w:p>
        </w:tc>
        <w:tc>
          <w:tcPr>
            <w:tcW w:type="dxa" w:w="6048"/>
          </w:tcPr>
          <w:p>
            <w:r/>
            <w:r>
              <w:rPr>
                <w:sz w:val="20"/>
              </w:rPr>
              <w:t>Identity provider compromise is highly visible to all users.</w:t>
            </w:r>
          </w:p>
        </w:tc>
      </w:tr>
      <w:tr>
        <w:tc>
          <w:tcPr>
            <w:tcW w:type="dxa" w:w="2016"/>
          </w:tcPr>
          <w:p>
            <w:r/>
            <w:r>
              <w:rPr>
                <w:sz w:val="20"/>
              </w:rPr>
              <w:t>Weighted total</w:t>
            </w:r>
          </w:p>
        </w:tc>
        <w:tc>
          <w:tcPr>
            <w:tcW w:type="dxa" w:w="1296"/>
          </w:tcPr>
          <w:p>
            <w:r/>
            <w:r>
              <w:rPr>
                <w:sz w:val="20"/>
              </w:rPr>
              <w:t>4.25</w:t>
            </w:r>
          </w:p>
        </w:tc>
        <w:tc>
          <w:tcPr>
            <w:tcW w:type="dxa" w:w="6048"/>
          </w:tcPr>
          <w:p>
            <w:r/>
            <w:r>
              <w:rPr>
                <w:sz w:val="20"/>
              </w:rPr>
              <w:t>(0.30×4) + (0.25×5) + (0.25×4) + (0.20×4) = 4.25</w:t>
            </w:r>
          </w:p>
        </w:tc>
      </w:tr>
    </w:tbl>
    <w:p/>
    <w:p>
      <w:pPr>
        <w:pStyle w:val="Heading3"/>
      </w:pPr>
      <w:r>
        <w:t>RR-003: Secrets Exposure — hardcoded credentials committed (MITRE T1552); e.g., AUTHENTIK_TOKEN in docker-compose.yml</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B5B"/>
          </w:tcPr>
          <w:p>
            <w:r>
              <w:rPr>
                <w:b/>
                <w:color w:val="FFFFFF"/>
                <w:sz w:val="20"/>
              </w:rPr>
            </w:r>
            <w:r>
              <w:rPr>
                <w:b/>
                <w:color w:val="FFFFFF"/>
                <w:sz w:val="20"/>
              </w:rPr>
              <w:t>Factor (weight)</w:t>
            </w:r>
          </w:p>
        </w:tc>
        <w:tc>
          <w:tcPr>
            <w:tcW w:type="dxa" w:w="1296"/>
            <w:shd w:val="clear" w:fill="1F3B5B"/>
          </w:tcPr>
          <w:p>
            <w:r>
              <w:rPr>
                <w:b/>
                <w:color w:val="FFFFFF"/>
                <w:sz w:val="20"/>
              </w:rPr>
            </w:r>
            <w:r>
              <w:rPr>
                <w:b/>
                <w:color w:val="FFFFFF"/>
                <w:sz w:val="20"/>
              </w:rPr>
              <w:t>Score (1–5)</w:t>
            </w:r>
          </w:p>
        </w:tc>
        <w:tc>
          <w:tcPr>
            <w:tcW w:type="dxa" w:w="6048"/>
            <w:shd w:val="clear" w:fill="1F3B5B"/>
          </w:tcPr>
          <w:p>
            <w:r>
              <w:rPr>
                <w:b/>
                <w:color w:val="FFFFFF"/>
                <w:sz w:val="20"/>
              </w:rPr>
            </w:r>
            <w:r>
              <w:rPr>
                <w:b/>
                <w:color w:val="FFFFFF"/>
                <w:sz w:val="20"/>
              </w:rPr>
              <w:t>Scoring rationale</w:t>
            </w:r>
          </w:p>
        </w:tc>
      </w:tr>
      <w:tr>
        <w:tc>
          <w:tcPr>
            <w:tcW w:type="dxa" w:w="2016"/>
          </w:tcPr>
          <w:p>
            <w:r/>
            <w:r>
              <w:rPr>
                <w:sz w:val="20"/>
              </w:rPr>
              <w:t>Financial (30%)</w:t>
            </w:r>
          </w:p>
        </w:tc>
        <w:tc>
          <w:tcPr>
            <w:tcW w:type="dxa" w:w="1296"/>
          </w:tcPr>
          <w:p>
            <w:r/>
            <w:r>
              <w:rPr>
                <w:sz w:val="20"/>
              </w:rPr>
              <w:t>3</w:t>
            </w:r>
          </w:p>
        </w:tc>
        <w:tc>
          <w:tcPr>
            <w:tcW w:type="dxa" w:w="6048"/>
          </w:tcPr>
          <w:p>
            <w:r/>
            <w:r>
              <w:rPr>
                <w:sz w:val="20"/>
              </w:rPr>
              <w:t>Response limited to rotation and audit; no confirmed exploitation assumed.</w:t>
            </w:r>
          </w:p>
        </w:tc>
      </w:tr>
      <w:tr>
        <w:tc>
          <w:tcPr>
            <w:tcW w:type="dxa" w:w="2016"/>
          </w:tcPr>
          <w:p>
            <w:r/>
            <w:r>
              <w:rPr>
                <w:sz w:val="20"/>
              </w:rPr>
              <w:t>Operational (25%)</w:t>
            </w:r>
          </w:p>
        </w:tc>
        <w:tc>
          <w:tcPr>
            <w:tcW w:type="dxa" w:w="1296"/>
          </w:tcPr>
          <w:p>
            <w:r/>
            <w:r>
              <w:rPr>
                <w:sz w:val="20"/>
              </w:rPr>
              <w:t>4</w:t>
            </w:r>
          </w:p>
        </w:tc>
        <w:tc>
          <w:tcPr>
            <w:tcW w:type="dxa" w:w="6048"/>
          </w:tcPr>
          <w:p>
            <w:r/>
            <w:r>
              <w:rPr>
                <w:sz w:val="20"/>
              </w:rPr>
              <w:t>Token grants LDAP outpost trust; exposure could cascade to directory reads.</w:t>
            </w:r>
          </w:p>
        </w:tc>
      </w:tr>
      <w:tr>
        <w:tc>
          <w:tcPr>
            <w:tcW w:type="dxa" w:w="2016"/>
          </w:tcPr>
          <w:p>
            <w:r/>
            <w:r>
              <w:rPr>
                <w:sz w:val="20"/>
              </w:rPr>
              <w:t>Compliance (25%)</w:t>
            </w:r>
          </w:p>
        </w:tc>
        <w:tc>
          <w:tcPr>
            <w:tcW w:type="dxa" w:w="1296"/>
          </w:tcPr>
          <w:p>
            <w:r/>
            <w:r>
              <w:rPr>
                <w:sz w:val="20"/>
              </w:rPr>
              <w:t>4</w:t>
            </w:r>
          </w:p>
        </w:tc>
        <w:tc>
          <w:tcPr>
            <w:tcW w:type="dxa" w:w="6048"/>
          </w:tcPr>
          <w:p>
            <w:r/>
            <w:r>
              <w:rPr>
                <w:sz w:val="20"/>
              </w:rPr>
              <w:t>PCI DSS Req 8 violation (non-unique/shared secrets); audit finding certain if discovered.</w:t>
            </w:r>
          </w:p>
        </w:tc>
      </w:tr>
      <w:tr>
        <w:tc>
          <w:tcPr>
            <w:tcW w:type="dxa" w:w="2016"/>
          </w:tcPr>
          <w:p>
            <w:r/>
            <w:r>
              <w:rPr>
                <w:sz w:val="20"/>
              </w:rPr>
              <w:t>Reputation (20%)</w:t>
            </w:r>
          </w:p>
        </w:tc>
        <w:tc>
          <w:tcPr>
            <w:tcW w:type="dxa" w:w="1296"/>
          </w:tcPr>
          <w:p>
            <w:r/>
            <w:r>
              <w:rPr>
                <w:sz w:val="20"/>
              </w:rPr>
              <w:t>3</w:t>
            </w:r>
          </w:p>
        </w:tc>
        <w:tc>
          <w:tcPr>
            <w:tcW w:type="dxa" w:w="6048"/>
          </w:tcPr>
          <w:p>
            <w:r/>
            <w:r>
              <w:rPr>
                <w:sz w:val="20"/>
              </w:rPr>
              <w:t>Internal embarrassment; contained if rotated before exploitation.</w:t>
            </w:r>
          </w:p>
        </w:tc>
      </w:tr>
      <w:tr>
        <w:tc>
          <w:tcPr>
            <w:tcW w:type="dxa" w:w="2016"/>
          </w:tcPr>
          <w:p>
            <w:r/>
            <w:r>
              <w:rPr>
                <w:sz w:val="20"/>
              </w:rPr>
              <w:t>Weighted total</w:t>
            </w:r>
          </w:p>
        </w:tc>
        <w:tc>
          <w:tcPr>
            <w:tcW w:type="dxa" w:w="1296"/>
          </w:tcPr>
          <w:p>
            <w:r/>
            <w:r>
              <w:rPr>
                <w:sz w:val="20"/>
              </w:rPr>
              <w:t>3.50</w:t>
            </w:r>
          </w:p>
        </w:tc>
        <w:tc>
          <w:tcPr>
            <w:tcW w:type="dxa" w:w="6048"/>
          </w:tcPr>
          <w:p>
            <w:r/>
            <w:r>
              <w:rPr>
                <w:sz w:val="20"/>
              </w:rPr>
              <w:t>(0.30×3) + (0.25×4) + (0.25×4) + (0.20×3) = 3.50</w:t>
            </w:r>
          </w:p>
        </w:tc>
      </w:tr>
    </w:tbl>
    <w:p/>
    <w:p>
      <w:pPr>
        <w:pStyle w:val="Heading3"/>
      </w:pPr>
      <w:r>
        <w:t>RR-005: Vault Token Compromise — root token or AppRole secret_id exposed (MITRE T1552/T1078)</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B5B"/>
          </w:tcPr>
          <w:p>
            <w:r>
              <w:rPr>
                <w:b/>
                <w:color w:val="FFFFFF"/>
                <w:sz w:val="20"/>
              </w:rPr>
            </w:r>
            <w:r>
              <w:rPr>
                <w:b/>
                <w:color w:val="FFFFFF"/>
                <w:sz w:val="20"/>
              </w:rPr>
              <w:t>Factor (weight)</w:t>
            </w:r>
          </w:p>
        </w:tc>
        <w:tc>
          <w:tcPr>
            <w:tcW w:type="dxa" w:w="1296"/>
            <w:shd w:val="clear" w:fill="1F3B5B"/>
          </w:tcPr>
          <w:p>
            <w:r>
              <w:rPr>
                <w:b/>
                <w:color w:val="FFFFFF"/>
                <w:sz w:val="20"/>
              </w:rPr>
            </w:r>
            <w:r>
              <w:rPr>
                <w:b/>
                <w:color w:val="FFFFFF"/>
                <w:sz w:val="20"/>
              </w:rPr>
              <w:t>Score (1–5)</w:t>
            </w:r>
          </w:p>
        </w:tc>
        <w:tc>
          <w:tcPr>
            <w:tcW w:type="dxa" w:w="6048"/>
            <w:shd w:val="clear" w:fill="1F3B5B"/>
          </w:tcPr>
          <w:p>
            <w:r>
              <w:rPr>
                <w:b/>
                <w:color w:val="FFFFFF"/>
                <w:sz w:val="20"/>
              </w:rPr>
            </w:r>
            <w:r>
              <w:rPr>
                <w:b/>
                <w:color w:val="FFFFFF"/>
                <w:sz w:val="20"/>
              </w:rPr>
              <w:t>Scoring rationale</w:t>
            </w:r>
          </w:p>
        </w:tc>
      </w:tr>
      <w:tr>
        <w:tc>
          <w:tcPr>
            <w:tcW w:type="dxa" w:w="2016"/>
          </w:tcPr>
          <w:p>
            <w:r/>
            <w:r>
              <w:rPr>
                <w:sz w:val="20"/>
              </w:rPr>
              <w:t>Financial (30%)</w:t>
            </w:r>
          </w:p>
        </w:tc>
        <w:tc>
          <w:tcPr>
            <w:tcW w:type="dxa" w:w="1296"/>
          </w:tcPr>
          <w:p>
            <w:r/>
            <w:r>
              <w:rPr>
                <w:sz w:val="20"/>
              </w:rPr>
              <w:t>3</w:t>
            </w:r>
          </w:p>
        </w:tc>
        <w:tc>
          <w:tcPr>
            <w:tcW w:type="dxa" w:w="6048"/>
          </w:tcPr>
          <w:p>
            <w:r/>
            <w:r>
              <w:rPr>
                <w:sz w:val="20"/>
              </w:rPr>
              <w:t>Contained to secrets infrastructure; rotation cost moderate.</w:t>
            </w:r>
          </w:p>
        </w:tc>
      </w:tr>
      <w:tr>
        <w:tc>
          <w:tcPr>
            <w:tcW w:type="dxa" w:w="2016"/>
          </w:tcPr>
          <w:p>
            <w:r/>
            <w:r>
              <w:rPr>
                <w:sz w:val="20"/>
              </w:rPr>
              <w:t>Operational (25%)</w:t>
            </w:r>
          </w:p>
        </w:tc>
        <w:tc>
          <w:tcPr>
            <w:tcW w:type="dxa" w:w="1296"/>
          </w:tcPr>
          <w:p>
            <w:r/>
            <w:r>
              <w:rPr>
                <w:sz w:val="20"/>
              </w:rPr>
              <w:t>5</w:t>
            </w:r>
          </w:p>
        </w:tc>
        <w:tc>
          <w:tcPr>
            <w:tcW w:type="dxa" w:w="6048"/>
          </w:tcPr>
          <w:p>
            <w:r/>
            <w:r>
              <w:rPr>
                <w:sz w:val="20"/>
              </w:rPr>
              <w:t>Total loss of secrets confidentiality; every stored secret must be treated as compromised.</w:t>
            </w:r>
          </w:p>
        </w:tc>
      </w:tr>
      <w:tr>
        <w:tc>
          <w:tcPr>
            <w:tcW w:type="dxa" w:w="2016"/>
          </w:tcPr>
          <w:p>
            <w:r/>
            <w:r>
              <w:rPr>
                <w:sz w:val="20"/>
              </w:rPr>
              <w:t>Compliance (25%)</w:t>
            </w:r>
          </w:p>
        </w:tc>
        <w:tc>
          <w:tcPr>
            <w:tcW w:type="dxa" w:w="1296"/>
          </w:tcPr>
          <w:p>
            <w:r/>
            <w:r>
              <w:rPr>
                <w:sz w:val="20"/>
              </w:rPr>
              <w:t>3</w:t>
            </w:r>
          </w:p>
        </w:tc>
        <w:tc>
          <w:tcPr>
            <w:tcW w:type="dxa" w:w="6048"/>
          </w:tcPr>
          <w:p>
            <w:r/>
            <w:r>
              <w:rPr>
                <w:sz w:val="20"/>
              </w:rPr>
              <w:t>Control failure; regulatory impact depends on what the secrets protect.</w:t>
            </w:r>
          </w:p>
        </w:tc>
      </w:tr>
      <w:tr>
        <w:tc>
          <w:tcPr>
            <w:tcW w:type="dxa" w:w="2016"/>
          </w:tcPr>
          <w:p>
            <w:r/>
            <w:r>
              <w:rPr>
                <w:sz w:val="20"/>
              </w:rPr>
              <w:t>Reputation (20%)</w:t>
            </w:r>
          </w:p>
        </w:tc>
        <w:tc>
          <w:tcPr>
            <w:tcW w:type="dxa" w:w="1296"/>
          </w:tcPr>
          <w:p>
            <w:r/>
            <w:r>
              <w:rPr>
                <w:sz w:val="20"/>
              </w:rPr>
              <w:t>3</w:t>
            </w:r>
          </w:p>
        </w:tc>
        <w:tc>
          <w:tcPr>
            <w:tcW w:type="dxa" w:w="6048"/>
          </w:tcPr>
          <w:p>
            <w:r/>
            <w:r>
              <w:rPr>
                <w:sz w:val="20"/>
              </w:rPr>
              <w:t>Mostly internal; external impact only if downstream data is affected.</w:t>
            </w:r>
          </w:p>
        </w:tc>
      </w:tr>
      <w:tr>
        <w:tc>
          <w:tcPr>
            <w:tcW w:type="dxa" w:w="2016"/>
          </w:tcPr>
          <w:p>
            <w:r/>
            <w:r>
              <w:rPr>
                <w:sz w:val="20"/>
              </w:rPr>
              <w:t>Weighted total</w:t>
            </w:r>
          </w:p>
        </w:tc>
        <w:tc>
          <w:tcPr>
            <w:tcW w:type="dxa" w:w="1296"/>
          </w:tcPr>
          <w:p>
            <w:r/>
            <w:r>
              <w:rPr>
                <w:sz w:val="20"/>
              </w:rPr>
              <w:t>3.50</w:t>
            </w:r>
          </w:p>
        </w:tc>
        <w:tc>
          <w:tcPr>
            <w:tcW w:type="dxa" w:w="6048"/>
          </w:tcPr>
          <w:p>
            <w:r/>
            <w:r>
              <w:rPr>
                <w:sz w:val="20"/>
              </w:rPr>
              <w:t>(0.30×3) + (0.25×5) + (0.25×3) + (0.20×3) = 3.50</w:t>
            </w:r>
          </w:p>
        </w:tc>
      </w:tr>
    </w:tbl>
    <w:p/>
    <w:p>
      <w:pPr>
        <w:pStyle w:val="Heading3"/>
      </w:pPr>
      <w:r>
        <w:t>RR-004: MFA Fatigue Attack — attacker floods user with push prompts (MITRE T1621)</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B5B"/>
          </w:tcPr>
          <w:p>
            <w:r>
              <w:rPr>
                <w:b/>
                <w:color w:val="FFFFFF"/>
                <w:sz w:val="20"/>
              </w:rPr>
            </w:r>
            <w:r>
              <w:rPr>
                <w:b/>
                <w:color w:val="FFFFFF"/>
                <w:sz w:val="20"/>
              </w:rPr>
              <w:t>Factor (weight)</w:t>
            </w:r>
          </w:p>
        </w:tc>
        <w:tc>
          <w:tcPr>
            <w:tcW w:type="dxa" w:w="1296"/>
            <w:shd w:val="clear" w:fill="1F3B5B"/>
          </w:tcPr>
          <w:p>
            <w:r>
              <w:rPr>
                <w:b/>
                <w:color w:val="FFFFFF"/>
                <w:sz w:val="20"/>
              </w:rPr>
            </w:r>
            <w:r>
              <w:rPr>
                <w:b/>
                <w:color w:val="FFFFFF"/>
                <w:sz w:val="20"/>
              </w:rPr>
              <w:t>Score (1–5)</w:t>
            </w:r>
          </w:p>
        </w:tc>
        <w:tc>
          <w:tcPr>
            <w:tcW w:type="dxa" w:w="6048"/>
            <w:shd w:val="clear" w:fill="1F3B5B"/>
          </w:tcPr>
          <w:p>
            <w:r>
              <w:rPr>
                <w:b/>
                <w:color w:val="FFFFFF"/>
                <w:sz w:val="20"/>
              </w:rPr>
            </w:r>
            <w:r>
              <w:rPr>
                <w:b/>
                <w:color w:val="FFFFFF"/>
                <w:sz w:val="20"/>
              </w:rPr>
              <w:t>Scoring rationale</w:t>
            </w:r>
          </w:p>
        </w:tc>
      </w:tr>
      <w:tr>
        <w:tc>
          <w:tcPr>
            <w:tcW w:type="dxa" w:w="2016"/>
          </w:tcPr>
          <w:p>
            <w:r/>
            <w:r>
              <w:rPr>
                <w:sz w:val="20"/>
              </w:rPr>
              <w:t>Financial (30%)</w:t>
            </w:r>
          </w:p>
        </w:tc>
        <w:tc>
          <w:tcPr>
            <w:tcW w:type="dxa" w:w="1296"/>
          </w:tcPr>
          <w:p>
            <w:r/>
            <w:r>
              <w:rPr>
                <w:sz w:val="20"/>
              </w:rPr>
              <w:t>3</w:t>
            </w:r>
          </w:p>
        </w:tc>
        <w:tc>
          <w:tcPr>
            <w:tcW w:type="dxa" w:w="6048"/>
          </w:tcPr>
          <w:p>
            <w:r/>
            <w:r>
              <w:rPr>
                <w:sz w:val="20"/>
              </w:rPr>
              <w:t>Single-account compromise; bounded fraud potential.</w:t>
            </w:r>
          </w:p>
        </w:tc>
      </w:tr>
      <w:tr>
        <w:tc>
          <w:tcPr>
            <w:tcW w:type="dxa" w:w="2016"/>
          </w:tcPr>
          <w:p>
            <w:r/>
            <w:r>
              <w:rPr>
                <w:sz w:val="20"/>
              </w:rPr>
              <w:t>Operational (25%)</w:t>
            </w:r>
          </w:p>
        </w:tc>
        <w:tc>
          <w:tcPr>
            <w:tcW w:type="dxa" w:w="1296"/>
          </w:tcPr>
          <w:p>
            <w:r/>
            <w:r>
              <w:rPr>
                <w:sz w:val="20"/>
              </w:rPr>
              <w:t>4</w:t>
            </w:r>
          </w:p>
        </w:tc>
        <w:tc>
          <w:tcPr>
            <w:tcW w:type="dxa" w:w="6048"/>
          </w:tcPr>
          <w:p>
            <w:r/>
            <w:r>
              <w:rPr>
                <w:sz w:val="20"/>
              </w:rPr>
              <w:t>Compromised session inherits the victim’s federated access across applications.</w:t>
            </w:r>
          </w:p>
        </w:tc>
      </w:tr>
      <w:tr>
        <w:tc>
          <w:tcPr>
            <w:tcW w:type="dxa" w:w="2016"/>
          </w:tcPr>
          <w:p>
            <w:r/>
            <w:r>
              <w:rPr>
                <w:sz w:val="20"/>
              </w:rPr>
              <w:t>Compliance (25%)</w:t>
            </w:r>
          </w:p>
        </w:tc>
        <w:tc>
          <w:tcPr>
            <w:tcW w:type="dxa" w:w="1296"/>
          </w:tcPr>
          <w:p>
            <w:r/>
            <w:r>
              <w:rPr>
                <w:sz w:val="20"/>
              </w:rPr>
              <w:t>3</w:t>
            </w:r>
          </w:p>
        </w:tc>
        <w:tc>
          <w:tcPr>
            <w:tcW w:type="dxa" w:w="6048"/>
          </w:tcPr>
          <w:p>
            <w:r/>
            <w:r>
              <w:rPr>
                <w:sz w:val="20"/>
              </w:rPr>
              <w:t>PCI DSS Req 8.4 (MFA) control rendered ineffective; finding likely.</w:t>
            </w:r>
          </w:p>
        </w:tc>
      </w:tr>
      <w:tr>
        <w:tc>
          <w:tcPr>
            <w:tcW w:type="dxa" w:w="2016"/>
          </w:tcPr>
          <w:p>
            <w:r/>
            <w:r>
              <w:rPr>
                <w:sz w:val="20"/>
              </w:rPr>
              <w:t>Reputation (20%)</w:t>
            </w:r>
          </w:p>
        </w:tc>
        <w:tc>
          <w:tcPr>
            <w:tcW w:type="dxa" w:w="1296"/>
          </w:tcPr>
          <w:p>
            <w:r/>
            <w:r>
              <w:rPr>
                <w:sz w:val="20"/>
              </w:rPr>
              <w:t>4</w:t>
            </w:r>
          </w:p>
        </w:tc>
        <w:tc>
          <w:tcPr>
            <w:tcW w:type="dxa" w:w="6048"/>
          </w:tcPr>
          <w:p>
            <w:r/>
            <w:r>
              <w:rPr>
                <w:sz w:val="20"/>
              </w:rPr>
              <w:t>Users lose confidence in MFA prompts, weakening the control for everyone.</w:t>
            </w:r>
          </w:p>
        </w:tc>
      </w:tr>
      <w:tr>
        <w:tc>
          <w:tcPr>
            <w:tcW w:type="dxa" w:w="2016"/>
          </w:tcPr>
          <w:p>
            <w:r/>
            <w:r>
              <w:rPr>
                <w:sz w:val="20"/>
              </w:rPr>
              <w:t>Weighted total</w:t>
            </w:r>
          </w:p>
        </w:tc>
        <w:tc>
          <w:tcPr>
            <w:tcW w:type="dxa" w:w="1296"/>
          </w:tcPr>
          <w:p>
            <w:r/>
            <w:r>
              <w:rPr>
                <w:sz w:val="20"/>
              </w:rPr>
              <w:t>3.45</w:t>
            </w:r>
          </w:p>
        </w:tc>
        <w:tc>
          <w:tcPr>
            <w:tcW w:type="dxa" w:w="6048"/>
          </w:tcPr>
          <w:p>
            <w:r/>
            <w:r>
              <w:rPr>
                <w:sz w:val="20"/>
              </w:rPr>
              <w:t>(0.30×3) + (0.25×4) + (0.25×3) + (0.20×4) = 3.45</w:t>
            </w:r>
          </w:p>
        </w:tc>
      </w:tr>
    </w:tbl>
    <w:p/>
    <w:p>
      <w:pPr>
        <w:pStyle w:val="Heading3"/>
      </w:pPr>
      <w:r>
        <w:t>RR-011: Insecure LDAP Bind — LDAP outpost configured with AUTHENTIK_INSECURE=true (plaintext fallback)</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B5B"/>
          </w:tcPr>
          <w:p>
            <w:r>
              <w:rPr>
                <w:b/>
                <w:color w:val="FFFFFF"/>
                <w:sz w:val="20"/>
              </w:rPr>
            </w:r>
            <w:r>
              <w:rPr>
                <w:b/>
                <w:color w:val="FFFFFF"/>
                <w:sz w:val="20"/>
              </w:rPr>
              <w:t>Factor (weight)</w:t>
            </w:r>
          </w:p>
        </w:tc>
        <w:tc>
          <w:tcPr>
            <w:tcW w:type="dxa" w:w="1296"/>
            <w:shd w:val="clear" w:fill="1F3B5B"/>
          </w:tcPr>
          <w:p>
            <w:r>
              <w:rPr>
                <w:b/>
                <w:color w:val="FFFFFF"/>
                <w:sz w:val="20"/>
              </w:rPr>
            </w:r>
            <w:r>
              <w:rPr>
                <w:b/>
                <w:color w:val="FFFFFF"/>
                <w:sz w:val="20"/>
              </w:rPr>
              <w:t>Score (1–5)</w:t>
            </w:r>
          </w:p>
        </w:tc>
        <w:tc>
          <w:tcPr>
            <w:tcW w:type="dxa" w:w="6048"/>
            <w:shd w:val="clear" w:fill="1F3B5B"/>
          </w:tcPr>
          <w:p>
            <w:r>
              <w:rPr>
                <w:b/>
                <w:color w:val="FFFFFF"/>
                <w:sz w:val="20"/>
              </w:rPr>
            </w:r>
            <w:r>
              <w:rPr>
                <w:b/>
                <w:color w:val="FFFFFF"/>
                <w:sz w:val="20"/>
              </w:rPr>
              <w:t>Scoring rationale</w:t>
            </w:r>
          </w:p>
        </w:tc>
      </w:tr>
      <w:tr>
        <w:tc>
          <w:tcPr>
            <w:tcW w:type="dxa" w:w="2016"/>
          </w:tcPr>
          <w:p>
            <w:r/>
            <w:r>
              <w:rPr>
                <w:sz w:val="20"/>
              </w:rPr>
              <w:t>Financial (30%)</w:t>
            </w:r>
          </w:p>
        </w:tc>
        <w:tc>
          <w:tcPr>
            <w:tcW w:type="dxa" w:w="1296"/>
          </w:tcPr>
          <w:p>
            <w:r/>
            <w:r>
              <w:rPr>
                <w:sz w:val="20"/>
              </w:rPr>
              <w:t>2</w:t>
            </w:r>
          </w:p>
        </w:tc>
        <w:tc>
          <w:tcPr>
            <w:tcW w:type="dxa" w:w="6048"/>
          </w:tcPr>
          <w:p>
            <w:r/>
            <w:r>
              <w:rPr>
                <w:sz w:val="20"/>
              </w:rPr>
              <w:t>Exploitation requires network position; limited direct loss.</w:t>
            </w:r>
          </w:p>
        </w:tc>
      </w:tr>
      <w:tr>
        <w:tc>
          <w:tcPr>
            <w:tcW w:type="dxa" w:w="2016"/>
          </w:tcPr>
          <w:p>
            <w:r/>
            <w:r>
              <w:rPr>
                <w:sz w:val="20"/>
              </w:rPr>
              <w:t>Operational (25%)</w:t>
            </w:r>
          </w:p>
        </w:tc>
        <w:tc>
          <w:tcPr>
            <w:tcW w:type="dxa" w:w="1296"/>
          </w:tcPr>
          <w:p>
            <w:r/>
            <w:r>
              <w:rPr>
                <w:sz w:val="20"/>
              </w:rPr>
              <w:t>4</w:t>
            </w:r>
          </w:p>
        </w:tc>
        <w:tc>
          <w:tcPr>
            <w:tcW w:type="dxa" w:w="6048"/>
          </w:tcPr>
          <w:p>
            <w:r/>
            <w:r>
              <w:rPr>
                <w:sz w:val="20"/>
              </w:rPr>
              <w:t>Credential interception on the wire compromises directory authentication broadly.</w:t>
            </w:r>
          </w:p>
        </w:tc>
      </w:tr>
      <w:tr>
        <w:tc>
          <w:tcPr>
            <w:tcW w:type="dxa" w:w="2016"/>
          </w:tcPr>
          <w:p>
            <w:r/>
            <w:r>
              <w:rPr>
                <w:sz w:val="20"/>
              </w:rPr>
              <w:t>Compliance (25%)</w:t>
            </w:r>
          </w:p>
        </w:tc>
        <w:tc>
          <w:tcPr>
            <w:tcW w:type="dxa" w:w="1296"/>
          </w:tcPr>
          <w:p>
            <w:r/>
            <w:r>
              <w:rPr>
                <w:sz w:val="20"/>
              </w:rPr>
              <w:t>4</w:t>
            </w:r>
          </w:p>
        </w:tc>
        <w:tc>
          <w:tcPr>
            <w:tcW w:type="dxa" w:w="6048"/>
          </w:tcPr>
          <w:p>
            <w:r/>
            <w:r>
              <w:rPr>
                <w:sz w:val="20"/>
              </w:rPr>
              <w:t>Clear PCI DSS Req 8 / NIST IA-2 transmission-confidentiality gap.</w:t>
            </w:r>
          </w:p>
        </w:tc>
      </w:tr>
      <w:tr>
        <w:tc>
          <w:tcPr>
            <w:tcW w:type="dxa" w:w="2016"/>
          </w:tcPr>
          <w:p>
            <w:r/>
            <w:r>
              <w:rPr>
                <w:sz w:val="20"/>
              </w:rPr>
              <w:t>Reputation (20%)</w:t>
            </w:r>
          </w:p>
        </w:tc>
        <w:tc>
          <w:tcPr>
            <w:tcW w:type="dxa" w:w="1296"/>
          </w:tcPr>
          <w:p>
            <w:r/>
            <w:r>
              <w:rPr>
                <w:sz w:val="20"/>
              </w:rPr>
              <w:t>3</w:t>
            </w:r>
          </w:p>
        </w:tc>
        <w:tc>
          <w:tcPr>
            <w:tcW w:type="dxa" w:w="6048"/>
          </w:tcPr>
          <w:p>
            <w:r/>
            <w:r>
              <w:rPr>
                <w:sz w:val="20"/>
              </w:rPr>
              <w:t>Technical finding; reputational impact limited to assessor/auditor view.</w:t>
            </w:r>
          </w:p>
        </w:tc>
      </w:tr>
      <w:tr>
        <w:tc>
          <w:tcPr>
            <w:tcW w:type="dxa" w:w="2016"/>
          </w:tcPr>
          <w:p>
            <w:r/>
            <w:r>
              <w:rPr>
                <w:sz w:val="20"/>
              </w:rPr>
              <w:t>Weighted total</w:t>
            </w:r>
          </w:p>
        </w:tc>
        <w:tc>
          <w:tcPr>
            <w:tcW w:type="dxa" w:w="1296"/>
          </w:tcPr>
          <w:p>
            <w:r/>
            <w:r>
              <w:rPr>
                <w:sz w:val="20"/>
              </w:rPr>
              <w:t>3.20</w:t>
            </w:r>
          </w:p>
        </w:tc>
        <w:tc>
          <w:tcPr>
            <w:tcW w:type="dxa" w:w="6048"/>
          </w:tcPr>
          <w:p>
            <w:r/>
            <w:r>
              <w:rPr>
                <w:sz w:val="20"/>
              </w:rPr>
              <w:t>(0.30×2) + (0.25×4) + (0.25×4) + (0.20×3) = 3.20</w:t>
            </w:r>
          </w:p>
        </w:tc>
      </w:tr>
    </w:tbl>
    <w:p/>
    <w:p>
      <w:pPr>
        <w:pStyle w:val="Heading2"/>
      </w:pPr>
      <w:r>
        <w:t>2.4 Ranked Results</w:t>
      </w:r>
    </w:p>
    <w:p>
      <w:r>
        <w:rPr>
          <w:b w:val="0"/>
          <w:i w:val="0"/>
          <w:sz w:val="22"/>
        </w:rPr>
        <w:t>Consolidated ranking, highest weighted score first. The ranking drives remediation priority in the risk treatment plan.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720"/>
            <w:shd w:val="clear" w:fill="1F3B5B"/>
          </w:tcPr>
          <w:p>
            <w:r>
              <w:rPr>
                <w:b/>
                <w:color w:val="FFFFFF"/>
                <w:sz w:val="20"/>
              </w:rPr>
            </w:r>
            <w:r>
              <w:rPr>
                <w:b/>
                <w:color w:val="FFFFFF"/>
                <w:sz w:val="20"/>
              </w:rPr>
              <w:t>Rank</w:t>
            </w:r>
          </w:p>
        </w:tc>
        <w:tc>
          <w:tcPr>
            <w:tcW w:type="dxa" w:w="1008"/>
            <w:shd w:val="clear" w:fill="1F3B5B"/>
          </w:tcPr>
          <w:p>
            <w:r>
              <w:rPr>
                <w:b/>
                <w:color w:val="FFFFFF"/>
                <w:sz w:val="20"/>
              </w:rPr>
            </w:r>
            <w:r>
              <w:rPr>
                <w:b/>
                <w:color w:val="FFFFFF"/>
                <w:sz w:val="20"/>
              </w:rPr>
              <w:t>Risk ID</w:t>
            </w:r>
          </w:p>
        </w:tc>
        <w:tc>
          <w:tcPr>
            <w:tcW w:type="dxa" w:w="2880"/>
            <w:shd w:val="clear" w:fill="1F3B5B"/>
          </w:tcPr>
          <w:p>
            <w:r>
              <w:rPr>
                <w:b/>
                <w:color w:val="FFFFFF"/>
                <w:sz w:val="20"/>
              </w:rPr>
            </w:r>
            <w:r>
              <w:rPr>
                <w:b/>
                <w:color w:val="FFFFFF"/>
                <w:sz w:val="20"/>
              </w:rPr>
              <w:t>Risk title</w:t>
            </w:r>
          </w:p>
        </w:tc>
        <w:tc>
          <w:tcPr>
            <w:tcW w:type="dxa" w:w="1008"/>
            <w:shd w:val="clear" w:fill="1F3B5B"/>
          </w:tcPr>
          <w:p>
            <w:r>
              <w:rPr>
                <w:b/>
                <w:color w:val="FFFFFF"/>
                <w:sz w:val="20"/>
              </w:rPr>
            </w:r>
            <w:r>
              <w:rPr>
                <w:b/>
                <w:color w:val="FFFFFF"/>
                <w:sz w:val="20"/>
              </w:rPr>
              <w:t>Fin (30%)</w:t>
            </w:r>
          </w:p>
        </w:tc>
        <w:tc>
          <w:tcPr>
            <w:tcW w:type="dxa" w:w="1008"/>
            <w:shd w:val="clear" w:fill="1F3B5B"/>
          </w:tcPr>
          <w:p>
            <w:r>
              <w:rPr>
                <w:b/>
                <w:color w:val="FFFFFF"/>
                <w:sz w:val="20"/>
              </w:rPr>
            </w:r>
            <w:r>
              <w:rPr>
                <w:b/>
                <w:color w:val="FFFFFF"/>
                <w:sz w:val="20"/>
              </w:rPr>
              <w:t>Ops (25%)</w:t>
            </w:r>
          </w:p>
        </w:tc>
        <w:tc>
          <w:tcPr>
            <w:tcW w:type="dxa" w:w="1008"/>
            <w:shd w:val="clear" w:fill="1F3B5B"/>
          </w:tcPr>
          <w:p>
            <w:r>
              <w:rPr>
                <w:b/>
                <w:color w:val="FFFFFF"/>
                <w:sz w:val="20"/>
              </w:rPr>
            </w:r>
            <w:r>
              <w:rPr>
                <w:b/>
                <w:color w:val="FFFFFF"/>
                <w:sz w:val="20"/>
              </w:rPr>
              <w:t>Comp (25%)</w:t>
            </w:r>
          </w:p>
        </w:tc>
        <w:tc>
          <w:tcPr>
            <w:tcW w:type="dxa" w:w="1008"/>
            <w:shd w:val="clear" w:fill="1F3B5B"/>
          </w:tcPr>
          <w:p>
            <w:r>
              <w:rPr>
                <w:b/>
                <w:color w:val="FFFFFF"/>
                <w:sz w:val="20"/>
              </w:rPr>
            </w:r>
            <w:r>
              <w:rPr>
                <w:b/>
                <w:color w:val="FFFFFF"/>
                <w:sz w:val="20"/>
              </w:rPr>
              <w:t>Rep (20%)</w:t>
            </w:r>
          </w:p>
        </w:tc>
        <w:tc>
          <w:tcPr>
            <w:tcW w:type="dxa" w:w="1296"/>
            <w:shd w:val="clear" w:fill="1F3B5B"/>
          </w:tcPr>
          <w:p>
            <w:r>
              <w:rPr>
                <w:b/>
                <w:color w:val="FFFFFF"/>
                <w:sz w:val="20"/>
              </w:rPr>
            </w:r>
            <w:r>
              <w:rPr>
                <w:b/>
                <w:color w:val="FFFFFF"/>
                <w:sz w:val="20"/>
              </w:rPr>
              <w:t>Weighted score</w:t>
            </w:r>
          </w:p>
        </w:tc>
        <w:tc>
          <w:tcPr>
            <w:tcW w:type="dxa" w:w="1152"/>
            <w:shd w:val="clear" w:fill="1F3B5B"/>
          </w:tcPr>
          <w:p>
            <w:r>
              <w:rPr>
                <w:b/>
                <w:color w:val="FFFFFF"/>
                <w:sz w:val="20"/>
              </w:rPr>
            </w:r>
            <w:r>
              <w:rPr>
                <w:b/>
                <w:color w:val="FFFFFF"/>
                <w:sz w:val="20"/>
              </w:rPr>
              <w:t>Band</w:t>
            </w:r>
          </w:p>
        </w:tc>
      </w:tr>
      <w:tr>
        <w:tc>
          <w:tcPr>
            <w:tcW w:type="dxa" w:w="720"/>
          </w:tcPr>
          <w:p>
            <w:r/>
            <w:r>
              <w:rPr>
                <w:sz w:val="20"/>
              </w:rPr>
              <w:t>1</w:t>
            </w:r>
          </w:p>
        </w:tc>
        <w:tc>
          <w:tcPr>
            <w:tcW w:type="dxa" w:w="1008"/>
          </w:tcPr>
          <w:p>
            <w:r/>
            <w:r>
              <w:rPr>
                <w:sz w:val="20"/>
              </w:rPr>
              <w:t>RR-002</w:t>
            </w:r>
          </w:p>
        </w:tc>
        <w:tc>
          <w:tcPr>
            <w:tcW w:type="dxa" w:w="2880"/>
          </w:tcPr>
          <w:p>
            <w:r/>
            <w:r>
              <w:rPr>
                <w:sz w:val="20"/>
              </w:rPr>
              <w:t>Privilege Escalation</w:t>
            </w:r>
          </w:p>
        </w:tc>
        <w:tc>
          <w:tcPr>
            <w:tcW w:type="dxa" w:w="1008"/>
          </w:tcPr>
          <w:p>
            <w:r/>
            <w:r>
              <w:rPr>
                <w:sz w:val="20"/>
              </w:rPr>
              <w:t>4</w:t>
            </w:r>
          </w:p>
        </w:tc>
        <w:tc>
          <w:tcPr>
            <w:tcW w:type="dxa" w:w="1008"/>
          </w:tcPr>
          <w:p>
            <w:r/>
            <w:r>
              <w:rPr>
                <w:sz w:val="20"/>
              </w:rPr>
              <w:t>5</w:t>
            </w:r>
          </w:p>
        </w:tc>
        <w:tc>
          <w:tcPr>
            <w:tcW w:type="dxa" w:w="1008"/>
          </w:tcPr>
          <w:p>
            <w:r/>
            <w:r>
              <w:rPr>
                <w:sz w:val="20"/>
              </w:rPr>
              <w:t>5</w:t>
            </w:r>
          </w:p>
        </w:tc>
        <w:tc>
          <w:tcPr>
            <w:tcW w:type="dxa" w:w="1008"/>
          </w:tcPr>
          <w:p>
            <w:r/>
            <w:r>
              <w:rPr>
                <w:sz w:val="20"/>
              </w:rPr>
              <w:t>4</w:t>
            </w:r>
          </w:p>
        </w:tc>
        <w:tc>
          <w:tcPr>
            <w:tcW w:type="dxa" w:w="1296"/>
          </w:tcPr>
          <w:p>
            <w:r/>
            <w:r>
              <w:rPr>
                <w:sz w:val="20"/>
              </w:rPr>
              <w:t>4.50</w:t>
            </w:r>
          </w:p>
        </w:tc>
        <w:tc>
          <w:tcPr>
            <w:tcW w:type="dxa" w:w="1152"/>
          </w:tcPr>
          <w:p>
            <w:r/>
            <w:r>
              <w:rPr>
                <w:sz w:val="20"/>
              </w:rPr>
              <w:t>Critical</w:t>
            </w:r>
          </w:p>
        </w:tc>
      </w:tr>
      <w:tr>
        <w:tc>
          <w:tcPr>
            <w:tcW w:type="dxa" w:w="720"/>
          </w:tcPr>
          <w:p>
            <w:r/>
            <w:r>
              <w:rPr>
                <w:sz w:val="20"/>
              </w:rPr>
              <w:t>2</w:t>
            </w:r>
          </w:p>
        </w:tc>
        <w:tc>
          <w:tcPr>
            <w:tcW w:type="dxa" w:w="1008"/>
          </w:tcPr>
          <w:p>
            <w:r/>
            <w:r>
              <w:rPr>
                <w:sz w:val="20"/>
              </w:rPr>
              <w:t>RR-001</w:t>
            </w:r>
          </w:p>
        </w:tc>
        <w:tc>
          <w:tcPr>
            <w:tcW w:type="dxa" w:w="2880"/>
          </w:tcPr>
          <w:p>
            <w:r/>
            <w:r>
              <w:rPr>
                <w:sz w:val="20"/>
              </w:rPr>
              <w:t>Credential Theft</w:t>
            </w:r>
          </w:p>
        </w:tc>
        <w:tc>
          <w:tcPr>
            <w:tcW w:type="dxa" w:w="1008"/>
          </w:tcPr>
          <w:p>
            <w:r/>
            <w:r>
              <w:rPr>
                <w:sz w:val="20"/>
              </w:rPr>
              <w:t>4</w:t>
            </w:r>
          </w:p>
        </w:tc>
        <w:tc>
          <w:tcPr>
            <w:tcW w:type="dxa" w:w="1008"/>
          </w:tcPr>
          <w:p>
            <w:r/>
            <w:r>
              <w:rPr>
                <w:sz w:val="20"/>
              </w:rPr>
              <w:t>5</w:t>
            </w:r>
          </w:p>
        </w:tc>
        <w:tc>
          <w:tcPr>
            <w:tcW w:type="dxa" w:w="1008"/>
          </w:tcPr>
          <w:p>
            <w:r/>
            <w:r>
              <w:rPr>
                <w:sz w:val="20"/>
              </w:rPr>
              <w:t>4</w:t>
            </w:r>
          </w:p>
        </w:tc>
        <w:tc>
          <w:tcPr>
            <w:tcW w:type="dxa" w:w="1008"/>
          </w:tcPr>
          <w:p>
            <w:r/>
            <w:r>
              <w:rPr>
                <w:sz w:val="20"/>
              </w:rPr>
              <w:t>4</w:t>
            </w:r>
          </w:p>
        </w:tc>
        <w:tc>
          <w:tcPr>
            <w:tcW w:type="dxa" w:w="1296"/>
          </w:tcPr>
          <w:p>
            <w:r/>
            <w:r>
              <w:rPr>
                <w:sz w:val="20"/>
              </w:rPr>
              <w:t>4.25</w:t>
            </w:r>
          </w:p>
        </w:tc>
        <w:tc>
          <w:tcPr>
            <w:tcW w:type="dxa" w:w="1152"/>
          </w:tcPr>
          <w:p>
            <w:r/>
            <w:r>
              <w:rPr>
                <w:sz w:val="20"/>
              </w:rPr>
              <w:t>Critical</w:t>
            </w:r>
          </w:p>
        </w:tc>
      </w:tr>
      <w:tr>
        <w:tc>
          <w:tcPr>
            <w:tcW w:type="dxa" w:w="720"/>
          </w:tcPr>
          <w:p>
            <w:r/>
            <w:r>
              <w:rPr>
                <w:sz w:val="20"/>
              </w:rPr>
              <w:t>3</w:t>
            </w:r>
          </w:p>
        </w:tc>
        <w:tc>
          <w:tcPr>
            <w:tcW w:type="dxa" w:w="1008"/>
          </w:tcPr>
          <w:p>
            <w:r/>
            <w:r>
              <w:rPr>
                <w:sz w:val="20"/>
              </w:rPr>
              <w:t>RR-003</w:t>
            </w:r>
          </w:p>
        </w:tc>
        <w:tc>
          <w:tcPr>
            <w:tcW w:type="dxa" w:w="2880"/>
          </w:tcPr>
          <w:p>
            <w:r/>
            <w:r>
              <w:rPr>
                <w:sz w:val="20"/>
              </w:rPr>
              <w:t>Secrets Exposure (hardcoded creds)</w:t>
            </w:r>
          </w:p>
        </w:tc>
        <w:tc>
          <w:tcPr>
            <w:tcW w:type="dxa" w:w="1008"/>
          </w:tcPr>
          <w:p>
            <w:r/>
            <w:r>
              <w:rPr>
                <w:sz w:val="20"/>
              </w:rPr>
              <w:t>3</w:t>
            </w:r>
          </w:p>
        </w:tc>
        <w:tc>
          <w:tcPr>
            <w:tcW w:type="dxa" w:w="1008"/>
          </w:tcPr>
          <w:p>
            <w:r/>
            <w:r>
              <w:rPr>
                <w:sz w:val="20"/>
              </w:rPr>
              <w:t>4</w:t>
            </w:r>
          </w:p>
        </w:tc>
        <w:tc>
          <w:tcPr>
            <w:tcW w:type="dxa" w:w="1008"/>
          </w:tcPr>
          <w:p>
            <w:r/>
            <w:r>
              <w:rPr>
                <w:sz w:val="20"/>
              </w:rPr>
              <w:t>4</w:t>
            </w:r>
          </w:p>
        </w:tc>
        <w:tc>
          <w:tcPr>
            <w:tcW w:type="dxa" w:w="1008"/>
          </w:tcPr>
          <w:p>
            <w:r/>
            <w:r>
              <w:rPr>
                <w:sz w:val="20"/>
              </w:rPr>
              <w:t>3</w:t>
            </w:r>
          </w:p>
        </w:tc>
        <w:tc>
          <w:tcPr>
            <w:tcW w:type="dxa" w:w="1296"/>
          </w:tcPr>
          <w:p>
            <w:r/>
            <w:r>
              <w:rPr>
                <w:sz w:val="20"/>
              </w:rPr>
              <w:t>3.50</w:t>
            </w:r>
          </w:p>
        </w:tc>
        <w:tc>
          <w:tcPr>
            <w:tcW w:type="dxa" w:w="1152"/>
          </w:tcPr>
          <w:p>
            <w:r/>
            <w:r>
              <w:rPr>
                <w:sz w:val="20"/>
              </w:rPr>
              <w:t>High</w:t>
            </w:r>
          </w:p>
        </w:tc>
      </w:tr>
      <w:tr>
        <w:tc>
          <w:tcPr>
            <w:tcW w:type="dxa" w:w="720"/>
          </w:tcPr>
          <w:p>
            <w:r/>
            <w:r>
              <w:rPr>
                <w:sz w:val="20"/>
              </w:rPr>
              <w:t>4</w:t>
            </w:r>
          </w:p>
        </w:tc>
        <w:tc>
          <w:tcPr>
            <w:tcW w:type="dxa" w:w="1008"/>
          </w:tcPr>
          <w:p>
            <w:r/>
            <w:r>
              <w:rPr>
                <w:sz w:val="20"/>
              </w:rPr>
              <w:t>RR-005</w:t>
            </w:r>
          </w:p>
        </w:tc>
        <w:tc>
          <w:tcPr>
            <w:tcW w:type="dxa" w:w="2880"/>
          </w:tcPr>
          <w:p>
            <w:r/>
            <w:r>
              <w:rPr>
                <w:sz w:val="20"/>
              </w:rPr>
              <w:t>Vault Token Compromise</w:t>
            </w:r>
          </w:p>
        </w:tc>
        <w:tc>
          <w:tcPr>
            <w:tcW w:type="dxa" w:w="1008"/>
          </w:tcPr>
          <w:p>
            <w:r/>
            <w:r>
              <w:rPr>
                <w:sz w:val="20"/>
              </w:rPr>
              <w:t>3</w:t>
            </w:r>
          </w:p>
        </w:tc>
        <w:tc>
          <w:tcPr>
            <w:tcW w:type="dxa" w:w="1008"/>
          </w:tcPr>
          <w:p>
            <w:r/>
            <w:r>
              <w:rPr>
                <w:sz w:val="20"/>
              </w:rPr>
              <w:t>5</w:t>
            </w:r>
          </w:p>
        </w:tc>
        <w:tc>
          <w:tcPr>
            <w:tcW w:type="dxa" w:w="1008"/>
          </w:tcPr>
          <w:p>
            <w:r/>
            <w:r>
              <w:rPr>
                <w:sz w:val="20"/>
              </w:rPr>
              <w:t>3</w:t>
            </w:r>
          </w:p>
        </w:tc>
        <w:tc>
          <w:tcPr>
            <w:tcW w:type="dxa" w:w="1008"/>
          </w:tcPr>
          <w:p>
            <w:r/>
            <w:r>
              <w:rPr>
                <w:sz w:val="20"/>
              </w:rPr>
              <w:t>3</w:t>
            </w:r>
          </w:p>
        </w:tc>
        <w:tc>
          <w:tcPr>
            <w:tcW w:type="dxa" w:w="1296"/>
          </w:tcPr>
          <w:p>
            <w:r/>
            <w:r>
              <w:rPr>
                <w:sz w:val="20"/>
              </w:rPr>
              <w:t>3.50</w:t>
            </w:r>
          </w:p>
        </w:tc>
        <w:tc>
          <w:tcPr>
            <w:tcW w:type="dxa" w:w="1152"/>
          </w:tcPr>
          <w:p>
            <w:r/>
            <w:r>
              <w:rPr>
                <w:sz w:val="20"/>
              </w:rPr>
              <w:t>High</w:t>
            </w:r>
          </w:p>
        </w:tc>
      </w:tr>
      <w:tr>
        <w:tc>
          <w:tcPr>
            <w:tcW w:type="dxa" w:w="720"/>
          </w:tcPr>
          <w:p>
            <w:r/>
            <w:r>
              <w:rPr>
                <w:sz w:val="20"/>
              </w:rPr>
              <w:t>5</w:t>
            </w:r>
          </w:p>
        </w:tc>
        <w:tc>
          <w:tcPr>
            <w:tcW w:type="dxa" w:w="1008"/>
          </w:tcPr>
          <w:p>
            <w:r/>
            <w:r>
              <w:rPr>
                <w:sz w:val="20"/>
              </w:rPr>
              <w:t>RR-004</w:t>
            </w:r>
          </w:p>
        </w:tc>
        <w:tc>
          <w:tcPr>
            <w:tcW w:type="dxa" w:w="2880"/>
          </w:tcPr>
          <w:p>
            <w:r/>
            <w:r>
              <w:rPr>
                <w:sz w:val="20"/>
              </w:rPr>
              <w:t>MFA Fatigue Attack</w:t>
            </w:r>
          </w:p>
        </w:tc>
        <w:tc>
          <w:tcPr>
            <w:tcW w:type="dxa" w:w="1008"/>
          </w:tcPr>
          <w:p>
            <w:r/>
            <w:r>
              <w:rPr>
                <w:sz w:val="20"/>
              </w:rPr>
              <w:t>3</w:t>
            </w:r>
          </w:p>
        </w:tc>
        <w:tc>
          <w:tcPr>
            <w:tcW w:type="dxa" w:w="1008"/>
          </w:tcPr>
          <w:p>
            <w:r/>
            <w:r>
              <w:rPr>
                <w:sz w:val="20"/>
              </w:rPr>
              <w:t>4</w:t>
            </w:r>
          </w:p>
        </w:tc>
        <w:tc>
          <w:tcPr>
            <w:tcW w:type="dxa" w:w="1008"/>
          </w:tcPr>
          <w:p>
            <w:r/>
            <w:r>
              <w:rPr>
                <w:sz w:val="20"/>
              </w:rPr>
              <w:t>3</w:t>
            </w:r>
          </w:p>
        </w:tc>
        <w:tc>
          <w:tcPr>
            <w:tcW w:type="dxa" w:w="1008"/>
          </w:tcPr>
          <w:p>
            <w:r/>
            <w:r>
              <w:rPr>
                <w:sz w:val="20"/>
              </w:rPr>
              <w:t>4</w:t>
            </w:r>
          </w:p>
        </w:tc>
        <w:tc>
          <w:tcPr>
            <w:tcW w:type="dxa" w:w="1296"/>
          </w:tcPr>
          <w:p>
            <w:r/>
            <w:r>
              <w:rPr>
                <w:sz w:val="20"/>
              </w:rPr>
              <w:t>3.45</w:t>
            </w:r>
          </w:p>
        </w:tc>
        <w:tc>
          <w:tcPr>
            <w:tcW w:type="dxa" w:w="1152"/>
          </w:tcPr>
          <w:p>
            <w:r/>
            <w:r>
              <w:rPr>
                <w:sz w:val="20"/>
              </w:rPr>
              <w:t>High</w:t>
            </w:r>
          </w:p>
        </w:tc>
      </w:tr>
      <w:tr>
        <w:tc>
          <w:tcPr>
            <w:tcW w:type="dxa" w:w="720"/>
          </w:tcPr>
          <w:p>
            <w:r/>
            <w:r>
              <w:rPr>
                <w:sz w:val="20"/>
              </w:rPr>
              <w:t>6</w:t>
            </w:r>
          </w:p>
        </w:tc>
        <w:tc>
          <w:tcPr>
            <w:tcW w:type="dxa" w:w="1008"/>
          </w:tcPr>
          <w:p>
            <w:r/>
            <w:r>
              <w:rPr>
                <w:sz w:val="20"/>
              </w:rPr>
              <w:t>RR-011</w:t>
            </w:r>
          </w:p>
        </w:tc>
        <w:tc>
          <w:tcPr>
            <w:tcW w:type="dxa" w:w="2880"/>
          </w:tcPr>
          <w:p>
            <w:r/>
            <w:r>
              <w:rPr>
                <w:sz w:val="20"/>
              </w:rPr>
              <w:t>Insecure LDAP Bind</w:t>
            </w:r>
          </w:p>
        </w:tc>
        <w:tc>
          <w:tcPr>
            <w:tcW w:type="dxa" w:w="1008"/>
          </w:tcPr>
          <w:p>
            <w:r/>
            <w:r>
              <w:rPr>
                <w:sz w:val="20"/>
              </w:rPr>
              <w:t>2</w:t>
            </w:r>
          </w:p>
        </w:tc>
        <w:tc>
          <w:tcPr>
            <w:tcW w:type="dxa" w:w="1008"/>
          </w:tcPr>
          <w:p>
            <w:r/>
            <w:r>
              <w:rPr>
                <w:sz w:val="20"/>
              </w:rPr>
              <w:t>4</w:t>
            </w:r>
          </w:p>
        </w:tc>
        <w:tc>
          <w:tcPr>
            <w:tcW w:type="dxa" w:w="1008"/>
          </w:tcPr>
          <w:p>
            <w:r/>
            <w:r>
              <w:rPr>
                <w:sz w:val="20"/>
              </w:rPr>
              <w:t>4</w:t>
            </w:r>
          </w:p>
        </w:tc>
        <w:tc>
          <w:tcPr>
            <w:tcW w:type="dxa" w:w="1008"/>
          </w:tcPr>
          <w:p>
            <w:r/>
            <w:r>
              <w:rPr>
                <w:sz w:val="20"/>
              </w:rPr>
              <w:t>3</w:t>
            </w:r>
          </w:p>
        </w:tc>
        <w:tc>
          <w:tcPr>
            <w:tcW w:type="dxa" w:w="1296"/>
          </w:tcPr>
          <w:p>
            <w:r/>
            <w:r>
              <w:rPr>
                <w:sz w:val="20"/>
              </w:rPr>
              <w:t>3.20</w:t>
            </w:r>
          </w:p>
        </w:tc>
        <w:tc>
          <w:tcPr>
            <w:tcW w:type="dxa" w:w="1152"/>
          </w:tcPr>
          <w:p>
            <w:r/>
            <w:r>
              <w:rPr>
                <w:sz w:val="20"/>
              </w:rPr>
              <w:t>High</w:t>
            </w:r>
          </w:p>
        </w:tc>
      </w:tr>
    </w:tbl>
    <w:p/>
    <w:p>
      <w:r>
        <w:rPr>
          <w:b w:val="0"/>
          <w:i w:val="0"/>
          <w:sz w:val="22"/>
        </w:rPr>
        <w:t>Reading the ranking: privilege escalation (RR-002) outranks credential theft (RR-001) because, while both are operationally catastrophic, escalation additionally represents a near-certain compliance control failure across every framework in scope. The secrets-exposure and vault risks tie on weighted score; RR-003 is listed first on operational impact as the tie-breaker, consistent with the register’s own ordering.</w:t>
      </w:r>
    </w:p>
    <w:p>
      <w:pPr>
        <w:pStyle w:val="Heading2"/>
      </w:pPr>
      <w:r>
        <w:t>2.5 Evaluation Criteria Documentation and Stakeholder Approval</w:t>
      </w:r>
    </w:p>
    <w:p>
      <w:r>
        <w:rPr>
          <w:b w:val="0"/>
          <w:i w:val="0"/>
          <w:sz w:val="22"/>
        </w:rPr>
        <w:t>The criteria above — factors, weights, 1–5 scales, result bands, and tie-break rule — constitute the approved evaluation standard for EISP risk decisions. Any change to factors, weights, or bands requires re-approval and re-scoring of open risks. Approval is recorded below.</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304"/>
            <w:shd w:val="clear" w:fill="1F3B5B"/>
          </w:tcPr>
          <w:p>
            <w:r>
              <w:rPr>
                <w:b/>
                <w:color w:val="FFFFFF"/>
                <w:sz w:val="20"/>
              </w:rPr>
            </w:r>
            <w:r>
              <w:rPr>
                <w:b/>
                <w:color w:val="FFFFFF"/>
                <w:sz w:val="20"/>
              </w:rPr>
              <w:t>Role</w:t>
            </w:r>
          </w:p>
        </w:tc>
        <w:tc>
          <w:tcPr>
            <w:tcW w:type="dxa" w:w="2016"/>
            <w:shd w:val="clear" w:fill="1F3B5B"/>
          </w:tcPr>
          <w:p>
            <w:r>
              <w:rPr>
                <w:b/>
                <w:color w:val="FFFFFF"/>
                <w:sz w:val="20"/>
              </w:rPr>
            </w:r>
            <w:r>
              <w:rPr>
                <w:b/>
                <w:color w:val="FFFFFF"/>
                <w:sz w:val="20"/>
              </w:rPr>
              <w:t>Name</w:t>
            </w:r>
          </w:p>
        </w:tc>
        <w:tc>
          <w:tcPr>
            <w:tcW w:type="dxa" w:w="3168"/>
            <w:shd w:val="clear" w:fill="1F3B5B"/>
          </w:tcPr>
          <w:p>
            <w:r>
              <w:rPr>
                <w:b/>
                <w:color w:val="FFFFFF"/>
                <w:sz w:val="20"/>
              </w:rPr>
            </w:r>
            <w:r>
              <w:rPr>
                <w:b/>
                <w:color w:val="FFFFFF"/>
                <w:sz w:val="20"/>
              </w:rPr>
              <w:t>Decision</w:t>
            </w:r>
          </w:p>
        </w:tc>
        <w:tc>
          <w:tcPr>
            <w:tcW w:type="dxa" w:w="1728"/>
            <w:shd w:val="clear" w:fill="1F3B5B"/>
          </w:tcPr>
          <w:p>
            <w:r>
              <w:rPr>
                <w:b/>
                <w:color w:val="FFFFFF"/>
                <w:sz w:val="20"/>
              </w:rPr>
            </w:r>
            <w:r>
              <w:rPr>
                <w:b/>
                <w:color w:val="FFFFFF"/>
                <w:sz w:val="20"/>
              </w:rPr>
              <w:t>Signature</w:t>
            </w:r>
          </w:p>
        </w:tc>
        <w:tc>
          <w:tcPr>
            <w:tcW w:type="dxa" w:w="1584"/>
            <w:shd w:val="clear" w:fill="1F3B5B"/>
          </w:tcPr>
          <w:p>
            <w:r>
              <w:rPr>
                <w:b/>
                <w:color w:val="FFFFFF"/>
                <w:sz w:val="20"/>
              </w:rPr>
            </w:r>
            <w:r>
              <w:rPr>
                <w:b/>
                <w:color w:val="FFFFFF"/>
                <w:sz w:val="20"/>
              </w:rPr>
              <w:t>Date</w:t>
            </w:r>
          </w:p>
        </w:tc>
      </w:tr>
      <w:tr>
        <w:tc>
          <w:tcPr>
            <w:tcW w:type="dxa" w:w="2304"/>
          </w:tcPr>
          <w:p>
            <w:r/>
            <w:r>
              <w:rPr>
                <w:sz w:val="20"/>
              </w:rPr>
              <w:t>System Owner (EISP)</w:t>
            </w:r>
          </w:p>
        </w:tc>
        <w:tc>
          <w:tcPr>
            <w:tcW w:type="dxa" w:w="2016"/>
          </w:tcPr>
          <w:p>
            <w:r/>
            <w:r>
              <w:rPr>
                <w:sz w:val="20"/>
              </w:rPr>
            </w:r>
          </w:p>
        </w:tc>
        <w:tc>
          <w:tcPr>
            <w:tcW w:type="dxa" w:w="3168"/>
          </w:tcPr>
          <w:p>
            <w:r/>
            <w:r>
              <w:rPr>
                <w:sz w:val="20"/>
              </w:rPr>
              <w:t>☐ Approved   ☐ Approved with comments   ☐ Rejected</w:t>
            </w:r>
          </w:p>
        </w:tc>
        <w:tc>
          <w:tcPr>
            <w:tcW w:type="dxa" w:w="1728"/>
          </w:tcPr>
          <w:p>
            <w:r/>
            <w:r>
              <w:rPr>
                <w:sz w:val="20"/>
              </w:rPr>
            </w:r>
          </w:p>
        </w:tc>
        <w:tc>
          <w:tcPr>
            <w:tcW w:type="dxa" w:w="1584"/>
          </w:tcPr>
          <w:p>
            <w:r/>
            <w:r>
              <w:rPr>
                <w:sz w:val="20"/>
              </w:rPr>
            </w:r>
          </w:p>
        </w:tc>
      </w:tr>
      <w:tr>
        <w:tc>
          <w:tcPr>
            <w:tcW w:type="dxa" w:w="2304"/>
          </w:tcPr>
          <w:p>
            <w:r/>
            <w:r>
              <w:rPr>
                <w:sz w:val="20"/>
              </w:rPr>
              <w:t>IAM Engineer</w:t>
            </w:r>
          </w:p>
        </w:tc>
        <w:tc>
          <w:tcPr>
            <w:tcW w:type="dxa" w:w="2016"/>
          </w:tcPr>
          <w:p>
            <w:r/>
            <w:r>
              <w:rPr>
                <w:sz w:val="20"/>
              </w:rPr>
            </w:r>
          </w:p>
        </w:tc>
        <w:tc>
          <w:tcPr>
            <w:tcW w:type="dxa" w:w="3168"/>
          </w:tcPr>
          <w:p>
            <w:r/>
            <w:r>
              <w:rPr>
                <w:sz w:val="20"/>
              </w:rPr>
              <w:t>☐ Approved   ☐ Approved with comments   ☐ Rejected</w:t>
            </w:r>
          </w:p>
        </w:tc>
        <w:tc>
          <w:tcPr>
            <w:tcW w:type="dxa" w:w="1728"/>
          </w:tcPr>
          <w:p>
            <w:r/>
            <w:r>
              <w:rPr>
                <w:sz w:val="20"/>
              </w:rPr>
            </w:r>
          </w:p>
        </w:tc>
        <w:tc>
          <w:tcPr>
            <w:tcW w:type="dxa" w:w="1584"/>
          </w:tcPr>
          <w:p>
            <w:r/>
            <w:r>
              <w:rPr>
                <w:sz w:val="20"/>
              </w:rPr>
            </w:r>
          </w:p>
        </w:tc>
      </w:tr>
      <w:tr>
        <w:tc>
          <w:tcPr>
            <w:tcW w:type="dxa" w:w="2304"/>
          </w:tcPr>
          <w:p>
            <w:r/>
            <w:r>
              <w:rPr>
                <w:sz w:val="20"/>
              </w:rPr>
              <w:t>Security Analyst</w:t>
            </w:r>
          </w:p>
        </w:tc>
        <w:tc>
          <w:tcPr>
            <w:tcW w:type="dxa" w:w="2016"/>
          </w:tcPr>
          <w:p>
            <w:r/>
            <w:r>
              <w:rPr>
                <w:sz w:val="20"/>
              </w:rPr>
            </w:r>
          </w:p>
        </w:tc>
        <w:tc>
          <w:tcPr>
            <w:tcW w:type="dxa" w:w="3168"/>
          </w:tcPr>
          <w:p>
            <w:r/>
            <w:r>
              <w:rPr>
                <w:sz w:val="20"/>
              </w:rPr>
              <w:t>☐ Approved   ☐ Approved with comments   ☐ Rejected</w:t>
            </w:r>
          </w:p>
        </w:tc>
        <w:tc>
          <w:tcPr>
            <w:tcW w:type="dxa" w:w="1728"/>
          </w:tcPr>
          <w:p>
            <w:r/>
            <w:r>
              <w:rPr>
                <w:sz w:val="20"/>
              </w:rPr>
            </w:r>
          </w:p>
        </w:tc>
        <w:tc>
          <w:tcPr>
            <w:tcW w:type="dxa" w:w="1584"/>
          </w:tcPr>
          <w:p>
            <w:r/>
            <w:r>
              <w:rPr>
                <w:sz w:val="20"/>
              </w:rPr>
            </w:r>
          </w:p>
        </w:tc>
      </w:tr>
      <w:tr>
        <w:tc>
          <w:tcPr>
            <w:tcW w:type="dxa" w:w="2304"/>
          </w:tcPr>
          <w:p>
            <w:r/>
            <w:r>
              <w:rPr>
                <w:sz w:val="20"/>
              </w:rPr>
              <w:t>Independent Assessor</w:t>
            </w:r>
          </w:p>
        </w:tc>
        <w:tc>
          <w:tcPr>
            <w:tcW w:type="dxa" w:w="2016"/>
          </w:tcPr>
          <w:p>
            <w:r/>
            <w:r>
              <w:rPr>
                <w:sz w:val="20"/>
              </w:rPr>
            </w:r>
          </w:p>
        </w:tc>
        <w:tc>
          <w:tcPr>
            <w:tcW w:type="dxa" w:w="3168"/>
          </w:tcPr>
          <w:p>
            <w:r/>
            <w:r>
              <w:rPr>
                <w:sz w:val="20"/>
              </w:rPr>
              <w:t>☐ Approved   ☐ Approved with comments   ☐ Rejected</w:t>
            </w:r>
          </w:p>
        </w:tc>
        <w:tc>
          <w:tcPr>
            <w:tcW w:type="dxa" w:w="1728"/>
          </w:tcPr>
          <w:p>
            <w:r/>
            <w:r>
              <w:rPr>
                <w:sz w:val="20"/>
              </w:rPr>
            </w:r>
          </w:p>
        </w:tc>
        <w:tc>
          <w:tcPr>
            <w:tcW w:type="dxa" w:w="1584"/>
          </w:tcPr>
          <w:p>
            <w:r/>
            <w:r>
              <w:rPr>
                <w:sz w:val="20"/>
              </w:rPr>
            </w:r>
          </w:p>
        </w:tc>
      </w:tr>
    </w:tbl>
    <w:p/>
    <w:p>
      <w:r>
        <w:rPr>
          <w:b w:val="0"/>
          <w:i/>
          <w:sz w:val="22"/>
        </w:rPr>
        <w:t>Approval confirms that: (a) the four factors and their weights fairly represent EISP stakeholder priorities; (b) the measurement scales are sufficiently defined for consistent scoring; (c) the ranked results above are accepted as the basis for remediation prioritization.</w:t>
      </w:r>
    </w:p>
    <w:p>
      <w:pPr>
        <w:pStyle w:val="Heading1"/>
      </w:pPr>
      <w:r>
        <w:t>3. Business Impact Analysis</w:t>
      </w:r>
    </w:p>
    <w:p>
      <w:pPr>
        <w:pStyle w:val="Heading2"/>
      </w:pPr>
      <w:r>
        <w:t>3.1 Methodology and Definitions</w:t>
      </w:r>
    </w:p>
    <w:p>
      <w:pPr>
        <w:pStyle w:val="ListBullet"/>
      </w:pPr>
      <w:r>
        <w:t>Recovery Time Objective (RTO): the maximum acceptable time to restore a function after disruption.</w:t>
      </w:r>
    </w:p>
    <w:p>
      <w:pPr>
        <w:pStyle w:val="ListBullet"/>
      </w:pPr>
      <w:r>
        <w:t>Recovery Point Objective (RPO): the maximum acceptable age of data to be recovered (i.e., tolerable data loss window).</w:t>
      </w:r>
    </w:p>
    <w:p>
      <w:pPr>
        <w:pStyle w:val="ListBullet"/>
      </w:pPr>
      <w:r>
        <w:t>Maximum Tolerable Downtime (MTD): the total time a function can remain unavailable before the impact becomes unacceptable; RTO must always be shorter than MTD.</w:t>
      </w:r>
    </w:p>
    <w:p>
      <w:pPr>
        <w:pStyle w:val="ListBullet"/>
      </w:pPr>
      <w:r>
        <w:t>Each value below is set with written rationale tied to EISP architecture and dependencies. Financial figures are illustrative academic estimates.</w:t>
      </w:r>
    </w:p>
    <w:p>
      <w:pPr>
        <w:pStyle w:val="Heading2"/>
      </w:pPr>
      <w:r>
        <w:t>3.2 BIA — Function A: Authentik Authentication / SSO Service</w:t>
      </w:r>
    </w:p>
    <w:p>
      <w:r>
        <w:rPr>
          <w:b w:val="0"/>
          <w:i w:val="0"/>
          <w:sz w:val="22"/>
        </w:rPr>
        <w:t>The Authentik server and worker provide all interactive authentication (login flows, MFA) and federated SSO (SAML/OIDC) for downstream applications, including the AWS SAML federation via the authentik-saml provider. It is the single front door to the platform.</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1F3B5B"/>
          </w:tcPr>
          <w:p>
            <w:r>
              <w:rPr>
                <w:b/>
                <w:color w:val="FFFFFF"/>
                <w:sz w:val="20"/>
              </w:rPr>
            </w:r>
            <w:r>
              <w:rPr>
                <w:b/>
                <w:color w:val="FFFFFF"/>
                <w:sz w:val="20"/>
              </w:rPr>
              <w:t>Objective</w:t>
            </w:r>
          </w:p>
        </w:tc>
        <w:tc>
          <w:tcPr>
            <w:tcW w:type="dxa" w:w="1440"/>
            <w:shd w:val="clear" w:fill="1F3B5B"/>
          </w:tcPr>
          <w:p>
            <w:r>
              <w:rPr>
                <w:b/>
                <w:color w:val="FFFFFF"/>
                <w:sz w:val="20"/>
              </w:rPr>
            </w:r>
            <w:r>
              <w:rPr>
                <w:b/>
                <w:color w:val="FFFFFF"/>
                <w:sz w:val="20"/>
              </w:rPr>
              <w:t>Value</w:t>
            </w:r>
          </w:p>
        </w:tc>
        <w:tc>
          <w:tcPr>
            <w:tcW w:type="dxa" w:w="6768"/>
            <w:shd w:val="clear" w:fill="1F3B5B"/>
          </w:tcPr>
          <w:p>
            <w:r>
              <w:rPr>
                <w:b/>
                <w:color w:val="FFFFFF"/>
                <w:sz w:val="20"/>
              </w:rPr>
            </w:r>
            <w:r>
              <w:rPr>
                <w:b/>
                <w:color w:val="FFFFFF"/>
                <w:sz w:val="20"/>
              </w:rPr>
              <w:t>Rationale</w:t>
            </w:r>
          </w:p>
        </w:tc>
      </w:tr>
      <w:tr>
        <w:tc>
          <w:tcPr>
            <w:tcW w:type="dxa" w:w="1152"/>
          </w:tcPr>
          <w:p>
            <w:r/>
            <w:r>
              <w:rPr>
                <w:sz w:val="20"/>
              </w:rPr>
              <w:t>RTO</w:t>
            </w:r>
          </w:p>
        </w:tc>
        <w:tc>
          <w:tcPr>
            <w:tcW w:type="dxa" w:w="1440"/>
          </w:tcPr>
          <w:p>
            <w:r/>
            <w:r>
              <w:rPr>
                <w:sz w:val="20"/>
              </w:rPr>
              <w:t>4 hours</w:t>
            </w:r>
          </w:p>
        </w:tc>
        <w:tc>
          <w:tcPr>
            <w:tcW w:type="dxa" w:w="6768"/>
          </w:tcPr>
          <w:p>
            <w:r/>
            <w:r>
              <w:rPr>
                <w:sz w:val="20"/>
              </w:rPr>
              <w:t>Authentication is the front door: every federated login fails while Authentik is down. Four hours bounds the outage to a single working session and matches the 4-hour maximum STS session duration already designed into the Terraform IAM configuration — sessions issued before the outage expire on a comparable timeline.</w:t>
            </w:r>
          </w:p>
        </w:tc>
      </w:tr>
      <w:tr>
        <w:tc>
          <w:tcPr>
            <w:tcW w:type="dxa" w:w="1152"/>
          </w:tcPr>
          <w:p>
            <w:r/>
            <w:r>
              <w:rPr>
                <w:sz w:val="20"/>
              </w:rPr>
              <w:t>RPO</w:t>
            </w:r>
          </w:p>
        </w:tc>
        <w:tc>
          <w:tcPr>
            <w:tcW w:type="dxa" w:w="1440"/>
          </w:tcPr>
          <w:p>
            <w:r/>
            <w:r>
              <w:rPr>
                <w:sz w:val="20"/>
              </w:rPr>
              <w:t>1 hour</w:t>
            </w:r>
          </w:p>
        </w:tc>
        <w:tc>
          <w:tcPr>
            <w:tcW w:type="dxa" w:w="6768"/>
          </w:tcPr>
          <w:p>
            <w:r/>
            <w:r>
              <w:rPr>
                <w:sz w:val="20"/>
              </w:rPr>
              <w:t>PostgreSQL holds users, groups, policies, and tokens. Hourly backups (or continuous WAL archiving) limit rework to re-creating at most one hour of administrative changes.</w:t>
            </w:r>
          </w:p>
        </w:tc>
      </w:tr>
      <w:tr>
        <w:tc>
          <w:tcPr>
            <w:tcW w:type="dxa" w:w="1152"/>
          </w:tcPr>
          <w:p>
            <w:r/>
            <w:r>
              <w:rPr>
                <w:sz w:val="20"/>
              </w:rPr>
              <w:t>MTD</w:t>
            </w:r>
          </w:p>
        </w:tc>
        <w:tc>
          <w:tcPr>
            <w:tcW w:type="dxa" w:w="1440"/>
          </w:tcPr>
          <w:p>
            <w:r/>
            <w:r>
              <w:rPr>
                <w:sz w:val="20"/>
              </w:rPr>
              <w:t>24 hours</w:t>
            </w:r>
          </w:p>
        </w:tc>
        <w:tc>
          <w:tcPr>
            <w:tcW w:type="dxa" w:w="6768"/>
          </w:tcPr>
          <w:p>
            <w:r/>
            <w:r>
              <w:rPr>
                <w:sz w:val="20"/>
              </w:rPr>
              <w:t>Beyond 24 hours, no user can authenticate to any federated application, queued administrative work collapses, and any in-flight incident response requiring authenticated access is blocked. Workarounds (local emergency accounts) are deliberately limited by design.</w:t>
            </w:r>
          </w:p>
        </w:tc>
      </w:tr>
    </w:tbl>
    <w:p/>
    <w:p>
      <w:pPr>
        <w:pStyle w:val="Heading2"/>
      </w:pPr>
      <w:r>
        <w:t>3.3 BIA — Function B: LDAP Directory Service</w:t>
      </w:r>
    </w:p>
    <w:p>
      <w:r>
        <w:rPr>
          <w:b w:val="0"/>
          <w:i w:val="0"/>
          <w:sz w:val="22"/>
        </w:rPr>
        <w:t>The Authentik LDAP outpost (ports 389/636) serves legacy and infrastructure applications that cannot speak SAML/OIDC. It is a protocol translation layer over the same Authentik directory — it cannot function if the Authentik server is unavailable.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1F3B5B"/>
          </w:tcPr>
          <w:p>
            <w:r>
              <w:rPr>
                <w:b/>
                <w:color w:val="FFFFFF"/>
                <w:sz w:val="20"/>
              </w:rPr>
            </w:r>
            <w:r>
              <w:rPr>
                <w:b/>
                <w:color w:val="FFFFFF"/>
                <w:sz w:val="20"/>
              </w:rPr>
              <w:t>Objective</w:t>
            </w:r>
          </w:p>
        </w:tc>
        <w:tc>
          <w:tcPr>
            <w:tcW w:type="dxa" w:w="1440"/>
            <w:shd w:val="clear" w:fill="1F3B5B"/>
          </w:tcPr>
          <w:p>
            <w:r>
              <w:rPr>
                <w:b/>
                <w:color w:val="FFFFFF"/>
                <w:sz w:val="20"/>
              </w:rPr>
            </w:r>
            <w:r>
              <w:rPr>
                <w:b/>
                <w:color w:val="FFFFFF"/>
                <w:sz w:val="20"/>
              </w:rPr>
              <w:t>Value</w:t>
            </w:r>
          </w:p>
        </w:tc>
        <w:tc>
          <w:tcPr>
            <w:tcW w:type="dxa" w:w="6768"/>
            <w:shd w:val="clear" w:fill="1F3B5B"/>
          </w:tcPr>
          <w:p>
            <w:r>
              <w:rPr>
                <w:b/>
                <w:color w:val="FFFFFF"/>
                <w:sz w:val="20"/>
              </w:rPr>
            </w:r>
            <w:r>
              <w:rPr>
                <w:b/>
                <w:color w:val="FFFFFF"/>
                <w:sz w:val="20"/>
              </w:rPr>
              <w:t>Rationale</w:t>
            </w:r>
          </w:p>
        </w:tc>
      </w:tr>
      <w:tr>
        <w:tc>
          <w:tcPr>
            <w:tcW w:type="dxa" w:w="1152"/>
          </w:tcPr>
          <w:p>
            <w:r/>
            <w:r>
              <w:rPr>
                <w:sz w:val="20"/>
              </w:rPr>
              <w:t>RTO</w:t>
            </w:r>
          </w:p>
        </w:tc>
        <w:tc>
          <w:tcPr>
            <w:tcW w:type="dxa" w:w="1440"/>
          </w:tcPr>
          <w:p>
            <w:r/>
            <w:r>
              <w:rPr>
                <w:sz w:val="20"/>
              </w:rPr>
              <w:t>8 hours</w:t>
            </w:r>
          </w:p>
        </w:tc>
        <w:tc>
          <w:tcPr>
            <w:tcW w:type="dxa" w:w="6768"/>
          </w:tcPr>
          <w:p>
            <w:r/>
            <w:r>
              <w:rPr>
                <w:sz w:val="20"/>
              </w:rPr>
              <w:t>Dependent applications typically cache directory lookups briefly and degrade gracefully; an 8-hour window allows the Authentik server (RTO 4h) to be restored first, since the outpost depends on it. The outpost itself is stateless and restarts in minutes once the server is healthy.</w:t>
            </w:r>
          </w:p>
        </w:tc>
      </w:tr>
      <w:tr>
        <w:tc>
          <w:tcPr>
            <w:tcW w:type="dxa" w:w="1152"/>
          </w:tcPr>
          <w:p>
            <w:r/>
            <w:r>
              <w:rPr>
                <w:sz w:val="20"/>
              </w:rPr>
              <w:t>RPO</w:t>
            </w:r>
          </w:p>
        </w:tc>
        <w:tc>
          <w:tcPr>
            <w:tcW w:type="dxa" w:w="1440"/>
          </w:tcPr>
          <w:p>
            <w:r/>
            <w:r>
              <w:rPr>
                <w:sz w:val="20"/>
              </w:rPr>
              <w:t>1 hour</w:t>
            </w:r>
          </w:p>
        </w:tc>
        <w:tc>
          <w:tcPr>
            <w:tcW w:type="dxa" w:w="6768"/>
          </w:tcPr>
          <w:p>
            <w:r/>
            <w:r>
              <w:rPr>
                <w:sz w:val="20"/>
              </w:rPr>
              <w:t>The outpost holds no independent state; its RPO inherits the Authentik/PostgreSQL RPO of 1 hour.</w:t>
            </w:r>
          </w:p>
        </w:tc>
      </w:tr>
      <w:tr>
        <w:tc>
          <w:tcPr>
            <w:tcW w:type="dxa" w:w="1152"/>
          </w:tcPr>
          <w:p>
            <w:r/>
            <w:r>
              <w:rPr>
                <w:sz w:val="20"/>
              </w:rPr>
              <w:t>MTD</w:t>
            </w:r>
          </w:p>
        </w:tc>
        <w:tc>
          <w:tcPr>
            <w:tcW w:type="dxa" w:w="1440"/>
          </w:tcPr>
          <w:p>
            <w:r/>
            <w:r>
              <w:rPr>
                <w:sz w:val="20"/>
              </w:rPr>
              <w:t>48 hours</w:t>
            </w:r>
          </w:p>
        </w:tc>
        <w:tc>
          <w:tcPr>
            <w:tcW w:type="dxa" w:w="6768"/>
          </w:tcPr>
          <w:p>
            <w:r/>
            <w:r>
              <w:rPr>
                <w:sz w:val="20"/>
              </w:rPr>
              <w:t>Legacy consumers tolerate longer directory outages than interactive SSO users, but beyond 48 hours scheduled jobs, VPN authentications, and service accounts begin failing in ways that cascade into operational incidents.</w:t>
            </w:r>
          </w:p>
        </w:tc>
      </w:tr>
    </w:tbl>
    <w:p/>
    <w:p>
      <w:pPr>
        <w:pStyle w:val="Heading2"/>
      </w:pPr>
      <w:r>
        <w:t>3.4 BIA — Function C: AWS IAM Role / Policy Management</w:t>
      </w:r>
    </w:p>
    <w:p>
      <w:r>
        <w:rPr>
          <w:b w:val="0"/>
          <w:i w:val="0"/>
          <w:sz w:val="22"/>
        </w:rPr>
        <w:t>Terraform-managed IAM (roles, permission boundaries, SAML trust policy) controls what authenticated identities are authorized to do in AWS. Day-to-day access continues from already-issued credentials during a management-plane outage; the impact is the inability to change access.</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fill="1F3B5B"/>
          </w:tcPr>
          <w:p>
            <w:r>
              <w:rPr>
                <w:b/>
                <w:color w:val="FFFFFF"/>
                <w:sz w:val="20"/>
              </w:rPr>
            </w:r>
            <w:r>
              <w:rPr>
                <w:b/>
                <w:color w:val="FFFFFF"/>
                <w:sz w:val="20"/>
              </w:rPr>
              <w:t>Objective</w:t>
            </w:r>
          </w:p>
        </w:tc>
        <w:tc>
          <w:tcPr>
            <w:tcW w:type="dxa" w:w="1440"/>
            <w:shd w:val="clear" w:fill="1F3B5B"/>
          </w:tcPr>
          <w:p>
            <w:r>
              <w:rPr>
                <w:b/>
                <w:color w:val="FFFFFF"/>
                <w:sz w:val="20"/>
              </w:rPr>
            </w:r>
            <w:r>
              <w:rPr>
                <w:b/>
                <w:color w:val="FFFFFF"/>
                <w:sz w:val="20"/>
              </w:rPr>
              <w:t>Value</w:t>
            </w:r>
          </w:p>
        </w:tc>
        <w:tc>
          <w:tcPr>
            <w:tcW w:type="dxa" w:w="6768"/>
            <w:shd w:val="clear" w:fill="1F3B5B"/>
          </w:tcPr>
          <w:p>
            <w:r>
              <w:rPr>
                <w:b/>
                <w:color w:val="FFFFFF"/>
                <w:sz w:val="20"/>
              </w:rPr>
            </w:r>
            <w:r>
              <w:rPr>
                <w:b/>
                <w:color w:val="FFFFFF"/>
                <w:sz w:val="20"/>
              </w:rPr>
              <w:t>Rationale</w:t>
            </w:r>
          </w:p>
        </w:tc>
      </w:tr>
      <w:tr>
        <w:tc>
          <w:tcPr>
            <w:tcW w:type="dxa" w:w="1152"/>
          </w:tcPr>
          <w:p>
            <w:r/>
            <w:r>
              <w:rPr>
                <w:sz w:val="20"/>
              </w:rPr>
              <w:t>RTO</w:t>
            </w:r>
          </w:p>
        </w:tc>
        <w:tc>
          <w:tcPr>
            <w:tcW w:type="dxa" w:w="1440"/>
          </w:tcPr>
          <w:p>
            <w:r/>
            <w:r>
              <w:rPr>
                <w:sz w:val="20"/>
              </w:rPr>
              <w:t>24 hours</w:t>
            </w:r>
          </w:p>
        </w:tc>
        <w:tc>
          <w:tcPr>
            <w:tcW w:type="dxa" w:w="6768"/>
          </w:tcPr>
          <w:p>
            <w:r/>
            <w:r>
              <w:rPr>
                <w:sz w:val="20"/>
              </w:rPr>
              <w:t>Existing roles, policies, and issued STS sessions (max 4 hours) continue to function; only new grants, revocations, and emergency access changes are blocked. A 24-hour window is acceptable because emergency break-glass procedures exist outside Terraform.</w:t>
            </w:r>
          </w:p>
        </w:tc>
      </w:tr>
      <w:tr>
        <w:tc>
          <w:tcPr>
            <w:tcW w:type="dxa" w:w="1152"/>
          </w:tcPr>
          <w:p>
            <w:r/>
            <w:r>
              <w:rPr>
                <w:sz w:val="20"/>
              </w:rPr>
              <w:t>RPO</w:t>
            </w:r>
          </w:p>
        </w:tc>
        <w:tc>
          <w:tcPr>
            <w:tcW w:type="dxa" w:w="1440"/>
          </w:tcPr>
          <w:p>
            <w:r/>
            <w:r>
              <w:rPr>
                <w:sz w:val="20"/>
              </w:rPr>
              <w:t>24 hours</w:t>
            </w:r>
          </w:p>
        </w:tc>
        <w:tc>
          <w:tcPr>
            <w:tcW w:type="dxa" w:w="6768"/>
          </w:tcPr>
          <w:p>
            <w:r/>
            <w:r>
              <w:rPr>
                <w:sz w:val="20"/>
              </w:rPr>
              <w:t>IAM configuration changes are infrequent and version-controlled; daily state snapshots bound rework to one day of policy changes.</w:t>
            </w:r>
          </w:p>
        </w:tc>
      </w:tr>
      <w:tr>
        <w:tc>
          <w:tcPr>
            <w:tcW w:type="dxa" w:w="1152"/>
          </w:tcPr>
          <w:p>
            <w:r/>
            <w:r>
              <w:rPr>
                <w:sz w:val="20"/>
              </w:rPr>
              <w:t>MTD</w:t>
            </w:r>
          </w:p>
        </w:tc>
        <w:tc>
          <w:tcPr>
            <w:tcW w:type="dxa" w:w="1440"/>
          </w:tcPr>
          <w:p>
            <w:r/>
            <w:r>
              <w:rPr>
                <w:sz w:val="20"/>
              </w:rPr>
              <w:t>72 hours</w:t>
            </w:r>
          </w:p>
        </w:tc>
        <w:tc>
          <w:tcPr>
            <w:tcW w:type="dxa" w:w="6768"/>
          </w:tcPr>
          <w:p>
            <w:r/>
            <w:r>
              <w:rPr>
                <w:sz w:val="20"/>
              </w:rPr>
              <w:t>Beyond 72 hours, joiner/mover/leaver changes pile up, standing access reviews stall, and a termination requiring immediate revocation could not be executed through the normal pipeline — forcing riskier manual intervention.</w:t>
            </w:r>
          </w:p>
        </w:tc>
      </w:tr>
    </w:tbl>
    <w:p/>
    <w:p>
      <w:pPr>
        <w:pStyle w:val="Heading2"/>
      </w:pPr>
      <w:r>
        <w:t>3.5 Financial Impact Analysis (Illustrative)</w:t>
      </w:r>
    </w:p>
    <w:p>
      <w:r>
        <w:rPr>
          <w:b w:val="0"/>
          <w:i/>
          <w:sz w:val="22"/>
        </w:rPr>
        <w:t>The following figures are illustrative academic estimates used to demonstrate the BIA financial method. Assumptions are stated so the model can be re-run with real organizational data.</w:t>
      </w:r>
    </w:p>
    <w:tbl>
      <w:tblPr>
        <w:tblStyle w:val="TableGrid"/>
        <w:tblW w:type="auto" w:w="0"/>
        <w:jc w:val="center"/>
        <w:tblLook w:firstColumn="1" w:firstRow="1" w:lastColumn="0" w:lastRow="0" w:noHBand="0" w:noVBand="1" w:val="04A0"/>
      </w:tblPr>
      <w:tblGrid>
        <w:gridCol w:w="4320"/>
        <w:gridCol w:w="4320"/>
      </w:tblGrid>
      <w:tr>
        <w:tc>
          <w:tcPr>
            <w:tcW w:type="dxa" w:w="4608"/>
            <w:shd w:val="clear" w:fill="1F3B5B"/>
          </w:tcPr>
          <w:p>
            <w:r>
              <w:rPr>
                <w:b/>
                <w:color w:val="FFFFFF"/>
                <w:sz w:val="20"/>
              </w:rPr>
            </w:r>
            <w:r>
              <w:rPr>
                <w:b/>
                <w:color w:val="FFFFFF"/>
                <w:sz w:val="20"/>
              </w:rPr>
              <w:t>Assumption</w:t>
            </w:r>
          </w:p>
        </w:tc>
        <w:tc>
          <w:tcPr>
            <w:tcW w:type="dxa" w:w="4752"/>
            <w:shd w:val="clear" w:fill="1F3B5B"/>
          </w:tcPr>
          <w:p>
            <w:r>
              <w:rPr>
                <w:b/>
                <w:color w:val="FFFFFF"/>
                <w:sz w:val="20"/>
              </w:rPr>
            </w:r>
            <w:r>
              <w:rPr>
                <w:b/>
                <w:color w:val="FFFFFF"/>
                <w:sz w:val="20"/>
              </w:rPr>
              <w:t>Value used</w:t>
            </w:r>
          </w:p>
        </w:tc>
      </w:tr>
      <w:tr>
        <w:tc>
          <w:tcPr>
            <w:tcW w:type="dxa" w:w="4608"/>
          </w:tcPr>
          <w:p>
            <w:r/>
            <w:r>
              <w:rPr>
                <w:sz w:val="20"/>
              </w:rPr>
              <w:t>Team size dependent on EISP authentication</w:t>
            </w:r>
          </w:p>
        </w:tc>
        <w:tc>
          <w:tcPr>
            <w:tcW w:type="dxa" w:w="4752"/>
          </w:tcPr>
          <w:p>
            <w:r/>
            <w:r>
              <w:rPr>
                <w:sz w:val="20"/>
              </w:rPr>
              <w:t>10 engineers/analysts</w:t>
            </w:r>
          </w:p>
        </w:tc>
      </w:tr>
      <w:tr>
        <w:tc>
          <w:tcPr>
            <w:tcW w:type="dxa" w:w="4608"/>
          </w:tcPr>
          <w:p>
            <w:r/>
            <w:r>
              <w:rPr>
                <w:sz w:val="20"/>
              </w:rPr>
              <w:t>Blended fully-loaded labour rate</w:t>
            </w:r>
          </w:p>
        </w:tc>
        <w:tc>
          <w:tcPr>
            <w:tcW w:type="dxa" w:w="4752"/>
          </w:tcPr>
          <w:p>
            <w:r/>
            <w:r>
              <w:rPr>
                <w:sz w:val="20"/>
              </w:rPr>
              <w:t>$75 / hour</w:t>
            </w:r>
          </w:p>
        </w:tc>
      </w:tr>
      <w:tr>
        <w:tc>
          <w:tcPr>
            <w:tcW w:type="dxa" w:w="4608"/>
          </w:tcPr>
          <w:p>
            <w:r/>
            <w:r>
              <w:rPr>
                <w:sz w:val="20"/>
              </w:rPr>
              <w:t>Productivity loss during full IdP outage</w:t>
            </w:r>
          </w:p>
        </w:tc>
        <w:tc>
          <w:tcPr>
            <w:tcW w:type="dxa" w:w="4752"/>
          </w:tcPr>
          <w:p>
            <w:r/>
            <w:r>
              <w:rPr>
                <w:sz w:val="20"/>
              </w:rPr>
              <w:t>80% of dependent team output</w:t>
            </w:r>
          </w:p>
        </w:tc>
      </w:tr>
      <w:tr>
        <w:tc>
          <w:tcPr>
            <w:tcW w:type="dxa" w:w="4608"/>
          </w:tcPr>
          <w:p>
            <w:r/>
            <w:r>
              <w:rPr>
                <w:sz w:val="20"/>
              </w:rPr>
              <w:t>Incident response labour (per major incident)</w:t>
            </w:r>
          </w:p>
        </w:tc>
        <w:tc>
          <w:tcPr>
            <w:tcW w:type="dxa" w:w="4752"/>
          </w:tcPr>
          <w:p>
            <w:r/>
            <w:r>
              <w:rPr>
                <w:sz w:val="20"/>
              </w:rPr>
              <w:t>16 hours × $75 = $1,200</w:t>
            </w:r>
          </w:p>
        </w:tc>
      </w:tr>
    </w:tbl>
    <w:p/>
    <w:p>
      <w:r>
        <w:rPr>
          <w:b w:val="0"/>
          <w:i w:val="0"/>
          <w:sz w:val="22"/>
        </w:rPr>
        <w:t>Illustrative cost model for a full Authentik SSO outage: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1F3B5B"/>
          </w:tcPr>
          <w:p>
            <w:r>
              <w:rPr>
                <w:b/>
                <w:color w:val="FFFFFF"/>
                <w:sz w:val="20"/>
              </w:rPr>
            </w:r>
            <w:r>
              <w:rPr>
                <w:b/>
                <w:color w:val="FFFFFF"/>
                <w:sz w:val="20"/>
              </w:rPr>
              <w:t>Outage duration</w:t>
            </w:r>
          </w:p>
        </w:tc>
        <w:tc>
          <w:tcPr>
            <w:tcW w:type="dxa" w:w="2736"/>
            <w:shd w:val="clear" w:fill="1F3B5B"/>
          </w:tcPr>
          <w:p>
            <w:r>
              <w:rPr>
                <w:b/>
                <w:color w:val="FFFFFF"/>
                <w:sz w:val="20"/>
              </w:rPr>
            </w:r>
            <w:r>
              <w:rPr>
                <w:b/>
                <w:color w:val="FFFFFF"/>
                <w:sz w:val="20"/>
              </w:rPr>
              <w:t>Lost productivity (illustrative)</w:t>
            </w:r>
          </w:p>
        </w:tc>
        <w:tc>
          <w:tcPr>
            <w:tcW w:type="dxa" w:w="2448"/>
            <w:shd w:val="clear" w:fill="1F3B5B"/>
          </w:tcPr>
          <w:p>
            <w:r>
              <w:rPr>
                <w:b/>
                <w:color w:val="FFFFFF"/>
                <w:sz w:val="20"/>
              </w:rPr>
            </w:r>
            <w:r>
              <w:rPr>
                <w:b/>
                <w:color w:val="FFFFFF"/>
                <w:sz w:val="20"/>
              </w:rPr>
              <w:t>Response cost (illustrative)</w:t>
            </w:r>
          </w:p>
        </w:tc>
        <w:tc>
          <w:tcPr>
            <w:tcW w:type="dxa" w:w="2160"/>
            <w:shd w:val="clear" w:fill="1F3B5B"/>
          </w:tcPr>
          <w:p>
            <w:r>
              <w:rPr>
                <w:b/>
                <w:color w:val="FFFFFF"/>
                <w:sz w:val="20"/>
              </w:rPr>
            </w:r>
            <w:r>
              <w:rPr>
                <w:b/>
                <w:color w:val="FFFFFF"/>
                <w:sz w:val="20"/>
              </w:rPr>
              <w:t>Total (illustrative)</w:t>
            </w:r>
          </w:p>
        </w:tc>
      </w:tr>
      <w:tr>
        <w:tc>
          <w:tcPr>
            <w:tcW w:type="dxa" w:w="2016"/>
          </w:tcPr>
          <w:p>
            <w:r/>
            <w:r>
              <w:rPr>
                <w:sz w:val="20"/>
              </w:rPr>
              <w:t>4 hours (RTO)</w:t>
            </w:r>
          </w:p>
        </w:tc>
        <w:tc>
          <w:tcPr>
            <w:tcW w:type="dxa" w:w="2736"/>
          </w:tcPr>
          <w:p>
            <w:r/>
            <w:r>
              <w:rPr>
                <w:sz w:val="20"/>
              </w:rPr>
              <w:t>10 × $75 × 4 × 80% = $2,400</w:t>
            </w:r>
          </w:p>
        </w:tc>
        <w:tc>
          <w:tcPr>
            <w:tcW w:type="dxa" w:w="2448"/>
          </w:tcPr>
          <w:p>
            <w:r/>
            <w:r>
              <w:rPr>
                <w:sz w:val="20"/>
              </w:rPr>
              <w:t>$1,200</w:t>
            </w:r>
          </w:p>
        </w:tc>
        <w:tc>
          <w:tcPr>
            <w:tcW w:type="dxa" w:w="2160"/>
          </w:tcPr>
          <w:p>
            <w:r/>
            <w:r>
              <w:rPr>
                <w:sz w:val="20"/>
              </w:rPr>
              <w:t>$3,600</w:t>
            </w:r>
          </w:p>
        </w:tc>
      </w:tr>
      <w:tr>
        <w:tc>
          <w:tcPr>
            <w:tcW w:type="dxa" w:w="2016"/>
          </w:tcPr>
          <w:p>
            <w:r/>
            <w:r>
              <w:rPr>
                <w:sz w:val="20"/>
              </w:rPr>
              <w:t>8 hours</w:t>
            </w:r>
          </w:p>
        </w:tc>
        <w:tc>
          <w:tcPr>
            <w:tcW w:type="dxa" w:w="2736"/>
          </w:tcPr>
          <w:p>
            <w:r/>
            <w:r>
              <w:rPr>
                <w:sz w:val="20"/>
              </w:rPr>
              <w:t>10 × $75 × 8 × 80% = $4,800</w:t>
            </w:r>
          </w:p>
        </w:tc>
        <w:tc>
          <w:tcPr>
            <w:tcW w:type="dxa" w:w="2448"/>
          </w:tcPr>
          <w:p>
            <w:r/>
            <w:r>
              <w:rPr>
                <w:sz w:val="20"/>
              </w:rPr>
              <w:t>$1,800</w:t>
            </w:r>
          </w:p>
        </w:tc>
        <w:tc>
          <w:tcPr>
            <w:tcW w:type="dxa" w:w="2160"/>
          </w:tcPr>
          <w:p>
            <w:r/>
            <w:r>
              <w:rPr>
                <w:sz w:val="20"/>
              </w:rPr>
              <w:t>$6,600</w:t>
            </w:r>
          </w:p>
        </w:tc>
      </w:tr>
      <w:tr>
        <w:tc>
          <w:tcPr>
            <w:tcW w:type="dxa" w:w="2016"/>
          </w:tcPr>
          <w:p>
            <w:r/>
            <w:r>
              <w:rPr>
                <w:sz w:val="20"/>
              </w:rPr>
              <w:t>24 hours (MTD)</w:t>
            </w:r>
          </w:p>
        </w:tc>
        <w:tc>
          <w:tcPr>
            <w:tcW w:type="dxa" w:w="2736"/>
          </w:tcPr>
          <w:p>
            <w:r/>
            <w:r>
              <w:rPr>
                <w:sz w:val="20"/>
              </w:rPr>
              <w:t>10 × $75 × 24 × 80% = $14,400</w:t>
            </w:r>
          </w:p>
        </w:tc>
        <w:tc>
          <w:tcPr>
            <w:tcW w:type="dxa" w:w="2448"/>
          </w:tcPr>
          <w:p>
            <w:r/>
            <w:r>
              <w:rPr>
                <w:sz w:val="20"/>
              </w:rPr>
              <w:t>$3,000</w:t>
            </w:r>
          </w:p>
        </w:tc>
        <w:tc>
          <w:tcPr>
            <w:tcW w:type="dxa" w:w="2160"/>
          </w:tcPr>
          <w:p>
            <w:r/>
            <w:r>
              <w:rPr>
                <w:sz w:val="20"/>
              </w:rPr>
              <w:t>$17,400</w:t>
            </w:r>
          </w:p>
        </w:tc>
      </w:tr>
    </w:tbl>
    <w:p/>
    <w:p>
      <w:r>
        <w:rPr>
          <w:b w:val="0"/>
          <w:i w:val="0"/>
          <w:sz w:val="22"/>
        </w:rPr>
        <w:t>Interpretation: even at lab scale, a 24-hour identity outage carries an illustrative five-figure impact, dominated by lost productivity rather than response cost. This is why the 4-hour RTO for authentication is the binding constraint in the recovery strategy — every hour of RTO reduction avoids roughly $600 of illustrative productivity loss. The LDAP and IAM-management functions have lower hourly impact because their consumers degrade gracefully (cached binds) or are unaffected in the short term (already-issued sessions).</w:t>
      </w:r>
    </w:p>
    <w:p>
      <w:pPr>
        <w:pStyle w:val="Heading2"/>
      </w:pPr>
      <w:r>
        <w:t>3.6 Dependency Mapping</w:t>
      </w:r>
    </w:p>
    <w:p>
      <w:r>
        <w:rPr>
          <w:b w:val="0"/>
          <w:i w:val="0"/>
          <w:sz w:val="22"/>
        </w:rPr>
        <w:t>Each critical function depends on underlying components. A dependency failure propagates upward; the table makes those chains explicit so recovery sequencing restores dependencies before dependents.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fill="1F3B5B"/>
          </w:tcPr>
          <w:p>
            <w:r>
              <w:rPr>
                <w:b/>
                <w:color w:val="FFFFFF"/>
                <w:sz w:val="20"/>
              </w:rPr>
            </w:r>
            <w:r>
              <w:rPr>
                <w:b/>
                <w:color w:val="FFFFFF"/>
                <w:sz w:val="20"/>
              </w:rPr>
              <w:t>Function</w:t>
            </w:r>
          </w:p>
        </w:tc>
        <w:tc>
          <w:tcPr>
            <w:tcW w:type="dxa" w:w="2736"/>
            <w:shd w:val="clear" w:fill="1F3B5B"/>
          </w:tcPr>
          <w:p>
            <w:r>
              <w:rPr>
                <w:b/>
                <w:color w:val="FFFFFF"/>
                <w:sz w:val="20"/>
              </w:rPr>
            </w:r>
            <w:r>
              <w:rPr>
                <w:b/>
                <w:color w:val="FFFFFF"/>
                <w:sz w:val="20"/>
              </w:rPr>
              <w:t>Depends on</w:t>
            </w:r>
          </w:p>
        </w:tc>
        <w:tc>
          <w:tcPr>
            <w:tcW w:type="dxa" w:w="1584"/>
            <w:shd w:val="clear" w:fill="1F3B5B"/>
          </w:tcPr>
          <w:p>
            <w:r>
              <w:rPr>
                <w:b/>
                <w:color w:val="FFFFFF"/>
                <w:sz w:val="20"/>
              </w:rPr>
            </w:r>
            <w:r>
              <w:rPr>
                <w:b/>
                <w:color w:val="FFFFFF"/>
                <w:sz w:val="20"/>
              </w:rPr>
              <w:t>Dependency type</w:t>
            </w:r>
          </w:p>
        </w:tc>
        <w:tc>
          <w:tcPr>
            <w:tcW w:type="dxa" w:w="3168"/>
            <w:shd w:val="clear" w:fill="1F3B5B"/>
          </w:tcPr>
          <w:p>
            <w:r>
              <w:rPr>
                <w:b/>
                <w:color w:val="FFFFFF"/>
                <w:sz w:val="20"/>
              </w:rPr>
            </w:r>
            <w:r>
              <w:rPr>
                <w:b/>
                <w:color w:val="FFFFFF"/>
                <w:sz w:val="20"/>
              </w:rPr>
              <w:t>Impact if dependency fails</w:t>
            </w:r>
          </w:p>
        </w:tc>
      </w:tr>
      <w:tr>
        <w:tc>
          <w:tcPr>
            <w:tcW w:type="dxa" w:w="1872"/>
          </w:tcPr>
          <w:p>
            <w:r/>
            <w:r>
              <w:rPr>
                <w:sz w:val="20"/>
              </w:rPr>
              <w:t>Authentik SSO</w:t>
            </w:r>
          </w:p>
        </w:tc>
        <w:tc>
          <w:tcPr>
            <w:tcW w:type="dxa" w:w="2736"/>
          </w:tcPr>
          <w:p>
            <w:r/>
            <w:r>
              <w:rPr>
                <w:sz w:val="20"/>
              </w:rPr>
              <w:t>PostgreSQL 16 database</w:t>
            </w:r>
          </w:p>
        </w:tc>
        <w:tc>
          <w:tcPr>
            <w:tcW w:type="dxa" w:w="1584"/>
          </w:tcPr>
          <w:p>
            <w:r/>
            <w:r>
              <w:rPr>
                <w:sz w:val="20"/>
              </w:rPr>
              <w:t>Data</w:t>
            </w:r>
          </w:p>
        </w:tc>
        <w:tc>
          <w:tcPr>
            <w:tcW w:type="dxa" w:w="3168"/>
          </w:tcPr>
          <w:p>
            <w:r/>
            <w:r>
              <w:rPr>
                <w:sz w:val="20"/>
              </w:rPr>
              <w:t>Total authentication failure; no users, policies, or tokens retrievable.</w:t>
            </w:r>
          </w:p>
        </w:tc>
      </w:tr>
      <w:tr>
        <w:tc>
          <w:tcPr>
            <w:tcW w:type="dxa" w:w="1872"/>
          </w:tcPr>
          <w:p>
            <w:r/>
            <w:r>
              <w:rPr>
                <w:sz w:val="20"/>
              </w:rPr>
              <w:t>Authentik SSO</w:t>
            </w:r>
          </w:p>
        </w:tc>
        <w:tc>
          <w:tcPr>
            <w:tcW w:type="dxa" w:w="2736"/>
          </w:tcPr>
          <w:p>
            <w:r/>
            <w:r>
              <w:rPr>
                <w:sz w:val="20"/>
              </w:rPr>
              <w:t>Docker host</w:t>
            </w:r>
          </w:p>
        </w:tc>
        <w:tc>
          <w:tcPr>
            <w:tcW w:type="dxa" w:w="1584"/>
          </w:tcPr>
          <w:p>
            <w:r/>
            <w:r>
              <w:rPr>
                <w:sz w:val="20"/>
              </w:rPr>
              <w:t>Infrastructure</w:t>
            </w:r>
          </w:p>
        </w:tc>
        <w:tc>
          <w:tcPr>
            <w:tcW w:type="dxa" w:w="3168"/>
          </w:tcPr>
          <w:p>
            <w:r/>
            <w:r>
              <w:rPr>
                <w:sz w:val="20"/>
              </w:rPr>
              <w:t>All containers stop; full platform outage.</w:t>
            </w:r>
          </w:p>
        </w:tc>
      </w:tr>
      <w:tr>
        <w:tc>
          <w:tcPr>
            <w:tcW w:type="dxa" w:w="1872"/>
          </w:tcPr>
          <w:p>
            <w:r/>
            <w:r>
              <w:rPr>
                <w:sz w:val="20"/>
              </w:rPr>
              <w:t>Authentik SSO</w:t>
            </w:r>
          </w:p>
        </w:tc>
        <w:tc>
          <w:tcPr>
            <w:tcW w:type="dxa" w:w="2736"/>
          </w:tcPr>
          <w:p>
            <w:r/>
            <w:r>
              <w:rPr>
                <w:sz w:val="20"/>
              </w:rPr>
              <w:t>.env secrets (DB password, secret key, token)</w:t>
            </w:r>
          </w:p>
        </w:tc>
        <w:tc>
          <w:tcPr>
            <w:tcW w:type="dxa" w:w="1584"/>
          </w:tcPr>
          <w:p>
            <w:r/>
            <w:r>
              <w:rPr>
                <w:sz w:val="20"/>
              </w:rPr>
              <w:t>Configuration</w:t>
            </w:r>
          </w:p>
        </w:tc>
        <w:tc>
          <w:tcPr>
            <w:tcW w:type="dxa" w:w="3168"/>
          </w:tcPr>
          <w:p>
            <w:r/>
            <w:r>
              <w:rPr>
                <w:sz w:val="20"/>
              </w:rPr>
              <w:t>Server/worker fail to start or cannot reach the database.</w:t>
            </w:r>
          </w:p>
        </w:tc>
      </w:tr>
      <w:tr>
        <w:tc>
          <w:tcPr>
            <w:tcW w:type="dxa" w:w="1872"/>
          </w:tcPr>
          <w:p>
            <w:r/>
            <w:r>
              <w:rPr>
                <w:sz w:val="20"/>
              </w:rPr>
              <w:t>Authentik SSO</w:t>
            </w:r>
          </w:p>
        </w:tc>
        <w:tc>
          <w:tcPr>
            <w:tcW w:type="dxa" w:w="2736"/>
          </w:tcPr>
          <w:p>
            <w:r/>
            <w:r>
              <w:rPr>
                <w:sz w:val="20"/>
              </w:rPr>
              <w:t>Network / DNS</w:t>
            </w:r>
          </w:p>
        </w:tc>
        <w:tc>
          <w:tcPr>
            <w:tcW w:type="dxa" w:w="1584"/>
          </w:tcPr>
          <w:p>
            <w:r/>
            <w:r>
              <w:rPr>
                <w:sz w:val="20"/>
              </w:rPr>
              <w:t>Infrastructure</w:t>
            </w:r>
          </w:p>
        </w:tc>
        <w:tc>
          <w:tcPr>
            <w:tcW w:type="dxa" w:w="3168"/>
          </w:tcPr>
          <w:p>
            <w:r/>
            <w:r>
              <w:rPr>
                <w:sz w:val="20"/>
              </w:rPr>
              <w:t>Users cannot reach login flows; federation endpoints unreachable.</w:t>
            </w:r>
          </w:p>
        </w:tc>
      </w:tr>
      <w:tr>
        <w:tc>
          <w:tcPr>
            <w:tcW w:type="dxa" w:w="1872"/>
          </w:tcPr>
          <w:p>
            <w:r/>
            <w:r>
              <w:rPr>
                <w:sz w:val="20"/>
              </w:rPr>
              <w:t>LDAP directory</w:t>
            </w:r>
          </w:p>
        </w:tc>
        <w:tc>
          <w:tcPr>
            <w:tcW w:type="dxa" w:w="2736"/>
          </w:tcPr>
          <w:p>
            <w:r/>
            <w:r>
              <w:rPr>
                <w:sz w:val="20"/>
              </w:rPr>
              <w:t>Authentik server</w:t>
            </w:r>
          </w:p>
        </w:tc>
        <w:tc>
          <w:tcPr>
            <w:tcW w:type="dxa" w:w="1584"/>
          </w:tcPr>
          <w:p>
            <w:r/>
            <w:r>
              <w:rPr>
                <w:sz w:val="20"/>
              </w:rPr>
              <w:t>Upstream service</w:t>
            </w:r>
          </w:p>
        </w:tc>
        <w:tc>
          <w:tcPr>
            <w:tcW w:type="dxa" w:w="3168"/>
          </w:tcPr>
          <w:p>
            <w:r/>
            <w:r>
              <w:rPr>
                <w:sz w:val="20"/>
              </w:rPr>
              <w:t>Outpost has no directory to serve; all LDAP binds fail.</w:t>
            </w:r>
          </w:p>
        </w:tc>
      </w:tr>
      <w:tr>
        <w:tc>
          <w:tcPr>
            <w:tcW w:type="dxa" w:w="1872"/>
          </w:tcPr>
          <w:p>
            <w:r/>
            <w:r>
              <w:rPr>
                <w:sz w:val="20"/>
              </w:rPr>
              <w:t>LDAP directory</w:t>
            </w:r>
          </w:p>
        </w:tc>
        <w:tc>
          <w:tcPr>
            <w:tcW w:type="dxa" w:w="2736"/>
          </w:tcPr>
          <w:p>
            <w:r/>
            <w:r>
              <w:rPr>
                <w:sz w:val="20"/>
              </w:rPr>
              <w:t>Network (ports 389/636)</w:t>
            </w:r>
          </w:p>
        </w:tc>
        <w:tc>
          <w:tcPr>
            <w:tcW w:type="dxa" w:w="1584"/>
          </w:tcPr>
          <w:p>
            <w:r/>
            <w:r>
              <w:rPr>
                <w:sz w:val="20"/>
              </w:rPr>
              <w:t>Infrastructure</w:t>
            </w:r>
          </w:p>
        </w:tc>
        <w:tc>
          <w:tcPr>
            <w:tcW w:type="dxa" w:w="3168"/>
          </w:tcPr>
          <w:p>
            <w:r/>
            <w:r>
              <w:rPr>
                <w:sz w:val="20"/>
              </w:rPr>
              <w:t>Legacy clients cannot reach the directory.</w:t>
            </w:r>
          </w:p>
        </w:tc>
      </w:tr>
      <w:tr>
        <w:tc>
          <w:tcPr>
            <w:tcW w:type="dxa" w:w="1872"/>
          </w:tcPr>
          <w:p>
            <w:r/>
            <w:r>
              <w:rPr>
                <w:sz w:val="20"/>
              </w:rPr>
              <w:t>AWS IAM mgmt</w:t>
            </w:r>
          </w:p>
        </w:tc>
        <w:tc>
          <w:tcPr>
            <w:tcW w:type="dxa" w:w="2736"/>
          </w:tcPr>
          <w:p>
            <w:r/>
            <w:r>
              <w:rPr>
                <w:sz w:val="20"/>
              </w:rPr>
              <w:t>Terraform state backend</w:t>
            </w:r>
          </w:p>
        </w:tc>
        <w:tc>
          <w:tcPr>
            <w:tcW w:type="dxa" w:w="1584"/>
          </w:tcPr>
          <w:p>
            <w:r/>
            <w:r>
              <w:rPr>
                <w:sz w:val="20"/>
              </w:rPr>
              <w:t>Data</w:t>
            </w:r>
          </w:p>
        </w:tc>
        <w:tc>
          <w:tcPr>
            <w:tcW w:type="dxa" w:w="3168"/>
          </w:tcPr>
          <w:p>
            <w:r/>
            <w:r>
              <w:rPr>
                <w:sz w:val="20"/>
              </w:rPr>
              <w:t>Configuration drift undetectable; changes cannot be planned safely.</w:t>
            </w:r>
          </w:p>
        </w:tc>
      </w:tr>
      <w:tr>
        <w:tc>
          <w:tcPr>
            <w:tcW w:type="dxa" w:w="1872"/>
          </w:tcPr>
          <w:p>
            <w:r/>
            <w:r>
              <w:rPr>
                <w:sz w:val="20"/>
              </w:rPr>
              <w:t>AWS IAM mgmt</w:t>
            </w:r>
          </w:p>
        </w:tc>
        <w:tc>
          <w:tcPr>
            <w:tcW w:type="dxa" w:w="2736"/>
          </w:tcPr>
          <w:p>
            <w:r/>
            <w:r>
              <w:rPr>
                <w:sz w:val="20"/>
              </w:rPr>
              <w:t>AWS APIs</w:t>
            </w:r>
          </w:p>
        </w:tc>
        <w:tc>
          <w:tcPr>
            <w:tcW w:type="dxa" w:w="1584"/>
          </w:tcPr>
          <w:p>
            <w:r/>
            <w:r>
              <w:rPr>
                <w:sz w:val="20"/>
              </w:rPr>
              <w:t>External service</w:t>
            </w:r>
          </w:p>
        </w:tc>
        <w:tc>
          <w:tcPr>
            <w:tcW w:type="dxa" w:w="3168"/>
          </w:tcPr>
          <w:p>
            <w:r/>
            <w:r>
              <w:rPr>
                <w:sz w:val="20"/>
              </w:rPr>
              <w:t>No role/policy changes possible; reads of current config unavailable.</w:t>
            </w:r>
          </w:p>
        </w:tc>
      </w:tr>
      <w:tr>
        <w:tc>
          <w:tcPr>
            <w:tcW w:type="dxa" w:w="1872"/>
          </w:tcPr>
          <w:p>
            <w:r/>
            <w:r>
              <w:rPr>
                <w:sz w:val="20"/>
              </w:rPr>
              <w:t>AWS IAM mgmt</w:t>
            </w:r>
          </w:p>
        </w:tc>
        <w:tc>
          <w:tcPr>
            <w:tcW w:type="dxa" w:w="2736"/>
          </w:tcPr>
          <w:p>
            <w:r/>
            <w:r>
              <w:rPr>
                <w:sz w:val="20"/>
              </w:rPr>
              <w:t>authentik-saml provider metadata</w:t>
            </w:r>
          </w:p>
        </w:tc>
        <w:tc>
          <w:tcPr>
            <w:tcW w:type="dxa" w:w="1584"/>
          </w:tcPr>
          <w:p>
            <w:r/>
            <w:r>
              <w:rPr>
                <w:sz w:val="20"/>
              </w:rPr>
              <w:t>Configuration</w:t>
            </w:r>
          </w:p>
        </w:tc>
        <w:tc>
          <w:tcPr>
            <w:tcW w:type="dxa" w:w="3168"/>
          </w:tcPr>
          <w:p>
            <w:r/>
            <w:r>
              <w:rPr>
                <w:sz w:val="20"/>
              </w:rPr>
              <w:t>Federation trust breaks; SAML logins to AWS fail even though Authentik itself is healthy.</w:t>
            </w:r>
          </w:p>
        </w:tc>
      </w:tr>
      <w:tr>
        <w:tc>
          <w:tcPr>
            <w:tcW w:type="dxa" w:w="1872"/>
          </w:tcPr>
          <w:p>
            <w:r/>
            <w:r>
              <w:rPr>
                <w:sz w:val="20"/>
              </w:rPr>
              <w:t>All functions</w:t>
            </w:r>
          </w:p>
        </w:tc>
        <w:tc>
          <w:tcPr>
            <w:tcW w:type="dxa" w:w="2736"/>
          </w:tcPr>
          <w:p>
            <w:r/>
            <w:r>
              <w:rPr>
                <w:sz w:val="20"/>
              </w:rPr>
              <w:t>Docker host resources (CPU/RAM/disk)</w:t>
            </w:r>
          </w:p>
        </w:tc>
        <w:tc>
          <w:tcPr>
            <w:tcW w:type="dxa" w:w="1584"/>
          </w:tcPr>
          <w:p>
            <w:r/>
            <w:r>
              <w:rPr>
                <w:sz w:val="20"/>
              </w:rPr>
              <w:t>Infrastructure</w:t>
            </w:r>
          </w:p>
        </w:tc>
        <w:tc>
          <w:tcPr>
            <w:tcW w:type="dxa" w:w="3168"/>
          </w:tcPr>
          <w:p>
            <w:r/>
            <w:r>
              <w:rPr>
                <w:sz w:val="20"/>
              </w:rPr>
              <w:t>Resource exhaustion degrades or kills containers (cf. register risk RR-006 pattern).</w:t>
            </w:r>
          </w:p>
        </w:tc>
      </w:tr>
    </w:tbl>
    <w:p/>
    <w:p>
      <w:r>
        <w:rPr>
          <w:b w:val="0"/>
          <w:i w:val="0"/>
          <w:sz w:val="22"/>
        </w:rPr>
        <w:t>Recovery sequencing implication: restore in dependency order — Docker host → PostgreSQL → secrets/config → Authentik server/worker → LDAP outpost → verify SAML federation and IAM management plane. The LDAP outpost must never be troubleshot before the Authentik server is confirmed healthy.</w:t>
      </w:r>
    </w:p>
    <w:p>
      <w:pPr>
        <w:pStyle w:val="Heading1"/>
      </w:pPr>
      <w:r>
        <w:t>4. Critical Asset Risk Exposure Register</w:t>
      </w:r>
    </w:p>
    <w:p>
      <w:r>
        <w:rPr>
          <w:b w:val="0"/>
          <w:i w:val="0"/>
          <w:sz w:val="22"/>
        </w:rPr>
        <w:t>The register below links each critical EISP asset to what threatens it, what is known to be weak, what it depends on, and what currently protects it. "Known vulnerabilities" are drawn from the actual project configuration files reviewed for this assessment (docker-compose.yml, main.tf); they are realistic for a lab build and are recorded here so they can be tracked to remediation.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656"/>
            <w:shd w:val="clear" w:fill="1F3B5B"/>
          </w:tcPr>
          <w:p>
            <w:r>
              <w:rPr>
                <w:b/>
                <w:color w:val="FFFFFF"/>
                <w:sz w:val="20"/>
              </w:rPr>
            </w:r>
            <w:r>
              <w:rPr>
                <w:b/>
                <w:color w:val="FFFFFF"/>
                <w:sz w:val="20"/>
              </w:rPr>
              <w:t>Asset</w:t>
            </w:r>
          </w:p>
        </w:tc>
        <w:tc>
          <w:tcPr>
            <w:tcW w:type="dxa" w:w="1512"/>
            <w:shd w:val="clear" w:fill="1F3B5B"/>
          </w:tcPr>
          <w:p>
            <w:r>
              <w:rPr>
                <w:b/>
                <w:color w:val="FFFFFF"/>
                <w:sz w:val="20"/>
              </w:rPr>
            </w:r>
            <w:r>
              <w:rPr>
                <w:b/>
                <w:color w:val="FFFFFF"/>
                <w:sz w:val="20"/>
              </w:rPr>
              <w:t>Criticality</w:t>
            </w:r>
          </w:p>
        </w:tc>
        <w:tc>
          <w:tcPr>
            <w:tcW w:type="dxa" w:w="1656"/>
            <w:shd w:val="clear" w:fill="1F3B5B"/>
          </w:tcPr>
          <w:p>
            <w:r>
              <w:rPr>
                <w:b/>
                <w:color w:val="FFFFFF"/>
                <w:sz w:val="20"/>
              </w:rPr>
            </w:r>
            <w:r>
              <w:rPr>
                <w:b/>
                <w:color w:val="FFFFFF"/>
                <w:sz w:val="20"/>
              </w:rPr>
              <w:t>Threat exposure</w:t>
            </w:r>
          </w:p>
        </w:tc>
        <w:tc>
          <w:tcPr>
            <w:tcW w:type="dxa" w:w="2160"/>
            <w:shd w:val="clear" w:fill="1F3B5B"/>
          </w:tcPr>
          <w:p>
            <w:r>
              <w:rPr>
                <w:b/>
                <w:color w:val="FFFFFF"/>
                <w:sz w:val="20"/>
              </w:rPr>
            </w:r>
            <w:r>
              <w:rPr>
                <w:b/>
                <w:color w:val="FFFFFF"/>
                <w:sz w:val="20"/>
              </w:rPr>
              <w:t>Known vulnerabilities</w:t>
            </w:r>
          </w:p>
        </w:tc>
        <w:tc>
          <w:tcPr>
            <w:tcW w:type="dxa" w:w="1800"/>
            <w:shd w:val="clear" w:fill="1F3B5B"/>
          </w:tcPr>
          <w:p>
            <w:r>
              <w:rPr>
                <w:b/>
                <w:color w:val="FFFFFF"/>
                <w:sz w:val="20"/>
              </w:rPr>
            </w:r>
            <w:r>
              <w:rPr>
                <w:b/>
                <w:color w:val="FFFFFF"/>
                <w:sz w:val="20"/>
              </w:rPr>
              <w:t>Interconnection dependencies</w:t>
            </w:r>
          </w:p>
        </w:tc>
        <w:tc>
          <w:tcPr>
            <w:tcW w:type="dxa" w:w="2016"/>
            <w:shd w:val="clear" w:fill="1F3B5B"/>
          </w:tcPr>
          <w:p>
            <w:r>
              <w:rPr>
                <w:b/>
                <w:color w:val="FFFFFF"/>
                <w:sz w:val="20"/>
              </w:rPr>
            </w:r>
            <w:r>
              <w:rPr>
                <w:b/>
                <w:color w:val="FFFFFF"/>
                <w:sz w:val="20"/>
              </w:rPr>
              <w:t>Current control coverage</w:t>
            </w:r>
          </w:p>
        </w:tc>
      </w:tr>
      <w:tr>
        <w:tc>
          <w:tcPr>
            <w:tcW w:type="dxa" w:w="1656"/>
          </w:tcPr>
          <w:p>
            <w:r/>
            <w:r>
              <w:rPr>
                <w:sz w:val="20"/>
              </w:rPr>
              <w:t>Authentik server &amp; worker (2026.2.2)</w:t>
            </w:r>
          </w:p>
        </w:tc>
        <w:tc>
          <w:tcPr>
            <w:tcW w:type="dxa" w:w="1512"/>
          </w:tcPr>
          <w:p>
            <w:r/>
            <w:r>
              <w:rPr>
                <w:sz w:val="20"/>
              </w:rPr>
              <w:t>Critical — sole authentication authority</w:t>
            </w:r>
          </w:p>
        </w:tc>
        <w:tc>
          <w:tcPr>
            <w:tcW w:type="dxa" w:w="1656"/>
          </w:tcPr>
          <w:p>
            <w:r/>
            <w:r>
              <w:rPr>
                <w:sz w:val="20"/>
              </w:rPr>
              <w:t>Credential stuffing (T1110), MFA fatigue (T1621), phishing (T1566), container escape</w:t>
            </w:r>
          </w:p>
        </w:tc>
        <w:tc>
          <w:tcPr>
            <w:tcW w:type="dxa" w:w="2160"/>
          </w:tcPr>
          <w:p>
            <w:r/>
            <w:r>
              <w:rPr>
                <w:sz w:val="20"/>
              </w:rPr>
              <w:t>Worker runs as root with /var/run/docker.sock mounted (host control if container escapes); no resource limits observed on server/worker</w:t>
            </w:r>
          </w:p>
        </w:tc>
        <w:tc>
          <w:tcPr>
            <w:tcW w:type="dxa" w:w="1800"/>
          </w:tcPr>
          <w:p>
            <w:r/>
            <w:r>
              <w:rPr>
                <w:sz w:val="20"/>
              </w:rPr>
              <w:t>PostgreSQL; Docker host; .env secrets; network/DNS</w:t>
            </w:r>
          </w:p>
        </w:tc>
        <w:tc>
          <w:tcPr>
            <w:tcW w:type="dxa" w:w="2016"/>
          </w:tcPr>
          <w:p>
            <w:r/>
            <w:r>
              <w:rPr>
                <w:sz w:val="20"/>
              </w:rPr>
              <w:t>MFA-capable flows; short-lived sessions; Zero Trust tagging; needs: non-root worker, removed docker.sock mount, resource limits</w:t>
            </w:r>
          </w:p>
        </w:tc>
      </w:tr>
      <w:tr>
        <w:tc>
          <w:tcPr>
            <w:tcW w:type="dxa" w:w="1656"/>
          </w:tcPr>
          <w:p>
            <w:r/>
            <w:r>
              <w:rPr>
                <w:sz w:val="20"/>
              </w:rPr>
              <w:t>PostgreSQL 16 database (authentik data)</w:t>
            </w:r>
          </w:p>
        </w:tc>
        <w:tc>
          <w:tcPr>
            <w:tcW w:type="dxa" w:w="1512"/>
          </w:tcPr>
          <w:p>
            <w:r/>
            <w:r>
              <w:rPr>
                <w:sz w:val="20"/>
              </w:rPr>
              <w:t>Critical — system of record for identities, policies, tokens</w:t>
            </w:r>
          </w:p>
        </w:tc>
        <w:tc>
          <w:tcPr>
            <w:tcW w:type="dxa" w:w="1656"/>
          </w:tcPr>
          <w:p>
            <w:r/>
            <w:r>
              <w:rPr>
                <w:sz w:val="20"/>
              </w:rPr>
              <w:t>Data theft, ransomware/encryption, malicious DBA-equivalent access</w:t>
            </w:r>
          </w:p>
        </w:tc>
        <w:tc>
          <w:tcPr>
            <w:tcW w:type="dxa" w:w="2160"/>
          </w:tcPr>
          <w:p>
            <w:r/>
            <w:r>
              <w:rPr>
                <w:sz w:val="20"/>
              </w:rPr>
              <w:t>Credentials in .env adjacent to compose file; backup/restore procedure not documented in repo</w:t>
            </w:r>
          </w:p>
        </w:tc>
        <w:tc>
          <w:tcPr>
            <w:tcW w:type="dxa" w:w="1800"/>
          </w:tcPr>
          <w:p>
            <w:r/>
            <w:r>
              <w:rPr>
                <w:sz w:val="20"/>
              </w:rPr>
              <w:t>Docker host (volume: database); .env PG_PASS</w:t>
            </w:r>
          </w:p>
        </w:tc>
        <w:tc>
          <w:tcPr>
            <w:tcW w:type="dxa" w:w="2016"/>
          </w:tcPr>
          <w:p>
            <w:r/>
            <w:r>
              <w:rPr>
                <w:sz w:val="20"/>
              </w:rPr>
              <w:t>Health-checked container; isolated Docker network; needs: documented encrypted backups, secrets manager</w:t>
            </w:r>
          </w:p>
        </w:tc>
      </w:tr>
      <w:tr>
        <w:tc>
          <w:tcPr>
            <w:tcW w:type="dxa" w:w="1656"/>
          </w:tcPr>
          <w:p>
            <w:r/>
            <w:r>
              <w:rPr>
                <w:sz w:val="20"/>
              </w:rPr>
              <w:t>LDAP outpost (ports 389/636)</w:t>
            </w:r>
          </w:p>
        </w:tc>
        <w:tc>
          <w:tcPr>
            <w:tcW w:type="dxa" w:w="1512"/>
          </w:tcPr>
          <w:p>
            <w:r/>
            <w:r>
              <w:rPr>
                <w:sz w:val="20"/>
              </w:rPr>
              <w:t>High — authentication path for legacy apps</w:t>
            </w:r>
          </w:p>
        </w:tc>
        <w:tc>
          <w:tcPr>
            <w:tcW w:type="dxa" w:w="1656"/>
          </w:tcPr>
          <w:p>
            <w:r/>
            <w:r>
              <w:rPr>
                <w:sz w:val="20"/>
              </w:rPr>
              <w:t>Credential interception on the wire; unauthorized directory reads</w:t>
            </w:r>
          </w:p>
        </w:tc>
        <w:tc>
          <w:tcPr>
            <w:tcW w:type="dxa" w:w="2160"/>
          </w:tcPr>
          <w:p>
            <w:r/>
            <w:r>
              <w:rPr>
                <w:sz w:val="20"/>
              </w:rPr>
              <w:t>AUTHENTIK_INSECURE=true set (plaintext fallback); hardcoded AUTHENTIK_TOKEN in compose file (cf. RR-003)</w:t>
            </w:r>
          </w:p>
        </w:tc>
        <w:tc>
          <w:tcPr>
            <w:tcW w:type="dxa" w:w="1800"/>
          </w:tcPr>
          <w:p>
            <w:r/>
            <w:r>
              <w:rPr>
                <w:sz w:val="20"/>
              </w:rPr>
              <w:t>Authentik server (upstream); network</w:t>
            </w:r>
          </w:p>
        </w:tc>
        <w:tc>
          <w:tcPr>
            <w:tcW w:type="dxa" w:w="2016"/>
          </w:tcPr>
          <w:p>
            <w:r/>
            <w:r>
              <w:rPr>
                <w:sz w:val="20"/>
              </w:rPr>
              <w:t>LDAPS port (636) exposed; needs: INSECURE=false, token moved to secrets manager, token rotation</w:t>
            </w:r>
          </w:p>
        </w:tc>
      </w:tr>
      <w:tr>
        <w:tc>
          <w:tcPr>
            <w:tcW w:type="dxa" w:w="1656"/>
          </w:tcPr>
          <w:p>
            <w:r/>
            <w:r>
              <w:rPr>
                <w:sz w:val="20"/>
              </w:rPr>
              <w:t>Terraform state &amp; secrets (.env, AUTHENTIK_TOKEN, PG_PASS)</w:t>
            </w:r>
          </w:p>
        </w:tc>
        <w:tc>
          <w:tcPr>
            <w:tcW w:type="dxa" w:w="1512"/>
          </w:tcPr>
          <w:p>
            <w:r/>
            <w:r>
              <w:rPr>
                <w:sz w:val="20"/>
              </w:rPr>
              <w:t>Critical — keys to the entire platform</w:t>
            </w:r>
          </w:p>
        </w:tc>
        <w:tc>
          <w:tcPr>
            <w:tcW w:type="dxa" w:w="1656"/>
          </w:tcPr>
          <w:p>
            <w:r/>
            <w:r>
              <w:rPr>
                <w:sz w:val="20"/>
              </w:rPr>
              <w:t>Secrets theft from repo/host (T1552); state tampering</w:t>
            </w:r>
          </w:p>
        </w:tc>
        <w:tc>
          <w:tcPr>
            <w:tcW w:type="dxa" w:w="2160"/>
          </w:tcPr>
          <w:p>
            <w:r/>
            <w:r>
              <w:rPr>
                <w:sz w:val="20"/>
              </w:rPr>
              <w:t>Hardcoded token in docker-compose.yml (committed to git); .env handling undocumented</w:t>
            </w:r>
          </w:p>
        </w:tc>
        <w:tc>
          <w:tcPr>
            <w:tcW w:type="dxa" w:w="1800"/>
          </w:tcPr>
          <w:p>
            <w:r/>
            <w:r>
              <w:rPr>
                <w:sz w:val="20"/>
              </w:rPr>
              <w:t>Git repository; operator workstation; Docker host</w:t>
            </w:r>
          </w:p>
        </w:tc>
        <w:tc>
          <w:tcPr>
            <w:tcW w:type="dxa" w:w="2016"/>
          </w:tcPr>
          <w:p>
            <w:r/>
            <w:r>
              <w:rPr>
                <w:sz w:val="20"/>
              </w:rPr>
              <w:t>Version-controlled IaC (change traceability); needs: git-secrets pre-commit hook, secrets manager, state encryption/remote backend</w:t>
            </w:r>
          </w:p>
        </w:tc>
      </w:tr>
      <w:tr>
        <w:tc>
          <w:tcPr>
            <w:tcW w:type="dxa" w:w="1656"/>
          </w:tcPr>
          <w:p>
            <w:r/>
            <w:r>
              <w:rPr>
                <w:sz w:val="20"/>
              </w:rPr>
              <w:t>SAML metadata &amp; certificates (authentik-saml)</w:t>
            </w:r>
          </w:p>
        </w:tc>
        <w:tc>
          <w:tcPr>
            <w:tcW w:type="dxa" w:w="1512"/>
          </w:tcPr>
          <w:p>
            <w:r/>
            <w:r>
              <w:rPr>
                <w:sz w:val="20"/>
              </w:rPr>
              <w:t>High — federation trust anchor</w:t>
            </w:r>
          </w:p>
        </w:tc>
        <w:tc>
          <w:tcPr>
            <w:tcW w:type="dxa" w:w="1656"/>
          </w:tcPr>
          <w:p>
            <w:r/>
            <w:r>
              <w:rPr>
                <w:sz w:val="20"/>
              </w:rPr>
              <w:t>Token/cert theft; assertion forgery on misconfiguration</w:t>
            </w:r>
          </w:p>
        </w:tc>
        <w:tc>
          <w:tcPr>
            <w:tcW w:type="dxa" w:w="2160"/>
          </w:tcPr>
          <w:p>
            <w:r/>
            <w:r>
              <w:rPr>
                <w:sz w:val="20"/>
              </w:rPr>
              <w:t>No automated rotation observed; metadata handling manual</w:t>
            </w:r>
          </w:p>
        </w:tc>
        <w:tc>
          <w:tcPr>
            <w:tcW w:type="dxa" w:w="1800"/>
          </w:tcPr>
          <w:p>
            <w:r/>
            <w:r>
              <w:rPr>
                <w:sz w:val="20"/>
              </w:rPr>
              <w:t>Authentik server; AWS IAM trust policy (SAML:aud condition present — good)</w:t>
            </w:r>
          </w:p>
        </w:tc>
        <w:tc>
          <w:tcPr>
            <w:tcW w:type="dxa" w:w="2016"/>
          </w:tcPr>
          <w:p>
            <w:r/>
            <w:r>
              <w:rPr>
                <w:sz w:val="20"/>
              </w:rPr>
              <w:t>SAML:aud audience restriction; 4-hour max session duration; needs: rotation schedule</w:t>
            </w:r>
          </w:p>
        </w:tc>
      </w:tr>
      <w:tr>
        <w:tc>
          <w:tcPr>
            <w:tcW w:type="dxa" w:w="1656"/>
          </w:tcPr>
          <w:p>
            <w:r/>
            <w:r>
              <w:rPr>
                <w:sz w:val="20"/>
              </w:rPr>
              <w:t>whoami test application</w:t>
            </w:r>
          </w:p>
        </w:tc>
        <w:tc>
          <w:tcPr>
            <w:tcW w:type="dxa" w:w="1512"/>
          </w:tcPr>
          <w:p>
            <w:r/>
            <w:r>
              <w:rPr>
                <w:sz w:val="20"/>
              </w:rPr>
              <w:t>Low — non-production test app</w:t>
            </w:r>
          </w:p>
        </w:tc>
        <w:tc>
          <w:tcPr>
            <w:tcW w:type="dxa" w:w="1656"/>
          </w:tcPr>
          <w:p>
            <w:r/>
            <w:r>
              <w:rPr>
                <w:sz w:val="20"/>
              </w:rPr>
              <w:t>Unnecessary attack surface; information disclosure</w:t>
            </w:r>
          </w:p>
        </w:tc>
        <w:tc>
          <w:tcPr>
            <w:tcW w:type="dxa" w:w="2160"/>
          </w:tcPr>
          <w:p>
            <w:r/>
            <w:r>
              <w:rPr>
                <w:sz w:val="20"/>
              </w:rPr>
              <w:t>Exposed service with no authentication requirement of its own</w:t>
            </w:r>
          </w:p>
        </w:tc>
        <w:tc>
          <w:tcPr>
            <w:tcW w:type="dxa" w:w="1800"/>
          </w:tcPr>
          <w:p>
            <w:r/>
            <w:r>
              <w:rPr>
                <w:sz w:val="20"/>
              </w:rPr>
              <w:t>Authentik (when placed behind SSO); Docker host</w:t>
            </w:r>
          </w:p>
        </w:tc>
        <w:tc>
          <w:tcPr>
            <w:tcW w:type="dxa" w:w="2016"/>
          </w:tcPr>
          <w:p>
            <w:r/>
            <w:r>
              <w:rPr>
                <w:sz w:val="20"/>
              </w:rPr>
              <w:t>Isolated container; recommend removal or SSO-protection before any wider exposure</w:t>
            </w:r>
          </w:p>
        </w:tc>
      </w:tr>
      <w:tr>
        <w:tc>
          <w:tcPr>
            <w:tcW w:type="dxa" w:w="1656"/>
          </w:tcPr>
          <w:p>
            <w:r/>
            <w:r>
              <w:rPr>
                <w:sz w:val="20"/>
              </w:rPr>
              <w:t>Docker host (single node)</w:t>
            </w:r>
          </w:p>
        </w:tc>
        <w:tc>
          <w:tcPr>
            <w:tcW w:type="dxa" w:w="1512"/>
          </w:tcPr>
          <w:p>
            <w:r/>
            <w:r>
              <w:rPr>
                <w:sz w:val="20"/>
              </w:rPr>
              <w:t>Critical — single point of failure for all containers</w:t>
            </w:r>
          </w:p>
        </w:tc>
        <w:tc>
          <w:tcPr>
            <w:tcW w:type="dxa" w:w="1656"/>
          </w:tcPr>
          <w:p>
            <w:r/>
            <w:r>
              <w:rPr>
                <w:sz w:val="20"/>
              </w:rPr>
              <w:t>Host compromise; resource exhaustion (RR-006 pattern); disk-full on database volume</w:t>
            </w:r>
          </w:p>
        </w:tc>
        <w:tc>
          <w:tcPr>
            <w:tcW w:type="dxa" w:w="2160"/>
          </w:tcPr>
          <w:p>
            <w:r/>
            <w:r>
              <w:rPr>
                <w:sz w:val="20"/>
              </w:rPr>
              <w:t>Single node (no HA); no resource limits on several services</w:t>
            </w:r>
          </w:p>
        </w:tc>
        <w:tc>
          <w:tcPr>
            <w:tcW w:type="dxa" w:w="1800"/>
          </w:tcPr>
          <w:p>
            <w:r/>
            <w:r>
              <w:rPr>
                <w:sz w:val="20"/>
              </w:rPr>
              <w:t>Underlying OS/hypervisor; storage</w:t>
            </w:r>
          </w:p>
        </w:tc>
        <w:tc>
          <w:tcPr>
            <w:tcW w:type="dxa" w:w="2016"/>
          </w:tcPr>
          <w:p>
            <w:r/>
            <w:r>
              <w:rPr>
                <w:sz w:val="20"/>
              </w:rPr>
              <w:t>restart: unless-stopped; health checks on PostgreSQL; needs: resource limits, monitoring/alerting, backup of volumes</w:t>
            </w:r>
          </w:p>
        </w:tc>
      </w:tr>
    </w:tbl>
    <w:p/>
    <w:p>
      <w:r>
        <w:rPr>
          <w:b w:val="0"/>
          <w:i w:val="0"/>
          <w:sz w:val="22"/>
        </w:rPr>
        <w:t>How to use this register: each row’s "current control coverage" ends with explicit needs — those needs become candidate remediation actions, each traceable back to a ranked risk in Section 2 and a recovery objective in Section 3. The register is a living document: review it whenever the architecture changes (new outpost, new provider, Terraform refactor) and at least quarterly.</w:t>
      </w:r>
    </w:p>
    <w:p>
      <w:pPr>
        <w:pStyle w:val="Heading1"/>
      </w:pPr>
      <w:r>
        <w:t>5. Conclusion</w:t>
      </w:r>
    </w:p>
    <w:p>
      <w:r>
        <w:rPr>
          <w:b w:val="0"/>
          <w:i w:val="0"/>
          <w:sz w:val="22"/>
        </w:rPr>
        <w:t>Risk evaluation is what turns a list of worries into a defensible plan. The weighted scoring model in Section 2 ranks privilege escalation (RR-002, 4.50) and credential theft (RR-001, 4.25) as the critical risks deserving immediate attention, with secrets exposure, vault compromise, MFA fatigue, and the insecure LDAP bind following as high-priority items — every score traceable to documented factor scales and approved criteria.</w:t>
      </w:r>
    </w:p>
    <w:p>
      <w:r>
        <w:rPr>
          <w:b w:val="0"/>
          <w:i w:val="0"/>
          <w:sz w:val="22"/>
        </w:rPr>
        <w:t>The Business Impact Analysis in Section 3 sets the recovery contract: 4-hour RTO / 1-hour RPO for Authentik authentication, 8-hour RTO for the LDAP outpost (which depends on Authentik), and 24-hour RTO for IAM management-plane changes — with dependency mapping that dictates recovery sequencing. The illustrative financial model shows why the authentication RTO is binding: each hour of IdP outage carries roughly $600 of illustrative productivity loss at lab scale.</w:t>
      </w:r>
    </w:p>
    <w:p>
      <w:r>
        <w:rPr>
          <w:b w:val="0"/>
          <w:i w:val="0"/>
          <w:sz w:val="22"/>
        </w:rPr>
        <w:t>The Critical Asset Risk Exposure Register in Section 4 grounds both in the real deployment, recording configuration-level weaknesses observed in the project’s own files (root worker with docker.sock, AUTHENTIK_INSECURE=true, hardcoded token) alongside the controls already in place (permission boundaries, SAML audience restriction, short-lived sessions). Together, the three artifacts give the EISP program a complete evaluation baseline: what matters most, how fast it must recover, and where it is exposed.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r>
      <w:rPr>
        <w:color w:val="666666"/>
        <w:sz w:val="18"/>
      </w:rPr>
      <w:t xml:space="preserve">  |  RSK-EISP-03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