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F3B5B"/>
          <w:sz w:val="28"/>
        </w:rPr>
        <w:t>ENTERPRISE IDENTITY SECURITY PLATFORM (EISP)</w:t>
      </w:r>
    </w:p>
    <w:p>
      <w:pPr>
        <w:jc w:val="center"/>
      </w:pPr>
      <w:r>
        <w:rPr>
          <w:b/>
          <w:color w:val="1F3B5B"/>
          <w:sz w:val="52"/>
        </w:rPr>
        <w:t>Risk Communication</w:t>
      </w:r>
    </w:p>
    <w:p>
      <w:pPr>
        <w:jc w:val="center"/>
      </w:pPr>
      <w:r>
        <w:rPr>
          <w:i/>
          <w:sz w:val="24"/>
        </w:rPr>
        <w:t>Executive Risk Reporting, Stakeholder Communication,</w:t>
        <w:br/>
        <w:t>Risk Dashboard Design, and KPI Framework</w:t>
      </w:r>
    </w:p>
    <w:p/>
    <w:p>
      <w:pPr>
        <w:jc w:val="center"/>
      </w:pPr>
      <w:r>
        <w:rPr>
          <w:b/>
          <w:sz w:val="22"/>
        </w:rPr>
        <w:t xml:space="preserve">Document ID: </w:t>
      </w:r>
      <w:r>
        <w:rPr>
          <w:sz w:val="22"/>
        </w:rPr>
        <w:t>RSK-EISP-05</w:t>
      </w:r>
    </w:p>
    <w:p>
      <w:pPr>
        <w:jc w:val="center"/>
      </w:pPr>
      <w:r>
        <w:rPr>
          <w:b/>
          <w:sz w:val="22"/>
        </w:rPr>
        <w:t xml:space="preserve">Version: </w:t>
      </w:r>
      <w:r>
        <w:rPr>
          <w:sz w:val="22"/>
        </w:rPr>
        <w:t>1.0</w:t>
      </w:r>
    </w:p>
    <w:p>
      <w:pPr>
        <w:jc w:val="center"/>
      </w:pPr>
      <w:r>
        <w:rPr>
          <w:b/>
          <w:sz w:val="22"/>
        </w:rPr>
        <w:t xml:space="preserve">Date: </w:t>
      </w:r>
      <w:r>
        <w:rPr>
          <w:sz w:val="22"/>
        </w:rPr>
        <w:t>October 2026</w:t>
      </w:r>
    </w:p>
    <w:p>
      <w:pPr>
        <w:jc w:val="center"/>
      </w:pPr>
      <w:r>
        <w:rPr>
          <w:b/>
          <w:sz w:val="22"/>
        </w:rPr>
        <w:t xml:space="preserve">Prepared by: </w:t>
      </w:r>
      <w:r>
        <w:rPr>
          <w:sz w:val="22"/>
        </w:rPr>
        <w:t>Manisha Gupta</w:t>
      </w:r>
    </w:p>
    <w:p>
      <w:pPr>
        <w:jc w:val="center"/>
      </w:pPr>
      <w:r>
        <w:rPr>
          <w:b/>
          <w:sz w:val="22"/>
        </w:rPr>
        <w:t xml:space="preserve">Classification: </w:t>
      </w:r>
      <w:r>
        <w:rPr>
          <w:sz w:val="22"/>
        </w:rPr>
        <w:t>CONFIDENTIAL — Internal Use Only</w:t>
      </w:r>
    </w:p>
    <w:p>
      <w:pPr>
        <w:jc w:val="center"/>
      </w:pPr>
      <w:r>
        <w:rPr>
          <w:b/>
          <w:sz w:val="22"/>
        </w:rPr>
        <w:t xml:space="preserve">Related artifacts: </w:t>
      </w:r>
      <w:r>
        <w:rPr>
          <w:sz w:val="22"/>
        </w:rPr>
        <w:t>EISP-RR-003 (Risk Register), CMP-EISP-01..05</w:t>
      </w:r>
    </w:p>
    <w:p>
      <w:r>
        <w:br w:type="page"/>
      </w:r>
    </w:p>
    <w:p>
      <w:pPr>
        <w:pStyle w:val="Heading1"/>
      </w:pPr>
      <w:r>
        <w:t>1. Executive Summary</w:t>
      </w:r>
    </w:p>
    <w:p>
      <w:r>
        <w:rPr>
          <w:b w:val="0"/>
          <w:i w:val="0"/>
          <w:sz w:val="22"/>
        </w:rPr>
        <w:t>This document defines how risk information for the Enterprise Identity Security Platform (EISP) is communicated to decision-makers and stakeholders. EISP is the organization's central identity fabric: an Authentik identity provider (Docker Compose deployment with PostgreSQL 16, LDAP outpost on ports 389/636, and a whoami test application) federated to AWS IAM through SAML (authentik-saml provider), with Terraform-managed RBAC roles, permission boundaries, and four-hour STS session limits. Because every workforce identity authenticates through EISP, a failure or compromise of this platform has enterprise-wide blast radius.</w:t>
      </w:r>
    </w:p>
    <w:p>
      <w:r>
        <w:rPr>
          <w:b w:val="0"/>
          <w:i w:val="0"/>
          <w:sz w:val="22"/>
        </w:rPr>
        <w:t>Effective risk communication translates technical risk data — the ten tracked risks in the EISP Risk Register (EISP-RR-003), including two CRITICAL-rated risks (credential theft, RR-001; privilege escalation, RR-002) — into decisions: what to fund, what to fix first, and what residual risk leadership formally accepts. This document provides:</w:t>
      </w:r>
    </w:p>
    <w:p>
      <w:pPr>
        <w:pStyle w:val="ListBullet"/>
      </w:pPr>
      <w:r>
        <w:rPr>
          <w:b/>
          <w:sz w:val="22"/>
        </w:rPr>
        <w:t xml:space="preserve">1. </w:t>
      </w:r>
      <w:r>
        <w:rPr>
          <w:sz w:val="22"/>
        </w:rPr>
        <w:t>a board-ready executive risk report with key findings, illustrative financial exposure analysis, and actionable recommendations;</w:t>
      </w:r>
    </w:p>
    <w:p>
      <w:pPr>
        <w:pStyle w:val="ListBullet"/>
      </w:pPr>
      <w:r>
        <w:rPr>
          <w:b/>
          <w:sz w:val="22"/>
        </w:rPr>
        <w:t xml:space="preserve">2. </w:t>
      </w:r>
      <w:r>
        <w:rPr>
          <w:sz w:val="22"/>
        </w:rPr>
        <w:t>a stakeholder communication plan with audience analysis, tailored messages, and a delivery schedule;</w:t>
      </w:r>
    </w:p>
    <w:p>
      <w:pPr>
        <w:pStyle w:val="ListBullet"/>
      </w:pPr>
      <w:r>
        <w:rPr>
          <w:b/>
          <w:sz w:val="22"/>
        </w:rPr>
        <w:t xml:space="preserve">3. </w:t>
      </w:r>
      <w:r>
        <w:rPr>
          <w:sz w:val="22"/>
        </w:rPr>
        <w:t>a visual risk dashboard design with key metrics, automated alerting rules, and drill-down capability; and</w:t>
      </w:r>
    </w:p>
    <w:p>
      <w:pPr>
        <w:pStyle w:val="ListBullet"/>
      </w:pPr>
      <w:r>
        <w:rPr>
          <w:b/>
          <w:sz w:val="22"/>
        </w:rPr>
        <w:t xml:space="preserve">4. </w:t>
      </w:r>
      <w:r>
        <w:rPr>
          <w:sz w:val="22"/>
        </w:rPr>
        <w:t>a KPI framework of leading and lagging indicators with tracking systems and review processes.</w:t>
      </w:r>
    </w:p>
    <w:p>
      <w:r>
        <w:rPr>
          <w:b w:val="0"/>
          <w:i/>
          <w:sz w:val="22"/>
        </w:rPr>
        <w:t>All financial figures in this document are illustrative academic estimates, with assumptions stated alongside each calculation. They demonstrate method — Annualized Loss Expectancy (ALE) analysis — rather than asserting actual organizational loss data.</w:t>
      </w:r>
    </w:p>
    <w:p>
      <w:pPr>
        <w:pStyle w:val="Heading1"/>
      </w:pPr>
      <w:r>
        <w:t>2. Executive Risk Report — Board Presentation</w:t>
      </w:r>
    </w:p>
    <w:p>
      <w:pPr>
        <w:pStyle w:val="Heading2"/>
      </w:pPr>
      <w:r>
        <w:t>2.1 Purpose</w:t>
      </w:r>
    </w:p>
    <w:p>
      <w:r>
        <w:rPr>
          <w:b w:val="0"/>
          <w:i w:val="0"/>
          <w:sz w:val="22"/>
        </w:rPr>
        <w:t>To present the current risk posture of the EISP identity platform to executive leadership in business terms, quantify illustrative financial exposure, and obtain decisions on prioritized remediation investments and formal risk acceptance.</w:t>
      </w:r>
    </w:p>
    <w:p>
      <w:pPr>
        <w:pStyle w:val="Heading2"/>
      </w:pPr>
      <w:r>
        <w:t>2.2 Scope</w:t>
      </w:r>
    </w:p>
    <w:p>
      <w:r>
        <w:rPr>
          <w:b w:val="0"/>
          <w:i w:val="0"/>
          <w:sz w:val="22"/>
        </w:rPr>
        <w:t>In scope: the Authentik identity provider deployment (server, worker, PostgreSQL, LDAP outpost), AWS IAM Terraform configuration (roles, permission boundaries, SAML federation), and the identity lifecycle processes they support. Out of scope: application-layer vulnerabilities in downstream applications consuming EISP SSO, and physical security. Assessment point-in-time: October 2026.</w:t>
      </w:r>
    </w:p>
    <w:p>
      <w:pPr>
        <w:pStyle w:val="Heading2"/>
      </w:pPr>
      <w:r>
        <w:t>2.3 Methodology</w:t>
      </w:r>
    </w:p>
    <w:p>
      <w:r>
        <w:rPr>
          <w:b w:val="0"/>
          <w:i w:val="0"/>
          <w:sz w:val="22"/>
        </w:rPr>
        <w:t>Risks were identified and scored in the EISP Risk Register (EISP-RR-003) using qualitative likelihood/impact scales, CVSS v3.1 scoring for technical risks, and MITRE ATT&amp;CK mapping. This report prioritizes by risk rating and CVSS score, and applies Annualized Loss Expectancy (ALE = Single Loss Expectancy × Annualized Rate of Occurrence) to the top risks using clearly stated illustrative assumptions.</w:t>
      </w:r>
    </w:p>
    <w:p>
      <w:pPr>
        <w:pStyle w:val="Heading2"/>
      </w:pPr>
      <w:r>
        <w:t>2.4 Key Findings — Top 5 Risks</w:t>
      </w:r>
    </w:p>
    <w:p>
      <w:r>
        <w:rPr>
          <w:b w:val="0"/>
          <w:i w:val="0"/>
          <w:sz w:val="22"/>
        </w:rPr>
        <w:t>The risk register tracks ten risks (2 Critical, 4 High, 4 Medium, 0 Low). The five highest-priority risks requiring leadership attention are:</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fill="1F3B5B"/>
          </w:tcPr>
          <w:p>
            <w:r/>
            <w:r>
              <w:rPr>
                <w:rFonts w:ascii="Calibri" w:hAnsi="Calibri"/>
                <w:b/>
                <w:color w:val="FFFFFF"/>
                <w:sz w:val="18"/>
              </w:rPr>
              <w:t>Rank</w:t>
            </w:r>
          </w:p>
        </w:tc>
        <w:tc>
          <w:tcPr>
            <w:tcW w:type="dxa" w:w="1440"/>
            <w:shd w:val="clear" w:fill="1F3B5B"/>
          </w:tcPr>
          <w:p>
            <w:r/>
            <w:r>
              <w:rPr>
                <w:rFonts w:ascii="Calibri" w:hAnsi="Calibri"/>
                <w:b/>
                <w:color w:val="FFFFFF"/>
                <w:sz w:val="18"/>
              </w:rPr>
              <w:t>Risk ID</w:t>
            </w:r>
          </w:p>
        </w:tc>
        <w:tc>
          <w:tcPr>
            <w:tcW w:type="dxa" w:w="1440"/>
            <w:shd w:val="clear" w:fill="1F3B5B"/>
          </w:tcPr>
          <w:p>
            <w:r/>
            <w:r>
              <w:rPr>
                <w:rFonts w:ascii="Calibri" w:hAnsi="Calibri"/>
                <w:b/>
                <w:color w:val="FFFFFF"/>
                <w:sz w:val="18"/>
              </w:rPr>
              <w:t>Risk</w:t>
            </w:r>
          </w:p>
        </w:tc>
        <w:tc>
          <w:tcPr>
            <w:tcW w:type="dxa" w:w="1440"/>
            <w:shd w:val="clear" w:fill="1F3B5B"/>
          </w:tcPr>
          <w:p>
            <w:r/>
            <w:r>
              <w:rPr>
                <w:rFonts w:ascii="Calibri" w:hAnsi="Calibri"/>
                <w:b/>
                <w:color w:val="FFFFFF"/>
                <w:sz w:val="18"/>
              </w:rPr>
              <w:t>Rating (CVSS)</w:t>
            </w:r>
          </w:p>
        </w:tc>
        <w:tc>
          <w:tcPr>
            <w:tcW w:type="dxa" w:w="1440"/>
            <w:shd w:val="clear" w:fill="1F3B5B"/>
          </w:tcPr>
          <w:p>
            <w:r/>
            <w:r>
              <w:rPr>
                <w:rFonts w:ascii="Calibri" w:hAnsi="Calibri"/>
                <w:b/>
                <w:color w:val="FFFFFF"/>
                <w:sz w:val="18"/>
              </w:rPr>
              <w:t>MITRE ATT&amp;CK</w:t>
            </w:r>
          </w:p>
        </w:tc>
        <w:tc>
          <w:tcPr>
            <w:tcW w:type="dxa" w:w="1440"/>
            <w:shd w:val="clear" w:fill="1F3B5B"/>
          </w:tcPr>
          <w:p>
            <w:r/>
            <w:r>
              <w:rPr>
                <w:rFonts w:ascii="Calibri" w:hAnsi="Calibri"/>
                <w:b/>
                <w:color w:val="FFFFFF"/>
                <w:sz w:val="18"/>
              </w:rPr>
              <w:t>Status</w:t>
            </w:r>
          </w:p>
        </w:tc>
      </w:tr>
      <w:tr>
        <w:tc>
          <w:tcPr>
            <w:tcW w:type="dxa" w:w="1440"/>
          </w:tcPr>
          <w:p>
            <w:r/>
            <w:r>
              <w:rPr>
                <w:rFonts w:ascii="Calibri" w:hAnsi="Calibri"/>
                <w:b w:val="0"/>
                <w:sz w:val="18"/>
              </w:rPr>
              <w:t>1</w:t>
            </w:r>
          </w:p>
        </w:tc>
        <w:tc>
          <w:tcPr>
            <w:tcW w:type="dxa" w:w="1440"/>
          </w:tcPr>
          <w:p>
            <w:r/>
            <w:r>
              <w:rPr>
                <w:rFonts w:ascii="Calibri" w:hAnsi="Calibri"/>
                <w:b w:val="0"/>
                <w:sz w:val="18"/>
              </w:rPr>
              <w:t>RR-001</w:t>
            </w:r>
          </w:p>
        </w:tc>
        <w:tc>
          <w:tcPr>
            <w:tcW w:type="dxa" w:w="1440"/>
          </w:tcPr>
          <w:p>
            <w:r/>
            <w:r>
              <w:rPr>
                <w:rFonts w:ascii="Calibri" w:hAnsi="Calibri"/>
                <w:b w:val="0"/>
                <w:sz w:val="18"/>
              </w:rPr>
              <w:t>Credential Theft — attacker steals Authentik or AWS IAM credentials via phishing or brute force</w:t>
            </w:r>
          </w:p>
        </w:tc>
        <w:tc>
          <w:tcPr>
            <w:tcW w:type="dxa" w:w="1440"/>
          </w:tcPr>
          <w:p>
            <w:r/>
            <w:r>
              <w:rPr>
                <w:rFonts w:ascii="Calibri" w:hAnsi="Calibri"/>
                <w:b w:val="0"/>
                <w:sz w:val="18"/>
              </w:rPr>
              <w:t>CRITICAL (9.8)</w:t>
            </w:r>
          </w:p>
        </w:tc>
        <w:tc>
          <w:tcPr>
            <w:tcW w:type="dxa" w:w="1440"/>
          </w:tcPr>
          <w:p>
            <w:r/>
            <w:r>
              <w:rPr>
                <w:rFonts w:ascii="Calibri" w:hAnsi="Calibri"/>
                <w:b w:val="0"/>
                <w:sz w:val="18"/>
              </w:rPr>
              <w:t>T1566 / T1110</w:t>
            </w:r>
          </w:p>
        </w:tc>
        <w:tc>
          <w:tcPr>
            <w:tcW w:type="dxa" w:w="1440"/>
          </w:tcPr>
          <w:p>
            <w:r/>
            <w:r>
              <w:rPr>
                <w:rFonts w:ascii="Calibri" w:hAnsi="Calibri"/>
                <w:b w:val="0"/>
                <w:sz w:val="18"/>
              </w:rPr>
              <w:t>Open</w:t>
            </w:r>
          </w:p>
        </w:tc>
      </w:tr>
      <w:tr>
        <w:tc>
          <w:tcPr>
            <w:tcW w:type="dxa" w:w="1440"/>
          </w:tcPr>
          <w:p>
            <w:r/>
            <w:r>
              <w:rPr>
                <w:rFonts w:ascii="Calibri" w:hAnsi="Calibri"/>
                <w:b w:val="0"/>
                <w:sz w:val="18"/>
              </w:rPr>
              <w:t>2</w:t>
            </w:r>
          </w:p>
        </w:tc>
        <w:tc>
          <w:tcPr>
            <w:tcW w:type="dxa" w:w="1440"/>
          </w:tcPr>
          <w:p>
            <w:r/>
            <w:r>
              <w:rPr>
                <w:rFonts w:ascii="Calibri" w:hAnsi="Calibri"/>
                <w:b w:val="0"/>
                <w:sz w:val="18"/>
              </w:rPr>
              <w:t>RR-002</w:t>
            </w:r>
          </w:p>
        </w:tc>
        <w:tc>
          <w:tcPr>
            <w:tcW w:type="dxa" w:w="1440"/>
          </w:tcPr>
          <w:p>
            <w:r/>
            <w:r>
              <w:rPr>
                <w:rFonts w:ascii="Calibri" w:hAnsi="Calibri"/>
                <w:b w:val="0"/>
                <w:sz w:val="18"/>
              </w:rPr>
              <w:t>Privilege Escalation — compromised standard account attempts elevation beyond its role</w:t>
            </w:r>
          </w:p>
        </w:tc>
        <w:tc>
          <w:tcPr>
            <w:tcW w:type="dxa" w:w="1440"/>
          </w:tcPr>
          <w:p>
            <w:r/>
            <w:r>
              <w:rPr>
                <w:rFonts w:ascii="Calibri" w:hAnsi="Calibri"/>
                <w:b w:val="0"/>
                <w:sz w:val="18"/>
              </w:rPr>
              <w:t>CRITICAL (9.1)</w:t>
            </w:r>
          </w:p>
        </w:tc>
        <w:tc>
          <w:tcPr>
            <w:tcW w:type="dxa" w:w="1440"/>
          </w:tcPr>
          <w:p>
            <w:r/>
            <w:r>
              <w:rPr>
                <w:rFonts w:ascii="Calibri" w:hAnsi="Calibri"/>
                <w:b w:val="0"/>
                <w:sz w:val="18"/>
              </w:rPr>
              <w:t>T1548 / T1078</w:t>
            </w:r>
          </w:p>
        </w:tc>
        <w:tc>
          <w:tcPr>
            <w:tcW w:type="dxa" w:w="1440"/>
          </w:tcPr>
          <w:p>
            <w:r/>
            <w:r>
              <w:rPr>
                <w:rFonts w:ascii="Calibri" w:hAnsi="Calibri"/>
                <w:b w:val="0"/>
                <w:sz w:val="18"/>
              </w:rPr>
              <w:t>Open</w:t>
            </w:r>
          </w:p>
        </w:tc>
      </w:tr>
      <w:tr>
        <w:tc>
          <w:tcPr>
            <w:tcW w:type="dxa" w:w="1440"/>
          </w:tcPr>
          <w:p>
            <w:r/>
            <w:r>
              <w:rPr>
                <w:rFonts w:ascii="Calibri" w:hAnsi="Calibri"/>
                <w:b w:val="0"/>
                <w:sz w:val="18"/>
              </w:rPr>
              <w:t>3</w:t>
            </w:r>
          </w:p>
        </w:tc>
        <w:tc>
          <w:tcPr>
            <w:tcW w:type="dxa" w:w="1440"/>
          </w:tcPr>
          <w:p>
            <w:r/>
            <w:r>
              <w:rPr>
                <w:rFonts w:ascii="Calibri" w:hAnsi="Calibri"/>
                <w:b w:val="0"/>
                <w:sz w:val="18"/>
              </w:rPr>
              <w:t>RR-005</w:t>
            </w:r>
          </w:p>
        </w:tc>
        <w:tc>
          <w:tcPr>
            <w:tcW w:type="dxa" w:w="1440"/>
          </w:tcPr>
          <w:p>
            <w:r/>
            <w:r>
              <w:rPr>
                <w:rFonts w:ascii="Calibri" w:hAnsi="Calibri"/>
                <w:b w:val="0"/>
                <w:sz w:val="18"/>
              </w:rPr>
              <w:t>Vault Token Compromise — root token or AppRole secret_id exposed</w:t>
            </w:r>
          </w:p>
        </w:tc>
        <w:tc>
          <w:tcPr>
            <w:tcW w:type="dxa" w:w="1440"/>
          </w:tcPr>
          <w:p>
            <w:r/>
            <w:r>
              <w:rPr>
                <w:rFonts w:ascii="Calibri" w:hAnsi="Calibri"/>
                <w:b w:val="0"/>
                <w:sz w:val="18"/>
              </w:rPr>
              <w:t>HIGH (8.8)</w:t>
            </w:r>
          </w:p>
        </w:tc>
        <w:tc>
          <w:tcPr>
            <w:tcW w:type="dxa" w:w="1440"/>
          </w:tcPr>
          <w:p>
            <w:r/>
            <w:r>
              <w:rPr>
                <w:rFonts w:ascii="Calibri" w:hAnsi="Calibri"/>
                <w:b w:val="0"/>
                <w:sz w:val="18"/>
              </w:rPr>
              <w:t>T1552 / T1078</w:t>
            </w:r>
          </w:p>
        </w:tc>
        <w:tc>
          <w:tcPr>
            <w:tcW w:type="dxa" w:w="1440"/>
          </w:tcPr>
          <w:p>
            <w:r/>
            <w:r>
              <w:rPr>
                <w:rFonts w:ascii="Calibri" w:hAnsi="Calibri"/>
                <w:b w:val="0"/>
                <w:sz w:val="18"/>
              </w:rPr>
              <w:t>Open</w:t>
            </w:r>
          </w:p>
        </w:tc>
      </w:tr>
      <w:tr>
        <w:tc>
          <w:tcPr>
            <w:tcW w:type="dxa" w:w="1440"/>
          </w:tcPr>
          <w:p>
            <w:r/>
            <w:r>
              <w:rPr>
                <w:rFonts w:ascii="Calibri" w:hAnsi="Calibri"/>
                <w:b w:val="0"/>
                <w:sz w:val="18"/>
              </w:rPr>
              <w:t>4</w:t>
            </w:r>
          </w:p>
        </w:tc>
        <w:tc>
          <w:tcPr>
            <w:tcW w:type="dxa" w:w="1440"/>
          </w:tcPr>
          <w:p>
            <w:r/>
            <w:r>
              <w:rPr>
                <w:rFonts w:ascii="Calibri" w:hAnsi="Calibri"/>
                <w:b w:val="0"/>
                <w:sz w:val="18"/>
              </w:rPr>
              <w:t>RR-003</w:t>
            </w:r>
          </w:p>
        </w:tc>
        <w:tc>
          <w:tcPr>
            <w:tcW w:type="dxa" w:w="1440"/>
          </w:tcPr>
          <w:p>
            <w:r/>
            <w:r>
              <w:rPr>
                <w:rFonts w:ascii="Calibri" w:hAnsi="Calibri"/>
                <w:b w:val="0"/>
                <w:sz w:val="18"/>
              </w:rPr>
              <w:t>Secrets Exposure — hardcoded credentials committed (e.g., AUTHENTIK_TOKEN in docker-compose.yml)</w:t>
            </w:r>
          </w:p>
        </w:tc>
        <w:tc>
          <w:tcPr>
            <w:tcW w:type="dxa" w:w="1440"/>
          </w:tcPr>
          <w:p>
            <w:r/>
            <w:r>
              <w:rPr>
                <w:rFonts w:ascii="Calibri" w:hAnsi="Calibri"/>
                <w:b w:val="0"/>
                <w:sz w:val="18"/>
              </w:rPr>
              <w:t>HIGH (8.2)</w:t>
            </w:r>
          </w:p>
        </w:tc>
        <w:tc>
          <w:tcPr>
            <w:tcW w:type="dxa" w:w="1440"/>
          </w:tcPr>
          <w:p>
            <w:r/>
            <w:r>
              <w:rPr>
                <w:rFonts w:ascii="Calibri" w:hAnsi="Calibri"/>
                <w:b w:val="0"/>
                <w:sz w:val="18"/>
              </w:rPr>
              <w:t>T1552</w:t>
            </w:r>
          </w:p>
        </w:tc>
        <w:tc>
          <w:tcPr>
            <w:tcW w:type="dxa" w:w="1440"/>
          </w:tcPr>
          <w:p>
            <w:r/>
            <w:r>
              <w:rPr>
                <w:rFonts w:ascii="Calibri" w:hAnsi="Calibri"/>
                <w:b w:val="0"/>
                <w:sz w:val="18"/>
              </w:rPr>
              <w:t>Open</w:t>
            </w:r>
          </w:p>
        </w:tc>
      </w:tr>
      <w:tr>
        <w:tc>
          <w:tcPr>
            <w:tcW w:type="dxa" w:w="1440"/>
          </w:tcPr>
          <w:p>
            <w:r/>
            <w:r>
              <w:rPr>
                <w:rFonts w:ascii="Calibri" w:hAnsi="Calibri"/>
                <w:b w:val="0"/>
                <w:sz w:val="18"/>
              </w:rPr>
              <w:t>5</w:t>
            </w:r>
          </w:p>
        </w:tc>
        <w:tc>
          <w:tcPr>
            <w:tcW w:type="dxa" w:w="1440"/>
          </w:tcPr>
          <w:p>
            <w:r/>
            <w:r>
              <w:rPr>
                <w:rFonts w:ascii="Calibri" w:hAnsi="Calibri"/>
                <w:b w:val="0"/>
                <w:sz w:val="18"/>
              </w:rPr>
              <w:t>RR-004</w:t>
            </w:r>
          </w:p>
        </w:tc>
        <w:tc>
          <w:tcPr>
            <w:tcW w:type="dxa" w:w="1440"/>
          </w:tcPr>
          <w:p>
            <w:r/>
            <w:r>
              <w:rPr>
                <w:rFonts w:ascii="Calibri" w:hAnsi="Calibri"/>
                <w:b w:val="0"/>
                <w:sz w:val="18"/>
              </w:rPr>
              <w:t>MFA Fatigue Attack — attacker floods user with push prompts after obtaining password</w:t>
            </w:r>
          </w:p>
        </w:tc>
        <w:tc>
          <w:tcPr>
            <w:tcW w:type="dxa" w:w="1440"/>
          </w:tcPr>
          <w:p>
            <w:r/>
            <w:r>
              <w:rPr>
                <w:rFonts w:ascii="Calibri" w:hAnsi="Calibri"/>
                <w:b w:val="0"/>
                <w:sz w:val="18"/>
              </w:rPr>
              <w:t>HIGH (7.5)</w:t>
            </w:r>
          </w:p>
        </w:tc>
        <w:tc>
          <w:tcPr>
            <w:tcW w:type="dxa" w:w="1440"/>
          </w:tcPr>
          <w:p>
            <w:r/>
            <w:r>
              <w:rPr>
                <w:rFonts w:ascii="Calibri" w:hAnsi="Calibri"/>
                <w:b w:val="0"/>
                <w:sz w:val="18"/>
              </w:rPr>
              <w:t>T1621</w:t>
            </w:r>
          </w:p>
        </w:tc>
        <w:tc>
          <w:tcPr>
            <w:tcW w:type="dxa" w:w="1440"/>
          </w:tcPr>
          <w:p>
            <w:r/>
            <w:r>
              <w:rPr>
                <w:rFonts w:ascii="Calibri" w:hAnsi="Calibri"/>
                <w:b w:val="0"/>
                <w:sz w:val="18"/>
              </w:rPr>
              <w:t>Open</w:t>
            </w:r>
          </w:p>
        </w:tc>
      </w:tr>
    </w:tbl>
    <w:p/>
    <w:p>
      <w:r>
        <w:rPr>
          <w:b/>
          <w:i w:val="0"/>
          <w:sz w:val="22"/>
        </w:rPr>
        <w:t>Supporting observations from configuration review:</w:t>
      </w:r>
    </w:p>
    <w:p>
      <w:pPr>
        <w:pStyle w:val="ListBullet"/>
      </w:pPr>
      <w:r>
        <w:rPr>
          <w:b/>
          <w:sz w:val="22"/>
        </w:rPr>
        <w:t xml:space="preserve">Lab gaps carried as findings: </w:t>
      </w:r>
      <w:r>
        <w:rPr>
          <w:sz w:val="22"/>
        </w:rPr>
        <w:t>the LDAP outpost is configured with AUTHENTIK_INSECURE=true and a hardcoded AUTHENTIK_TOKEN in docker-compose.yml — acceptable in a lab, must not reach production;</w:t>
      </w:r>
    </w:p>
    <w:p>
      <w:pPr>
        <w:pStyle w:val="ListBullet"/>
      </w:pPr>
      <w:r>
        <w:rPr>
          <w:sz w:val="22"/>
        </w:rPr>
        <w:t>the Authentik worker container runs as root with the Docker socket mounted — a container-escape path;</w:t>
      </w:r>
    </w:p>
    <w:p>
      <w:pPr>
        <w:pStyle w:val="ListBullet"/>
      </w:pPr>
      <w:r>
        <w:rPr>
          <w:sz w:val="22"/>
        </w:rPr>
        <w:t>secrets are sourced from a local .env file with no rotation procedure; and</w:t>
      </w:r>
    </w:p>
    <w:p>
      <w:pPr>
        <w:pStyle w:val="ListBullet"/>
      </w:pPr>
      <w:r>
        <w:rPr>
          <w:sz w:val="22"/>
        </w:rPr>
        <w:t>no MFA enrollment measurement or first access-recertification cycle has yet been evidenced.</w:t>
      </w:r>
    </w:p>
    <w:p>
      <w:pPr>
        <w:pStyle w:val="Heading2"/>
      </w:pPr>
      <w:r>
        <w:t>2.5 Financial Impact Analysis (Illustrative)</w:t>
      </w:r>
    </w:p>
    <w:p>
      <w:r>
        <w:rPr>
          <w:b w:val="0"/>
          <w:i/>
          <w:sz w:val="22"/>
        </w:rPr>
        <w:t>The following ALE calculations use illustrative academic assumptions, stated explicitly. SLE (Single Loss Expectancy) estimates reflect a mid-sized organization's breach-response, forensic, notification, and productivity-loss costs for an identity-platform incident. ARO (Annualized Rate of Occurrence) reflects the assessed likelihood for an internet-exposed identity service.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fill="1F3B5B"/>
          </w:tcPr>
          <w:p>
            <w:r/>
            <w:r>
              <w:rPr>
                <w:rFonts w:ascii="Calibri" w:hAnsi="Calibri"/>
                <w:b/>
                <w:color w:val="FFFFFF"/>
                <w:sz w:val="18"/>
              </w:rPr>
              <w:t>Risk</w:t>
            </w:r>
          </w:p>
        </w:tc>
        <w:tc>
          <w:tcPr>
            <w:tcW w:type="dxa" w:w="1728"/>
            <w:shd w:val="clear" w:fill="1F3B5B"/>
          </w:tcPr>
          <w:p>
            <w:r/>
            <w:r>
              <w:rPr>
                <w:rFonts w:ascii="Calibri" w:hAnsi="Calibri"/>
                <w:b/>
                <w:color w:val="FFFFFF"/>
                <w:sz w:val="18"/>
              </w:rPr>
              <w:t>Assumed SLE</w:t>
            </w:r>
          </w:p>
        </w:tc>
        <w:tc>
          <w:tcPr>
            <w:tcW w:type="dxa" w:w="1728"/>
            <w:shd w:val="clear" w:fill="1F3B5B"/>
          </w:tcPr>
          <w:p>
            <w:r/>
            <w:r>
              <w:rPr>
                <w:rFonts w:ascii="Calibri" w:hAnsi="Calibri"/>
                <w:b/>
                <w:color w:val="FFFFFF"/>
                <w:sz w:val="18"/>
              </w:rPr>
              <w:t>Assumed ARO</w:t>
            </w:r>
          </w:p>
        </w:tc>
        <w:tc>
          <w:tcPr>
            <w:tcW w:type="dxa" w:w="1728"/>
            <w:shd w:val="clear" w:fill="1F3B5B"/>
          </w:tcPr>
          <w:p>
            <w:r/>
            <w:r>
              <w:rPr>
                <w:rFonts w:ascii="Calibri" w:hAnsi="Calibri"/>
                <w:b/>
                <w:color w:val="FFFFFF"/>
                <w:sz w:val="18"/>
              </w:rPr>
              <w:t>Illustrative ALE (SLE × ARO)</w:t>
            </w:r>
          </w:p>
        </w:tc>
        <w:tc>
          <w:tcPr>
            <w:tcW w:type="dxa" w:w="1728"/>
            <w:shd w:val="clear" w:fill="1F3B5B"/>
          </w:tcPr>
          <w:p>
            <w:r/>
            <w:r>
              <w:rPr>
                <w:rFonts w:ascii="Calibri" w:hAnsi="Calibri"/>
                <w:b/>
                <w:color w:val="FFFFFF"/>
                <w:sz w:val="18"/>
              </w:rPr>
              <w:t>Basis of Assumptions</w:t>
            </w:r>
          </w:p>
        </w:tc>
      </w:tr>
      <w:tr>
        <w:tc>
          <w:tcPr>
            <w:tcW w:type="dxa" w:w="1728"/>
          </w:tcPr>
          <w:p>
            <w:r/>
            <w:r>
              <w:rPr>
                <w:rFonts w:ascii="Calibri" w:hAnsi="Calibri"/>
                <w:b w:val="0"/>
                <w:sz w:val="18"/>
              </w:rPr>
              <w:t>RR-001 Credential Theft</w:t>
            </w:r>
          </w:p>
        </w:tc>
        <w:tc>
          <w:tcPr>
            <w:tcW w:type="dxa" w:w="1728"/>
          </w:tcPr>
          <w:p>
            <w:r/>
            <w:r>
              <w:rPr>
                <w:rFonts w:ascii="Calibri" w:hAnsi="Calibri"/>
                <w:b w:val="0"/>
                <w:sz w:val="18"/>
              </w:rPr>
              <w:t>$150,000</w:t>
            </w:r>
          </w:p>
        </w:tc>
        <w:tc>
          <w:tcPr>
            <w:tcW w:type="dxa" w:w="1728"/>
          </w:tcPr>
          <w:p>
            <w:r/>
            <w:r>
              <w:rPr>
                <w:rFonts w:ascii="Calibri" w:hAnsi="Calibri"/>
                <w:b w:val="0"/>
                <w:sz w:val="18"/>
              </w:rPr>
              <w:t>0.30</w:t>
            </w:r>
          </w:p>
        </w:tc>
        <w:tc>
          <w:tcPr>
            <w:tcW w:type="dxa" w:w="1728"/>
          </w:tcPr>
          <w:p>
            <w:r/>
            <w:r>
              <w:rPr>
                <w:rFonts w:ascii="Calibri" w:hAnsi="Calibri"/>
                <w:b w:val="0"/>
                <w:sz w:val="18"/>
              </w:rPr>
              <w:t>$45,000</w:t>
            </w:r>
          </w:p>
        </w:tc>
        <w:tc>
          <w:tcPr>
            <w:tcW w:type="dxa" w:w="1728"/>
          </w:tcPr>
          <w:p>
            <w:r/>
            <w:r>
              <w:rPr>
                <w:rFonts w:ascii="Calibri" w:hAnsi="Calibri"/>
                <w:b w:val="0"/>
                <w:sz w:val="18"/>
              </w:rPr>
              <w:t>SLE: forensics + notification + reset; ARO: High likelihood, phishing volume</w:t>
            </w:r>
          </w:p>
        </w:tc>
      </w:tr>
      <w:tr>
        <w:tc>
          <w:tcPr>
            <w:tcW w:type="dxa" w:w="1728"/>
          </w:tcPr>
          <w:p>
            <w:r/>
            <w:r>
              <w:rPr>
                <w:rFonts w:ascii="Calibri" w:hAnsi="Calibri"/>
                <w:b w:val="0"/>
                <w:sz w:val="18"/>
              </w:rPr>
              <w:t>RR-002 Privilege Escalation</w:t>
            </w:r>
          </w:p>
        </w:tc>
        <w:tc>
          <w:tcPr>
            <w:tcW w:type="dxa" w:w="1728"/>
          </w:tcPr>
          <w:p>
            <w:r/>
            <w:r>
              <w:rPr>
                <w:rFonts w:ascii="Calibri" w:hAnsi="Calibri"/>
                <w:b w:val="0"/>
                <w:sz w:val="18"/>
              </w:rPr>
              <w:t>$120,000</w:t>
            </w:r>
          </w:p>
        </w:tc>
        <w:tc>
          <w:tcPr>
            <w:tcW w:type="dxa" w:w="1728"/>
          </w:tcPr>
          <w:p>
            <w:r/>
            <w:r>
              <w:rPr>
                <w:rFonts w:ascii="Calibri" w:hAnsi="Calibri"/>
                <w:b w:val="0"/>
                <w:sz w:val="18"/>
              </w:rPr>
              <w:t>0.25</w:t>
            </w:r>
          </w:p>
        </w:tc>
        <w:tc>
          <w:tcPr>
            <w:tcW w:type="dxa" w:w="1728"/>
          </w:tcPr>
          <w:p>
            <w:r/>
            <w:r>
              <w:rPr>
                <w:rFonts w:ascii="Calibri" w:hAnsi="Calibri"/>
                <w:b w:val="0"/>
                <w:sz w:val="18"/>
              </w:rPr>
              <w:t>$30,000</w:t>
            </w:r>
          </w:p>
        </w:tc>
        <w:tc>
          <w:tcPr>
            <w:tcW w:type="dxa" w:w="1728"/>
          </w:tcPr>
          <w:p>
            <w:r/>
            <w:r>
              <w:rPr>
                <w:rFonts w:ascii="Calibri" w:hAnsi="Calibri"/>
                <w:b w:val="0"/>
                <w:sz w:val="18"/>
              </w:rPr>
              <w:t>SLE: containment + privilege audit; ARO: High likelihood per register</w:t>
            </w:r>
          </w:p>
        </w:tc>
      </w:tr>
      <w:tr>
        <w:tc>
          <w:tcPr>
            <w:tcW w:type="dxa" w:w="1728"/>
          </w:tcPr>
          <w:p>
            <w:r/>
            <w:r>
              <w:rPr>
                <w:rFonts w:ascii="Calibri" w:hAnsi="Calibri"/>
                <w:b w:val="0"/>
                <w:sz w:val="18"/>
              </w:rPr>
              <w:t>RR-005 Vault Token Compromise</w:t>
            </w:r>
          </w:p>
        </w:tc>
        <w:tc>
          <w:tcPr>
            <w:tcW w:type="dxa" w:w="1728"/>
          </w:tcPr>
          <w:p>
            <w:r/>
            <w:r>
              <w:rPr>
                <w:rFonts w:ascii="Calibri" w:hAnsi="Calibri"/>
                <w:b w:val="0"/>
                <w:sz w:val="18"/>
              </w:rPr>
              <w:t>$200,000</w:t>
            </w:r>
          </w:p>
        </w:tc>
        <w:tc>
          <w:tcPr>
            <w:tcW w:type="dxa" w:w="1728"/>
          </w:tcPr>
          <w:p>
            <w:r/>
            <w:r>
              <w:rPr>
                <w:rFonts w:ascii="Calibri" w:hAnsi="Calibri"/>
                <w:b w:val="0"/>
                <w:sz w:val="18"/>
              </w:rPr>
              <w:t>0.10</w:t>
            </w:r>
          </w:p>
        </w:tc>
        <w:tc>
          <w:tcPr>
            <w:tcW w:type="dxa" w:w="1728"/>
          </w:tcPr>
          <w:p>
            <w:r/>
            <w:r>
              <w:rPr>
                <w:rFonts w:ascii="Calibri" w:hAnsi="Calibri"/>
                <w:b w:val="0"/>
                <w:sz w:val="18"/>
              </w:rPr>
              <w:t>$20,000</w:t>
            </w:r>
          </w:p>
        </w:tc>
        <w:tc>
          <w:tcPr>
            <w:tcW w:type="dxa" w:w="1728"/>
          </w:tcPr>
          <w:p>
            <w:r/>
            <w:r>
              <w:rPr>
                <w:rFonts w:ascii="Calibri" w:hAnsi="Calibri"/>
                <w:b w:val="0"/>
                <w:sz w:val="18"/>
              </w:rPr>
              <w:t>SLE: full secret rotation + rebuild; ARO: Low likelihood, Critical impact</w:t>
            </w:r>
          </w:p>
        </w:tc>
      </w:tr>
      <w:tr>
        <w:tc>
          <w:tcPr>
            <w:tcW w:type="dxa" w:w="1728"/>
          </w:tcPr>
          <w:p>
            <w:r/>
            <w:r>
              <w:rPr>
                <w:rFonts w:ascii="Calibri" w:hAnsi="Calibri"/>
                <w:b w:val="0"/>
                <w:sz w:val="18"/>
              </w:rPr>
              <w:t>RR-003 Hardcoded Secrets</w:t>
            </w:r>
          </w:p>
        </w:tc>
        <w:tc>
          <w:tcPr>
            <w:tcW w:type="dxa" w:w="1728"/>
          </w:tcPr>
          <w:p>
            <w:r/>
            <w:r>
              <w:rPr>
                <w:rFonts w:ascii="Calibri" w:hAnsi="Calibri"/>
                <w:b w:val="0"/>
                <w:sz w:val="18"/>
              </w:rPr>
              <w:t>$80,000</w:t>
            </w:r>
          </w:p>
        </w:tc>
        <w:tc>
          <w:tcPr>
            <w:tcW w:type="dxa" w:w="1728"/>
          </w:tcPr>
          <w:p>
            <w:r/>
            <w:r>
              <w:rPr>
                <w:rFonts w:ascii="Calibri" w:hAnsi="Calibri"/>
                <w:b w:val="0"/>
                <w:sz w:val="18"/>
              </w:rPr>
              <w:t>0.20</w:t>
            </w:r>
          </w:p>
        </w:tc>
        <w:tc>
          <w:tcPr>
            <w:tcW w:type="dxa" w:w="1728"/>
          </w:tcPr>
          <w:p>
            <w:r/>
            <w:r>
              <w:rPr>
                <w:rFonts w:ascii="Calibri" w:hAnsi="Calibri"/>
                <w:b w:val="0"/>
                <w:sz w:val="18"/>
              </w:rPr>
              <w:t>$16,000</w:t>
            </w:r>
          </w:p>
        </w:tc>
        <w:tc>
          <w:tcPr>
            <w:tcW w:type="dxa" w:w="1728"/>
          </w:tcPr>
          <w:p>
            <w:r/>
            <w:r>
              <w:rPr>
                <w:rFonts w:ascii="Calibri" w:hAnsi="Calibri"/>
                <w:b w:val="0"/>
                <w:sz w:val="18"/>
              </w:rPr>
              <w:t>SLE: rotation + repo scrub; ARO: Medium likelihood, token already in compose file</w:t>
            </w:r>
          </w:p>
        </w:tc>
      </w:tr>
      <w:tr>
        <w:tc>
          <w:tcPr>
            <w:tcW w:type="dxa" w:w="1728"/>
          </w:tcPr>
          <w:p>
            <w:r/>
            <w:r>
              <w:rPr>
                <w:rFonts w:ascii="Calibri" w:hAnsi="Calibri"/>
                <w:b w:val="0"/>
                <w:sz w:val="18"/>
              </w:rPr>
              <w:t>RR-004 MFA Fatigue</w:t>
            </w:r>
          </w:p>
        </w:tc>
        <w:tc>
          <w:tcPr>
            <w:tcW w:type="dxa" w:w="1728"/>
          </w:tcPr>
          <w:p>
            <w:r/>
            <w:r>
              <w:rPr>
                <w:rFonts w:ascii="Calibri" w:hAnsi="Calibri"/>
                <w:b w:val="0"/>
                <w:sz w:val="18"/>
              </w:rPr>
              <w:t>$60,000</w:t>
            </w:r>
          </w:p>
        </w:tc>
        <w:tc>
          <w:tcPr>
            <w:tcW w:type="dxa" w:w="1728"/>
          </w:tcPr>
          <w:p>
            <w:r/>
            <w:r>
              <w:rPr>
                <w:rFonts w:ascii="Calibri" w:hAnsi="Calibri"/>
                <w:b w:val="0"/>
                <w:sz w:val="18"/>
              </w:rPr>
              <w:t>0.20</w:t>
            </w:r>
          </w:p>
        </w:tc>
        <w:tc>
          <w:tcPr>
            <w:tcW w:type="dxa" w:w="1728"/>
          </w:tcPr>
          <w:p>
            <w:r/>
            <w:r>
              <w:rPr>
                <w:rFonts w:ascii="Calibri" w:hAnsi="Calibri"/>
                <w:b w:val="0"/>
                <w:sz w:val="18"/>
              </w:rPr>
              <w:t>$12,000</w:t>
            </w:r>
          </w:p>
        </w:tc>
        <w:tc>
          <w:tcPr>
            <w:tcW w:type="dxa" w:w="1728"/>
          </w:tcPr>
          <w:p>
            <w:r/>
            <w:r>
              <w:rPr>
                <w:rFonts w:ascii="Calibri" w:hAnsi="Calibri"/>
                <w:b w:val="0"/>
                <w:sz w:val="18"/>
              </w:rPr>
              <w:t>SLE: account recovery + investigation; ARO: Medium likelihood</w:t>
            </w:r>
          </w:p>
        </w:tc>
      </w:tr>
    </w:tbl>
    <w:p/>
    <w:p>
      <w:r>
        <w:rPr>
          <w:b/>
          <w:i w:val="0"/>
          <w:sz w:val="22"/>
        </w:rPr>
        <w:t>Aggregate illustrative exposure for the top five risks: approximately $123,000 ALE per year. This figure excludes tail-risk scenarios (e.g., full IdP compromise with downstream application breach), which would be modeled separately under a quantitative program. The proposed control investments in Section 2.6 total an estimated $28,000–$35,000 in first-year effort — a favorable ratio against the illustrative exposure, before considering the non-financial value of customer and regulator trust.</w:t>
      </w:r>
    </w:p>
    <w:p>
      <w:pPr>
        <w:pStyle w:val="Heading2"/>
      </w:pPr>
      <w:r>
        <w:t>2.6 Actionable Recommendations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fill="1F3B5B"/>
          </w:tcPr>
          <w:p>
            <w:r/>
            <w:r>
              <w:rPr>
                <w:rFonts w:ascii="Calibri" w:hAnsi="Calibri"/>
                <w:b/>
                <w:color w:val="FFFFFF"/>
                <w:sz w:val="18"/>
              </w:rPr>
              <w:t>#</w:t>
            </w:r>
          </w:p>
        </w:tc>
        <w:tc>
          <w:tcPr>
            <w:tcW w:type="dxa" w:w="1440"/>
            <w:shd w:val="clear" w:fill="1F3B5B"/>
          </w:tcPr>
          <w:p>
            <w:r/>
            <w:r>
              <w:rPr>
                <w:rFonts w:ascii="Calibri" w:hAnsi="Calibri"/>
                <w:b/>
                <w:color w:val="FFFFFF"/>
                <w:sz w:val="18"/>
              </w:rPr>
              <w:t>Recommendation</w:t>
            </w:r>
          </w:p>
        </w:tc>
        <w:tc>
          <w:tcPr>
            <w:tcW w:type="dxa" w:w="1440"/>
            <w:shd w:val="clear" w:fill="1F3B5B"/>
          </w:tcPr>
          <w:p>
            <w:r/>
            <w:r>
              <w:rPr>
                <w:rFonts w:ascii="Calibri" w:hAnsi="Calibri"/>
                <w:b/>
                <w:color w:val="FFFFFF"/>
                <w:sz w:val="18"/>
              </w:rPr>
              <w:t>Addresses</w:t>
            </w:r>
          </w:p>
        </w:tc>
        <w:tc>
          <w:tcPr>
            <w:tcW w:type="dxa" w:w="1440"/>
            <w:shd w:val="clear" w:fill="1F3B5B"/>
          </w:tcPr>
          <w:p>
            <w:r/>
            <w:r>
              <w:rPr>
                <w:rFonts w:ascii="Calibri" w:hAnsi="Calibri"/>
                <w:b/>
                <w:color w:val="FFFFFF"/>
                <w:sz w:val="18"/>
              </w:rPr>
              <w:t>Owner</w:t>
            </w:r>
          </w:p>
        </w:tc>
        <w:tc>
          <w:tcPr>
            <w:tcW w:type="dxa" w:w="1440"/>
            <w:shd w:val="clear" w:fill="1F3B5B"/>
          </w:tcPr>
          <w:p>
            <w:r/>
            <w:r>
              <w:rPr>
                <w:rFonts w:ascii="Calibri" w:hAnsi="Calibri"/>
                <w:b/>
                <w:color w:val="FFFFFF"/>
                <w:sz w:val="18"/>
              </w:rPr>
              <w:t>Est. Cost / Effort</w:t>
            </w:r>
          </w:p>
        </w:tc>
        <w:tc>
          <w:tcPr>
            <w:tcW w:type="dxa" w:w="1440"/>
            <w:shd w:val="clear" w:fill="1F3B5B"/>
          </w:tcPr>
          <w:p>
            <w:r/>
            <w:r>
              <w:rPr>
                <w:rFonts w:ascii="Calibri" w:hAnsi="Calibri"/>
                <w:b/>
                <w:color w:val="FFFFFF"/>
                <w:sz w:val="18"/>
              </w:rPr>
              <w:t>Timeline</w:t>
            </w:r>
          </w:p>
        </w:tc>
      </w:tr>
      <w:tr>
        <w:tc>
          <w:tcPr>
            <w:tcW w:type="dxa" w:w="1440"/>
          </w:tcPr>
          <w:p>
            <w:r/>
            <w:r>
              <w:rPr>
                <w:rFonts w:ascii="Calibri" w:hAnsi="Calibri"/>
                <w:b w:val="0"/>
                <w:sz w:val="18"/>
              </w:rPr>
              <w:t>R-1</w:t>
            </w:r>
          </w:p>
        </w:tc>
        <w:tc>
          <w:tcPr>
            <w:tcW w:type="dxa" w:w="1440"/>
          </w:tcPr>
          <w:p>
            <w:r/>
            <w:r>
              <w:rPr>
                <w:rFonts w:ascii="Calibri" w:hAnsi="Calibri"/>
                <w:b w:val="0"/>
                <w:sz w:val="18"/>
              </w:rPr>
              <w:t>Enforce MFA for all human accounts in Authentik and enable number-matching on push factors</w:t>
            </w:r>
          </w:p>
        </w:tc>
        <w:tc>
          <w:tcPr>
            <w:tcW w:type="dxa" w:w="1440"/>
          </w:tcPr>
          <w:p>
            <w:r/>
            <w:r>
              <w:rPr>
                <w:rFonts w:ascii="Calibri" w:hAnsi="Calibri"/>
                <w:b w:val="0"/>
                <w:sz w:val="18"/>
              </w:rPr>
              <w:t>RR-001, RR-004</w:t>
            </w:r>
          </w:p>
        </w:tc>
        <w:tc>
          <w:tcPr>
            <w:tcW w:type="dxa" w:w="1440"/>
          </w:tcPr>
          <w:p>
            <w:r/>
            <w:r>
              <w:rPr>
                <w:rFonts w:ascii="Calibri" w:hAnsi="Calibri"/>
                <w:b w:val="0"/>
                <w:sz w:val="18"/>
              </w:rPr>
              <w:t>IAM Engineer</w:t>
            </w:r>
          </w:p>
        </w:tc>
        <w:tc>
          <w:tcPr>
            <w:tcW w:type="dxa" w:w="1440"/>
          </w:tcPr>
          <w:p>
            <w:r/>
            <w:r>
              <w:rPr>
                <w:rFonts w:ascii="Calibri" w:hAnsi="Calibri"/>
                <w:b w:val="0"/>
                <w:sz w:val="18"/>
              </w:rPr>
              <w:t>$3k / 2 weeks</w:t>
            </w:r>
          </w:p>
        </w:tc>
        <w:tc>
          <w:tcPr>
            <w:tcW w:type="dxa" w:w="1440"/>
          </w:tcPr>
          <w:p>
            <w:r/>
            <w:r>
              <w:rPr>
                <w:rFonts w:ascii="Calibri" w:hAnsi="Calibri"/>
                <w:b w:val="0"/>
                <w:sz w:val="18"/>
              </w:rPr>
              <w:t>Q4 2026</w:t>
            </w:r>
          </w:p>
        </w:tc>
      </w:tr>
      <w:tr>
        <w:tc>
          <w:tcPr>
            <w:tcW w:type="dxa" w:w="1440"/>
          </w:tcPr>
          <w:p>
            <w:r/>
            <w:r>
              <w:rPr>
                <w:rFonts w:ascii="Calibri" w:hAnsi="Calibri"/>
                <w:b w:val="0"/>
                <w:sz w:val="18"/>
              </w:rPr>
              <w:t>R-2</w:t>
            </w:r>
          </w:p>
        </w:tc>
        <w:tc>
          <w:tcPr>
            <w:tcW w:type="dxa" w:w="1440"/>
          </w:tcPr>
          <w:p>
            <w:r/>
            <w:r>
              <w:rPr>
                <w:rFonts w:ascii="Calibri" w:hAnsi="Calibri"/>
                <w:b w:val="0"/>
                <w:sz w:val="18"/>
              </w:rPr>
              <w:t>Remove hardcoded AUTHENTIK_TOKEN; inject via secrets manager and set AUTHENTIK_INSECURE=false with TLS on LDAPS</w:t>
            </w:r>
          </w:p>
        </w:tc>
        <w:tc>
          <w:tcPr>
            <w:tcW w:type="dxa" w:w="1440"/>
          </w:tcPr>
          <w:p>
            <w:r/>
            <w:r>
              <w:rPr>
                <w:rFonts w:ascii="Calibri" w:hAnsi="Calibri"/>
                <w:b w:val="0"/>
                <w:sz w:val="18"/>
              </w:rPr>
              <w:t>RR-003</w:t>
            </w:r>
          </w:p>
        </w:tc>
        <w:tc>
          <w:tcPr>
            <w:tcW w:type="dxa" w:w="1440"/>
          </w:tcPr>
          <w:p>
            <w:r/>
            <w:r>
              <w:rPr>
                <w:rFonts w:ascii="Calibri" w:hAnsi="Calibri"/>
                <w:b w:val="0"/>
                <w:sz w:val="18"/>
              </w:rPr>
              <w:t>DevSecOps Engineer</w:t>
            </w:r>
          </w:p>
        </w:tc>
        <w:tc>
          <w:tcPr>
            <w:tcW w:type="dxa" w:w="1440"/>
          </w:tcPr>
          <w:p>
            <w:r/>
            <w:r>
              <w:rPr>
                <w:rFonts w:ascii="Calibri" w:hAnsi="Calibri"/>
                <w:b w:val="0"/>
                <w:sz w:val="18"/>
              </w:rPr>
              <w:t>$2k / 1 week</w:t>
            </w:r>
          </w:p>
        </w:tc>
        <w:tc>
          <w:tcPr>
            <w:tcW w:type="dxa" w:w="1440"/>
          </w:tcPr>
          <w:p>
            <w:r/>
            <w:r>
              <w:rPr>
                <w:rFonts w:ascii="Calibri" w:hAnsi="Calibri"/>
                <w:b w:val="0"/>
                <w:sz w:val="18"/>
              </w:rPr>
              <w:t>Q4 2026</w:t>
            </w:r>
          </w:p>
        </w:tc>
      </w:tr>
      <w:tr>
        <w:tc>
          <w:tcPr>
            <w:tcW w:type="dxa" w:w="1440"/>
          </w:tcPr>
          <w:p>
            <w:r/>
            <w:r>
              <w:rPr>
                <w:rFonts w:ascii="Calibri" w:hAnsi="Calibri"/>
                <w:b w:val="0"/>
                <w:sz w:val="18"/>
              </w:rPr>
              <w:t>R-3</w:t>
            </w:r>
          </w:p>
        </w:tc>
        <w:tc>
          <w:tcPr>
            <w:tcW w:type="dxa" w:w="1440"/>
          </w:tcPr>
          <w:p>
            <w:r/>
            <w:r>
              <w:rPr>
                <w:rFonts w:ascii="Calibri" w:hAnsi="Calibri"/>
                <w:b w:val="0"/>
                <w:sz w:val="18"/>
              </w:rPr>
              <w:t>Run worker container as non-root; remove docker.sock mount or scope it with a proxy</w:t>
            </w:r>
          </w:p>
        </w:tc>
        <w:tc>
          <w:tcPr>
            <w:tcW w:type="dxa" w:w="1440"/>
          </w:tcPr>
          <w:p>
            <w:r/>
            <w:r>
              <w:rPr>
                <w:rFonts w:ascii="Calibri" w:hAnsi="Calibri"/>
                <w:b w:val="0"/>
                <w:sz w:val="18"/>
              </w:rPr>
              <w:t>RR-002</w:t>
            </w:r>
          </w:p>
        </w:tc>
        <w:tc>
          <w:tcPr>
            <w:tcW w:type="dxa" w:w="1440"/>
          </w:tcPr>
          <w:p>
            <w:r/>
            <w:r>
              <w:rPr>
                <w:rFonts w:ascii="Calibri" w:hAnsi="Calibri"/>
                <w:b w:val="0"/>
                <w:sz w:val="18"/>
              </w:rPr>
              <w:t>DevSecOps Engineer</w:t>
            </w:r>
          </w:p>
        </w:tc>
        <w:tc>
          <w:tcPr>
            <w:tcW w:type="dxa" w:w="1440"/>
          </w:tcPr>
          <w:p>
            <w:r/>
            <w:r>
              <w:rPr>
                <w:rFonts w:ascii="Calibri" w:hAnsi="Calibri"/>
                <w:b w:val="0"/>
                <w:sz w:val="18"/>
              </w:rPr>
              <w:t>$4k / 2 weeks</w:t>
            </w:r>
          </w:p>
        </w:tc>
        <w:tc>
          <w:tcPr>
            <w:tcW w:type="dxa" w:w="1440"/>
          </w:tcPr>
          <w:p>
            <w:r/>
            <w:r>
              <w:rPr>
                <w:rFonts w:ascii="Calibri" w:hAnsi="Calibri"/>
                <w:b w:val="0"/>
                <w:sz w:val="18"/>
              </w:rPr>
              <w:t>Q4 2026</w:t>
            </w:r>
          </w:p>
        </w:tc>
      </w:tr>
      <w:tr>
        <w:tc>
          <w:tcPr>
            <w:tcW w:type="dxa" w:w="1440"/>
          </w:tcPr>
          <w:p>
            <w:r/>
            <w:r>
              <w:rPr>
                <w:rFonts w:ascii="Calibri" w:hAnsi="Calibri"/>
                <w:b w:val="0"/>
                <w:sz w:val="18"/>
              </w:rPr>
              <w:t>R-4</w:t>
            </w:r>
          </w:p>
        </w:tc>
        <w:tc>
          <w:tcPr>
            <w:tcW w:type="dxa" w:w="1440"/>
          </w:tcPr>
          <w:p>
            <w:r/>
            <w:r>
              <w:rPr>
                <w:rFonts w:ascii="Calibri" w:hAnsi="Calibri"/>
                <w:b w:val="0"/>
                <w:sz w:val="18"/>
              </w:rPr>
              <w:t>Complete first quarterly access recertification of all AWS IAM role assignments with owner sign-off</w:t>
            </w:r>
          </w:p>
        </w:tc>
        <w:tc>
          <w:tcPr>
            <w:tcW w:type="dxa" w:w="1440"/>
          </w:tcPr>
          <w:p>
            <w:r/>
            <w:r>
              <w:rPr>
                <w:rFonts w:ascii="Calibri" w:hAnsi="Calibri"/>
                <w:b w:val="0"/>
                <w:sz w:val="18"/>
              </w:rPr>
              <w:t>RR-002</w:t>
            </w:r>
          </w:p>
        </w:tc>
        <w:tc>
          <w:tcPr>
            <w:tcW w:type="dxa" w:w="1440"/>
          </w:tcPr>
          <w:p>
            <w:r/>
            <w:r>
              <w:rPr>
                <w:rFonts w:ascii="Calibri" w:hAnsi="Calibri"/>
                <w:b w:val="0"/>
                <w:sz w:val="18"/>
              </w:rPr>
              <w:t>IAM Engineer</w:t>
            </w:r>
          </w:p>
        </w:tc>
        <w:tc>
          <w:tcPr>
            <w:tcW w:type="dxa" w:w="1440"/>
          </w:tcPr>
          <w:p>
            <w:r/>
            <w:r>
              <w:rPr>
                <w:rFonts w:ascii="Calibri" w:hAnsi="Calibri"/>
                <w:b w:val="0"/>
                <w:sz w:val="18"/>
              </w:rPr>
              <w:t>$5k / 3 weeks</w:t>
            </w:r>
          </w:p>
        </w:tc>
        <w:tc>
          <w:tcPr>
            <w:tcW w:type="dxa" w:w="1440"/>
          </w:tcPr>
          <w:p>
            <w:r/>
            <w:r>
              <w:rPr>
                <w:rFonts w:ascii="Calibri" w:hAnsi="Calibri"/>
                <w:b w:val="0"/>
                <w:sz w:val="18"/>
              </w:rPr>
              <w:t>Q1 2027</w:t>
            </w:r>
          </w:p>
        </w:tc>
      </w:tr>
      <w:tr>
        <w:tc>
          <w:tcPr>
            <w:tcW w:type="dxa" w:w="1440"/>
          </w:tcPr>
          <w:p>
            <w:r/>
            <w:r>
              <w:rPr>
                <w:rFonts w:ascii="Calibri" w:hAnsi="Calibri"/>
                <w:b w:val="0"/>
                <w:sz w:val="18"/>
              </w:rPr>
              <w:t>R-5</w:t>
            </w:r>
          </w:p>
        </w:tc>
        <w:tc>
          <w:tcPr>
            <w:tcW w:type="dxa" w:w="1440"/>
          </w:tcPr>
          <w:p>
            <w:r/>
            <w:r>
              <w:rPr>
                <w:rFonts w:ascii="Calibri" w:hAnsi="Calibri"/>
                <w:b w:val="0"/>
                <w:sz w:val="18"/>
              </w:rPr>
              <w:t>Revoke Vault root token post-init; rotate AppRole secret_ids on a 30-day schedule with alerting</w:t>
            </w:r>
          </w:p>
        </w:tc>
        <w:tc>
          <w:tcPr>
            <w:tcW w:type="dxa" w:w="1440"/>
          </w:tcPr>
          <w:p>
            <w:r/>
            <w:r>
              <w:rPr>
                <w:rFonts w:ascii="Calibri" w:hAnsi="Calibri"/>
                <w:b w:val="0"/>
                <w:sz w:val="18"/>
              </w:rPr>
              <w:t>RR-005</w:t>
            </w:r>
          </w:p>
        </w:tc>
        <w:tc>
          <w:tcPr>
            <w:tcW w:type="dxa" w:w="1440"/>
          </w:tcPr>
          <w:p>
            <w:r/>
            <w:r>
              <w:rPr>
                <w:rFonts w:ascii="Calibri" w:hAnsi="Calibri"/>
                <w:b w:val="0"/>
                <w:sz w:val="18"/>
              </w:rPr>
              <w:t>DevSecOps Engineer</w:t>
            </w:r>
          </w:p>
        </w:tc>
        <w:tc>
          <w:tcPr>
            <w:tcW w:type="dxa" w:w="1440"/>
          </w:tcPr>
          <w:p>
            <w:r/>
            <w:r>
              <w:rPr>
                <w:rFonts w:ascii="Calibri" w:hAnsi="Calibri"/>
                <w:b w:val="0"/>
                <w:sz w:val="18"/>
              </w:rPr>
              <w:t>$3k / 2 weeks</w:t>
            </w:r>
          </w:p>
        </w:tc>
        <w:tc>
          <w:tcPr>
            <w:tcW w:type="dxa" w:w="1440"/>
          </w:tcPr>
          <w:p>
            <w:r/>
            <w:r>
              <w:rPr>
                <w:rFonts w:ascii="Calibri" w:hAnsi="Calibri"/>
                <w:b w:val="0"/>
                <w:sz w:val="18"/>
              </w:rPr>
              <w:t>Q4 2026</w:t>
            </w:r>
          </w:p>
        </w:tc>
      </w:tr>
      <w:tr>
        <w:tc>
          <w:tcPr>
            <w:tcW w:type="dxa" w:w="1440"/>
          </w:tcPr>
          <w:p>
            <w:r/>
            <w:r>
              <w:rPr>
                <w:rFonts w:ascii="Calibri" w:hAnsi="Calibri"/>
                <w:b w:val="0"/>
                <w:sz w:val="18"/>
              </w:rPr>
              <w:t>R-6</w:t>
            </w:r>
          </w:p>
        </w:tc>
        <w:tc>
          <w:tcPr>
            <w:tcW w:type="dxa" w:w="1440"/>
          </w:tcPr>
          <w:p>
            <w:r/>
            <w:r>
              <w:rPr>
                <w:rFonts w:ascii="Calibri" w:hAnsi="Calibri"/>
                <w:b w:val="0"/>
                <w:sz w:val="18"/>
              </w:rPr>
              <w:t>Implement the six mandatory Wazuh detection rules and tune to &lt;5% false-positive rate</w:t>
            </w:r>
          </w:p>
        </w:tc>
        <w:tc>
          <w:tcPr>
            <w:tcW w:type="dxa" w:w="1440"/>
          </w:tcPr>
          <w:p>
            <w:r/>
            <w:r>
              <w:rPr>
                <w:rFonts w:ascii="Calibri" w:hAnsi="Calibri"/>
                <w:b w:val="0"/>
                <w:sz w:val="18"/>
              </w:rPr>
              <w:t>RR-010</w:t>
            </w:r>
          </w:p>
        </w:tc>
        <w:tc>
          <w:tcPr>
            <w:tcW w:type="dxa" w:w="1440"/>
          </w:tcPr>
          <w:p>
            <w:r/>
            <w:r>
              <w:rPr>
                <w:rFonts w:ascii="Calibri" w:hAnsi="Calibri"/>
                <w:b w:val="0"/>
                <w:sz w:val="18"/>
              </w:rPr>
              <w:t>Security Analyst</w:t>
            </w:r>
          </w:p>
        </w:tc>
        <w:tc>
          <w:tcPr>
            <w:tcW w:type="dxa" w:w="1440"/>
          </w:tcPr>
          <w:p>
            <w:r/>
            <w:r>
              <w:rPr>
                <w:rFonts w:ascii="Calibri" w:hAnsi="Calibri"/>
                <w:b w:val="0"/>
                <w:sz w:val="18"/>
              </w:rPr>
              <w:t>$8k / 4 weeks</w:t>
            </w:r>
          </w:p>
        </w:tc>
        <w:tc>
          <w:tcPr>
            <w:tcW w:type="dxa" w:w="1440"/>
          </w:tcPr>
          <w:p>
            <w:r/>
            <w:r>
              <w:rPr>
                <w:rFonts w:ascii="Calibri" w:hAnsi="Calibri"/>
                <w:b w:val="0"/>
                <w:sz w:val="18"/>
              </w:rPr>
              <w:t>Q1 2027</w:t>
            </w:r>
          </w:p>
        </w:tc>
      </w:tr>
      <w:tr>
        <w:tc>
          <w:tcPr>
            <w:tcW w:type="dxa" w:w="1440"/>
          </w:tcPr>
          <w:p>
            <w:r/>
            <w:r>
              <w:rPr>
                <w:rFonts w:ascii="Calibri" w:hAnsi="Calibri"/>
                <w:b w:val="0"/>
                <w:sz w:val="18"/>
              </w:rPr>
              <w:t>R-7</w:t>
            </w:r>
          </w:p>
        </w:tc>
        <w:tc>
          <w:tcPr>
            <w:tcW w:type="dxa" w:w="1440"/>
          </w:tcPr>
          <w:p>
            <w:r/>
            <w:r>
              <w:rPr>
                <w:rFonts w:ascii="Calibri" w:hAnsi="Calibri"/>
                <w:b w:val="0"/>
                <w:sz w:val="18"/>
              </w:rPr>
              <w:t>Formal leadership sign-off on accepted residual risks (RR-006, RR-008) with annual re-review</w:t>
            </w:r>
          </w:p>
        </w:tc>
        <w:tc>
          <w:tcPr>
            <w:tcW w:type="dxa" w:w="1440"/>
          </w:tcPr>
          <w:p>
            <w:r/>
            <w:r>
              <w:rPr>
                <w:rFonts w:ascii="Calibri" w:hAnsi="Calibri"/>
                <w:b w:val="0"/>
                <w:sz w:val="18"/>
              </w:rPr>
              <w:t>Governance</w:t>
            </w:r>
          </w:p>
        </w:tc>
        <w:tc>
          <w:tcPr>
            <w:tcW w:type="dxa" w:w="1440"/>
          </w:tcPr>
          <w:p>
            <w:r/>
            <w:r>
              <w:rPr>
                <w:rFonts w:ascii="Calibri" w:hAnsi="Calibri"/>
                <w:b w:val="0"/>
                <w:sz w:val="18"/>
              </w:rPr>
              <w:t>System Owner</w:t>
            </w:r>
          </w:p>
        </w:tc>
        <w:tc>
          <w:tcPr>
            <w:tcW w:type="dxa" w:w="1440"/>
          </w:tcPr>
          <w:p>
            <w:r/>
            <w:r>
              <w:rPr>
                <w:rFonts w:ascii="Calibri" w:hAnsi="Calibri"/>
                <w:b w:val="0"/>
                <w:sz w:val="18"/>
              </w:rPr>
              <w:t>$1k / 1 week</w:t>
            </w:r>
          </w:p>
        </w:tc>
        <w:tc>
          <w:tcPr>
            <w:tcW w:type="dxa" w:w="1440"/>
          </w:tcPr>
          <w:p>
            <w:r/>
            <w:r>
              <w:rPr>
                <w:rFonts w:ascii="Calibri" w:hAnsi="Calibri"/>
                <w:b w:val="0"/>
                <w:sz w:val="18"/>
              </w:rPr>
              <w:t>Q4 2026</w:t>
            </w:r>
          </w:p>
        </w:tc>
      </w:tr>
    </w:tbl>
    <w:p/>
    <w:p>
      <w:pPr>
        <w:pStyle w:val="Heading2"/>
      </w:pPr>
      <w:r>
        <w:t>2.7 Conclusion and Decision Request</w:t>
      </w:r>
    </w:p>
    <w:p>
      <w:r>
        <w:rPr>
          <w:b w:val="0"/>
          <w:i w:val="0"/>
          <w:sz w:val="22"/>
        </w:rPr>
        <w:t>EISP's risk posture is understood and measurable: ten tracked risks, two critical, with clear owners and monitoring triggers already defined in EISP-RR-003. The platform's centrality to enterprise authentication makes RR-001 and RR-002 the board's priority. Leadership is asked to: (1) approve the remediation program above; (2) formally accept the documented residual risks; and (3) endorse quarterly risk reporting to the board on the KPI framework in Section 5.</w:t>
      </w:r>
    </w:p>
    <w:p>
      <w:pPr>
        <w:pStyle w:val="Heading1"/>
      </w:pPr>
      <w:r>
        <w:t>3. Stakeholder Communication Plan</w:t>
      </w:r>
    </w:p>
    <w:p>
      <w:pPr>
        <w:pStyle w:val="Heading2"/>
      </w:pPr>
      <w:r>
        <w:t>3.1 Audience Analysis</w:t>
      </w:r>
    </w:p>
    <w:p>
      <w:r>
        <w:rPr>
          <w:b w:val="0"/>
          <w:i w:val="0"/>
          <w:sz w:val="22"/>
        </w:rPr>
        <w:t>Risk messages fail when they ignore the receiver. Each audience below is analyzed for interests, influence over risk decisions, preferred channel, and required frequency so that communication is targeted rather than broadcast.</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fill="1F3B5B"/>
          </w:tcPr>
          <w:p>
            <w:r/>
            <w:r>
              <w:rPr>
                <w:rFonts w:ascii="Calibri" w:hAnsi="Calibri"/>
                <w:b/>
                <w:color w:val="FFFFFF"/>
                <w:sz w:val="18"/>
              </w:rPr>
              <w:t>Audience</w:t>
            </w:r>
          </w:p>
        </w:tc>
        <w:tc>
          <w:tcPr>
            <w:tcW w:type="dxa" w:w="1728"/>
            <w:shd w:val="clear" w:fill="1F3B5B"/>
          </w:tcPr>
          <w:p>
            <w:r/>
            <w:r>
              <w:rPr>
                <w:rFonts w:ascii="Calibri" w:hAnsi="Calibri"/>
                <w:b/>
                <w:color w:val="FFFFFF"/>
                <w:sz w:val="18"/>
              </w:rPr>
              <w:t>Interests</w:t>
            </w:r>
          </w:p>
        </w:tc>
        <w:tc>
          <w:tcPr>
            <w:tcW w:type="dxa" w:w="1728"/>
            <w:shd w:val="clear" w:fill="1F3B5B"/>
          </w:tcPr>
          <w:p>
            <w:r/>
            <w:r>
              <w:rPr>
                <w:rFonts w:ascii="Calibri" w:hAnsi="Calibri"/>
                <w:b/>
                <w:color w:val="FFFFFF"/>
                <w:sz w:val="18"/>
              </w:rPr>
              <w:t>Influence</w:t>
            </w:r>
          </w:p>
        </w:tc>
        <w:tc>
          <w:tcPr>
            <w:tcW w:type="dxa" w:w="1728"/>
            <w:shd w:val="clear" w:fill="1F3B5B"/>
          </w:tcPr>
          <w:p>
            <w:r/>
            <w:r>
              <w:rPr>
                <w:rFonts w:ascii="Calibri" w:hAnsi="Calibri"/>
                <w:b/>
                <w:color w:val="FFFFFF"/>
                <w:sz w:val="18"/>
              </w:rPr>
              <w:t>Preferred Channel</w:t>
            </w:r>
          </w:p>
        </w:tc>
        <w:tc>
          <w:tcPr>
            <w:tcW w:type="dxa" w:w="1728"/>
            <w:shd w:val="clear" w:fill="1F3B5B"/>
          </w:tcPr>
          <w:p>
            <w:r/>
            <w:r>
              <w:rPr>
                <w:rFonts w:ascii="Calibri" w:hAnsi="Calibri"/>
                <w:b/>
                <w:color w:val="FFFFFF"/>
                <w:sz w:val="18"/>
              </w:rPr>
              <w:t>Frequency</w:t>
            </w:r>
          </w:p>
        </w:tc>
      </w:tr>
      <w:tr>
        <w:tc>
          <w:tcPr>
            <w:tcW w:type="dxa" w:w="1728"/>
          </w:tcPr>
          <w:p>
            <w:r/>
            <w:r>
              <w:rPr>
                <w:rFonts w:ascii="Calibri" w:hAnsi="Calibri"/>
                <w:b w:val="0"/>
                <w:sz w:val="18"/>
              </w:rPr>
              <w:t>Executive Sponsor / Leadership</w:t>
            </w:r>
          </w:p>
        </w:tc>
        <w:tc>
          <w:tcPr>
            <w:tcW w:type="dxa" w:w="1728"/>
          </w:tcPr>
          <w:p>
            <w:r/>
            <w:r>
              <w:rPr>
                <w:rFonts w:ascii="Calibri" w:hAnsi="Calibri"/>
                <w:b w:val="0"/>
                <w:sz w:val="18"/>
              </w:rPr>
              <w:t>Financial exposure, strategic risk, investment decisions</w:t>
            </w:r>
          </w:p>
        </w:tc>
        <w:tc>
          <w:tcPr>
            <w:tcW w:type="dxa" w:w="1728"/>
          </w:tcPr>
          <w:p>
            <w:r/>
            <w:r>
              <w:rPr>
                <w:rFonts w:ascii="Calibri" w:hAnsi="Calibri"/>
                <w:b w:val="0"/>
                <w:sz w:val="18"/>
              </w:rPr>
              <w:t>High — approves funding &amp; accepts risk</w:t>
            </w:r>
          </w:p>
        </w:tc>
        <w:tc>
          <w:tcPr>
            <w:tcW w:type="dxa" w:w="1728"/>
          </w:tcPr>
          <w:p>
            <w:r/>
            <w:r>
              <w:rPr>
                <w:rFonts w:ascii="Calibri" w:hAnsi="Calibri"/>
                <w:b w:val="0"/>
                <w:sz w:val="18"/>
              </w:rPr>
              <w:t>Executive risk report + quarterly briefing</w:t>
            </w:r>
          </w:p>
        </w:tc>
        <w:tc>
          <w:tcPr>
            <w:tcW w:type="dxa" w:w="1728"/>
          </w:tcPr>
          <w:p>
            <w:r/>
            <w:r>
              <w:rPr>
                <w:rFonts w:ascii="Calibri" w:hAnsi="Calibri"/>
                <w:b w:val="0"/>
                <w:sz w:val="18"/>
              </w:rPr>
              <w:t>Quarterly + on SEV-1/SEV-2</w:t>
            </w:r>
          </w:p>
        </w:tc>
      </w:tr>
      <w:tr>
        <w:tc>
          <w:tcPr>
            <w:tcW w:type="dxa" w:w="1728"/>
          </w:tcPr>
          <w:p>
            <w:r/>
            <w:r>
              <w:rPr>
                <w:rFonts w:ascii="Calibri" w:hAnsi="Calibri"/>
                <w:b w:val="0"/>
                <w:sz w:val="18"/>
              </w:rPr>
              <w:t>IAM Engineers</w:t>
            </w:r>
          </w:p>
        </w:tc>
        <w:tc>
          <w:tcPr>
            <w:tcW w:type="dxa" w:w="1728"/>
          </w:tcPr>
          <w:p>
            <w:r/>
            <w:r>
              <w:rPr>
                <w:rFonts w:ascii="Calibri" w:hAnsi="Calibri"/>
                <w:b w:val="0"/>
                <w:sz w:val="18"/>
              </w:rPr>
              <w:t>Control implementation detail, change impact, tooling</w:t>
            </w:r>
          </w:p>
        </w:tc>
        <w:tc>
          <w:tcPr>
            <w:tcW w:type="dxa" w:w="1728"/>
          </w:tcPr>
          <w:p>
            <w:r/>
            <w:r>
              <w:rPr>
                <w:rFonts w:ascii="Calibri" w:hAnsi="Calibri"/>
                <w:b w:val="0"/>
                <w:sz w:val="18"/>
              </w:rPr>
              <w:t>Medium — implements controls</w:t>
            </w:r>
          </w:p>
        </w:tc>
        <w:tc>
          <w:tcPr>
            <w:tcW w:type="dxa" w:w="1728"/>
          </w:tcPr>
          <w:p>
            <w:r/>
            <w:r>
              <w:rPr>
                <w:rFonts w:ascii="Calibri" w:hAnsi="Calibri"/>
                <w:b w:val="0"/>
                <w:sz w:val="18"/>
              </w:rPr>
              <w:t>Ticketing system + #iam-ops channel + change notices</w:t>
            </w:r>
          </w:p>
        </w:tc>
        <w:tc>
          <w:tcPr>
            <w:tcW w:type="dxa" w:w="1728"/>
          </w:tcPr>
          <w:p>
            <w:r/>
            <w:r>
              <w:rPr>
                <w:rFonts w:ascii="Calibri" w:hAnsi="Calibri"/>
                <w:b w:val="0"/>
                <w:sz w:val="18"/>
              </w:rPr>
              <w:t>Weekly + per change</w:t>
            </w:r>
          </w:p>
        </w:tc>
      </w:tr>
      <w:tr>
        <w:tc>
          <w:tcPr>
            <w:tcW w:type="dxa" w:w="1728"/>
          </w:tcPr>
          <w:p>
            <w:r/>
            <w:r>
              <w:rPr>
                <w:rFonts w:ascii="Calibri" w:hAnsi="Calibri"/>
                <w:b w:val="0"/>
                <w:sz w:val="18"/>
              </w:rPr>
              <w:t>Security Analysts</w:t>
            </w:r>
          </w:p>
        </w:tc>
        <w:tc>
          <w:tcPr>
            <w:tcW w:type="dxa" w:w="1728"/>
          </w:tcPr>
          <w:p>
            <w:r/>
            <w:r>
              <w:rPr>
                <w:rFonts w:ascii="Calibri" w:hAnsi="Calibri"/>
                <w:b w:val="0"/>
                <w:sz w:val="18"/>
              </w:rPr>
              <w:t>Threat intel, detection coverage, incident data</w:t>
            </w:r>
          </w:p>
        </w:tc>
        <w:tc>
          <w:tcPr>
            <w:tcW w:type="dxa" w:w="1728"/>
          </w:tcPr>
          <w:p>
            <w:r/>
            <w:r>
              <w:rPr>
                <w:rFonts w:ascii="Calibri" w:hAnsi="Calibri"/>
                <w:b w:val="0"/>
                <w:sz w:val="18"/>
              </w:rPr>
              <w:t>Medium — operates monitoring</w:t>
            </w:r>
          </w:p>
        </w:tc>
        <w:tc>
          <w:tcPr>
            <w:tcW w:type="dxa" w:w="1728"/>
          </w:tcPr>
          <w:p>
            <w:r/>
            <w:r>
              <w:rPr>
                <w:rFonts w:ascii="Calibri" w:hAnsi="Calibri"/>
                <w:b w:val="0"/>
                <w:sz w:val="18"/>
              </w:rPr>
              <w:t>SIEM/Wazuh dashboards + #soc channel</w:t>
            </w:r>
          </w:p>
        </w:tc>
        <w:tc>
          <w:tcPr>
            <w:tcW w:type="dxa" w:w="1728"/>
          </w:tcPr>
          <w:p>
            <w:r/>
            <w:r>
              <w:rPr>
                <w:rFonts w:ascii="Calibri" w:hAnsi="Calibri"/>
                <w:b w:val="0"/>
                <w:sz w:val="18"/>
              </w:rPr>
              <w:t>Daily ops + monthly review</w:t>
            </w:r>
          </w:p>
        </w:tc>
      </w:tr>
      <w:tr>
        <w:tc>
          <w:tcPr>
            <w:tcW w:type="dxa" w:w="1728"/>
          </w:tcPr>
          <w:p>
            <w:r/>
            <w:r>
              <w:rPr>
                <w:rFonts w:ascii="Calibri" w:hAnsi="Calibri"/>
                <w:b w:val="0"/>
                <w:sz w:val="18"/>
              </w:rPr>
              <w:t>Application Teams (SSO consumers)</w:t>
            </w:r>
          </w:p>
        </w:tc>
        <w:tc>
          <w:tcPr>
            <w:tcW w:type="dxa" w:w="1728"/>
          </w:tcPr>
          <w:p>
            <w:r/>
            <w:r>
              <w:rPr>
                <w:rFonts w:ascii="Calibri" w:hAnsi="Calibri"/>
                <w:b w:val="0"/>
                <w:sz w:val="18"/>
              </w:rPr>
              <w:t>Integration stability, downtime windows, auth changes</w:t>
            </w:r>
          </w:p>
        </w:tc>
        <w:tc>
          <w:tcPr>
            <w:tcW w:type="dxa" w:w="1728"/>
          </w:tcPr>
          <w:p>
            <w:r/>
            <w:r>
              <w:rPr>
                <w:rFonts w:ascii="Calibri" w:hAnsi="Calibri"/>
                <w:b w:val="0"/>
                <w:sz w:val="18"/>
              </w:rPr>
              <w:t>Low-Medium — affected by changes</w:t>
            </w:r>
          </w:p>
        </w:tc>
        <w:tc>
          <w:tcPr>
            <w:tcW w:type="dxa" w:w="1728"/>
          </w:tcPr>
          <w:p>
            <w:r/>
            <w:r>
              <w:rPr>
                <w:rFonts w:ascii="Calibri" w:hAnsi="Calibri"/>
                <w:b w:val="0"/>
                <w:sz w:val="18"/>
              </w:rPr>
              <w:t>Email notice + status page</w:t>
            </w:r>
          </w:p>
        </w:tc>
        <w:tc>
          <w:tcPr>
            <w:tcW w:type="dxa" w:w="1728"/>
          </w:tcPr>
          <w:p>
            <w:r/>
            <w:r>
              <w:rPr>
                <w:rFonts w:ascii="Calibri" w:hAnsi="Calibri"/>
                <w:b w:val="0"/>
                <w:sz w:val="18"/>
              </w:rPr>
              <w:t>Per change + quarterly</w:t>
            </w:r>
          </w:p>
        </w:tc>
      </w:tr>
      <w:tr>
        <w:tc>
          <w:tcPr>
            <w:tcW w:type="dxa" w:w="1728"/>
          </w:tcPr>
          <w:p>
            <w:r/>
            <w:r>
              <w:rPr>
                <w:rFonts w:ascii="Calibri" w:hAnsi="Calibri"/>
                <w:b w:val="0"/>
                <w:sz w:val="18"/>
              </w:rPr>
              <w:t>End Users</w:t>
            </w:r>
          </w:p>
        </w:tc>
        <w:tc>
          <w:tcPr>
            <w:tcW w:type="dxa" w:w="1728"/>
          </w:tcPr>
          <w:p>
            <w:r/>
            <w:r>
              <w:rPr>
                <w:rFonts w:ascii="Calibri" w:hAnsi="Calibri"/>
                <w:b w:val="0"/>
                <w:sz w:val="18"/>
              </w:rPr>
              <w:t>Login experience, MFA enrollment steps, phishing awareness</w:t>
            </w:r>
          </w:p>
        </w:tc>
        <w:tc>
          <w:tcPr>
            <w:tcW w:type="dxa" w:w="1728"/>
          </w:tcPr>
          <w:p>
            <w:r/>
            <w:r>
              <w:rPr>
                <w:rFonts w:ascii="Calibri" w:hAnsi="Calibri"/>
                <w:b w:val="0"/>
                <w:sz w:val="18"/>
              </w:rPr>
              <w:t>Low — compliance with controls</w:t>
            </w:r>
          </w:p>
        </w:tc>
        <w:tc>
          <w:tcPr>
            <w:tcW w:type="dxa" w:w="1728"/>
          </w:tcPr>
          <w:p>
            <w:r/>
            <w:r>
              <w:rPr>
                <w:rFonts w:ascii="Calibri" w:hAnsi="Calibri"/>
                <w:b w:val="0"/>
                <w:sz w:val="18"/>
              </w:rPr>
              <w:t>In-app Authentik banners + email guides</w:t>
            </w:r>
          </w:p>
        </w:tc>
        <w:tc>
          <w:tcPr>
            <w:tcW w:type="dxa" w:w="1728"/>
          </w:tcPr>
          <w:p>
            <w:r/>
            <w:r>
              <w:rPr>
                <w:rFonts w:ascii="Calibri" w:hAnsi="Calibri"/>
                <w:b w:val="0"/>
                <w:sz w:val="18"/>
              </w:rPr>
              <w:t>Onboarding + as needed</w:t>
            </w:r>
          </w:p>
        </w:tc>
      </w:tr>
      <w:tr>
        <w:tc>
          <w:tcPr>
            <w:tcW w:type="dxa" w:w="1728"/>
          </w:tcPr>
          <w:p>
            <w:r/>
            <w:r>
              <w:rPr>
                <w:rFonts w:ascii="Calibri" w:hAnsi="Calibri"/>
                <w:b w:val="0"/>
                <w:sz w:val="18"/>
              </w:rPr>
              <w:t>Auditors / Assessors</w:t>
            </w:r>
          </w:p>
        </w:tc>
        <w:tc>
          <w:tcPr>
            <w:tcW w:type="dxa" w:w="1728"/>
          </w:tcPr>
          <w:p>
            <w:r/>
            <w:r>
              <w:rPr>
                <w:rFonts w:ascii="Calibri" w:hAnsi="Calibri"/>
                <w:b w:val="0"/>
                <w:sz w:val="18"/>
              </w:rPr>
              <w:t>Evidence completeness, control traceability</w:t>
            </w:r>
          </w:p>
        </w:tc>
        <w:tc>
          <w:tcPr>
            <w:tcW w:type="dxa" w:w="1728"/>
          </w:tcPr>
          <w:p>
            <w:r/>
            <w:r>
              <w:rPr>
                <w:rFonts w:ascii="Calibri" w:hAnsi="Calibri"/>
                <w:b w:val="0"/>
                <w:sz w:val="18"/>
              </w:rPr>
              <w:t>Medium — validates posture</w:t>
            </w:r>
          </w:p>
        </w:tc>
        <w:tc>
          <w:tcPr>
            <w:tcW w:type="dxa" w:w="1728"/>
          </w:tcPr>
          <w:p>
            <w:r/>
            <w:r>
              <w:rPr>
                <w:rFonts w:ascii="Calibri" w:hAnsi="Calibri"/>
                <w:b w:val="0"/>
                <w:sz w:val="18"/>
              </w:rPr>
              <w:t>Secure evidence share + walkthroughs</w:t>
            </w:r>
          </w:p>
        </w:tc>
        <w:tc>
          <w:tcPr>
            <w:tcW w:type="dxa" w:w="1728"/>
          </w:tcPr>
          <w:p>
            <w:r/>
            <w:r>
              <w:rPr>
                <w:rFonts w:ascii="Calibri" w:hAnsi="Calibri"/>
                <w:b w:val="0"/>
                <w:sz w:val="18"/>
              </w:rPr>
              <w:t>Per audit cycle</w:t>
            </w:r>
          </w:p>
        </w:tc>
      </w:tr>
    </w:tbl>
    <w:p/>
    <w:p>
      <w:pPr>
        <w:pStyle w:val="Heading2"/>
      </w:pPr>
      <w:r>
        <w:t>3.2 Tailored Messaging — Samples</w:t>
      </w:r>
    </w:p>
    <w:p>
      <w:r>
        <w:rPr>
          <w:b/>
          <w:i w:val="0"/>
          <w:sz w:val="22"/>
        </w:rPr>
        <w:t>Sample 1 — Control-change notice to IAM engineers (technical, action-oriented):</w:t>
      </w:r>
    </w:p>
    <w:p>
      <w:r>
        <w:rPr>
          <w:b w:val="0"/>
          <w:i/>
          <w:sz w:val="22"/>
        </w:rPr>
        <w:t>Subject: [CHANGE] Enforcing MFA number-matching on Authentik push — Thu 2026-11-05 18:00 ET</w:t>
        <w:br/>
        <w:br/>
        <w:t>Team — we are enabling number-matching on all Authentik push MFA factors (addresses RR-004, MFA fatigue). Change window: Thursday 2026-11-05 18:00–19:00 ET. Expected user impact: push prompts will display a two-digit number the user must enter; no enrollment action required. Rollback: revert authentication flow policy in the Authentik admin interface (&lt;5 min). Please report any authentication failures in #iam-ops. — IAM Engineering</w:t>
      </w:r>
    </w:p>
    <w:p>
      <w:r>
        <w:rPr>
          <w:b/>
          <w:i w:val="0"/>
          <w:sz w:val="22"/>
        </w:rPr>
        <w:t>Sample 2 — Risk alert to leadership (business language, decision-focused):</w:t>
      </w:r>
    </w:p>
    <w:p>
      <w:r>
        <w:rPr>
          <w:b w:val="0"/>
          <w:i/>
          <w:sz w:val="22"/>
        </w:rPr>
        <w:t>Subject: Risk update — credential-theft exposure reduced; decision needed on residual items</w:t>
        <w:br/>
        <w:br/>
        <w:t>Leadership — RR-001 (credential theft, CRITICAL) residual risk is now MODERATE following MFA enforcement (recommendation R-1, complete). Two items need your decision this quarter: (1) accept the $5k/quarter residual monitoring cost for RR-006/RR-008, or fund the $8k automation in R-6; (2) approve the Q1 access-recertification resourcing (R-4). Full analysis is in the attached executive risk report. — System Owner</w:t>
      </w:r>
    </w:p>
    <w:p>
      <w:r>
        <w:rPr>
          <w:b/>
          <w:i w:val="0"/>
          <w:sz w:val="22"/>
        </w:rPr>
        <w:t>Sample 3 — End-user MFA enrollment nudge (plain language, single call to action):</w:t>
      </w:r>
    </w:p>
    <w:p>
      <w:r>
        <w:rPr>
          <w:b w:val="0"/>
          <w:i/>
          <w:sz w:val="22"/>
        </w:rPr>
        <w:t>Subject: One-minute setup: protect your EISP login with MFA</w:t>
        <w:br/>
        <w:br/>
        <w:t>Hi — EISP now requires multi-factor authentication for all logins. It takes about a minute: sign in at the Authentik portal, choose 'Add device,' and scan the QR code with your authenticator app. Questions? Reply to this email or contact the service desk. — IAM Team</w:t>
      </w:r>
    </w:p>
    <w:p>
      <w:pPr>
        <w:pStyle w:val="Heading2"/>
      </w:pPr>
      <w:r>
        <w:t>3.3 Communication Schedule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fill="1F3B5B"/>
          </w:tcPr>
          <w:p>
            <w:r/>
            <w:r>
              <w:rPr>
                <w:rFonts w:ascii="Calibri" w:hAnsi="Calibri"/>
                <w:b/>
                <w:color w:val="FFFFFF"/>
                <w:sz w:val="18"/>
              </w:rPr>
              <w:t>Communication</w:t>
            </w:r>
          </w:p>
        </w:tc>
        <w:tc>
          <w:tcPr>
            <w:tcW w:type="dxa" w:w="1728"/>
            <w:shd w:val="clear" w:fill="1F3B5B"/>
          </w:tcPr>
          <w:p>
            <w:r/>
            <w:r>
              <w:rPr>
                <w:rFonts w:ascii="Calibri" w:hAnsi="Calibri"/>
                <w:b/>
                <w:color w:val="FFFFFF"/>
                <w:sz w:val="18"/>
              </w:rPr>
              <w:t>Audience</w:t>
            </w:r>
          </w:p>
        </w:tc>
        <w:tc>
          <w:tcPr>
            <w:tcW w:type="dxa" w:w="1728"/>
            <w:shd w:val="clear" w:fill="1F3B5B"/>
          </w:tcPr>
          <w:p>
            <w:r/>
            <w:r>
              <w:rPr>
                <w:rFonts w:ascii="Calibri" w:hAnsi="Calibri"/>
                <w:b/>
                <w:color w:val="FFFFFF"/>
                <w:sz w:val="18"/>
              </w:rPr>
              <w:t>Channel</w:t>
            </w:r>
          </w:p>
        </w:tc>
        <w:tc>
          <w:tcPr>
            <w:tcW w:type="dxa" w:w="1728"/>
            <w:shd w:val="clear" w:fill="1F3B5B"/>
          </w:tcPr>
          <w:p>
            <w:r/>
            <w:r>
              <w:rPr>
                <w:rFonts w:ascii="Calibri" w:hAnsi="Calibri"/>
                <w:b/>
                <w:color w:val="FFFFFF"/>
                <w:sz w:val="18"/>
              </w:rPr>
              <w:t>Frequency</w:t>
            </w:r>
          </w:p>
        </w:tc>
        <w:tc>
          <w:tcPr>
            <w:tcW w:type="dxa" w:w="1728"/>
            <w:shd w:val="clear" w:fill="1F3B5B"/>
          </w:tcPr>
          <w:p>
            <w:r/>
            <w:r>
              <w:rPr>
                <w:rFonts w:ascii="Calibri" w:hAnsi="Calibri"/>
                <w:b/>
                <w:color w:val="FFFFFF"/>
                <w:sz w:val="18"/>
              </w:rPr>
              <w:t>Owner</w:t>
            </w:r>
          </w:p>
        </w:tc>
      </w:tr>
      <w:tr>
        <w:tc>
          <w:tcPr>
            <w:tcW w:type="dxa" w:w="1728"/>
          </w:tcPr>
          <w:p>
            <w:r/>
            <w:r>
              <w:rPr>
                <w:rFonts w:ascii="Calibri" w:hAnsi="Calibri"/>
                <w:b w:val="0"/>
                <w:sz w:val="18"/>
              </w:rPr>
              <w:t>Executive risk report</w:t>
            </w:r>
          </w:p>
        </w:tc>
        <w:tc>
          <w:tcPr>
            <w:tcW w:type="dxa" w:w="1728"/>
          </w:tcPr>
          <w:p>
            <w:r/>
            <w:r>
              <w:rPr>
                <w:rFonts w:ascii="Calibri" w:hAnsi="Calibri"/>
                <w:b w:val="0"/>
                <w:sz w:val="18"/>
              </w:rPr>
              <w:t>Leadership</w:t>
            </w:r>
          </w:p>
        </w:tc>
        <w:tc>
          <w:tcPr>
            <w:tcW w:type="dxa" w:w="1728"/>
          </w:tcPr>
          <w:p>
            <w:r/>
            <w:r>
              <w:rPr>
                <w:rFonts w:ascii="Calibri" w:hAnsi="Calibri"/>
                <w:b w:val="0"/>
                <w:sz w:val="18"/>
              </w:rPr>
              <w:t>Board pack + briefing</w:t>
            </w:r>
          </w:p>
        </w:tc>
        <w:tc>
          <w:tcPr>
            <w:tcW w:type="dxa" w:w="1728"/>
          </w:tcPr>
          <w:p>
            <w:r/>
            <w:r>
              <w:rPr>
                <w:rFonts w:ascii="Calibri" w:hAnsi="Calibri"/>
                <w:b w:val="0"/>
                <w:sz w:val="18"/>
              </w:rPr>
              <w:t>Quarterly</w:t>
            </w:r>
          </w:p>
        </w:tc>
        <w:tc>
          <w:tcPr>
            <w:tcW w:type="dxa" w:w="1728"/>
          </w:tcPr>
          <w:p>
            <w:r/>
            <w:r>
              <w:rPr>
                <w:rFonts w:ascii="Calibri" w:hAnsi="Calibri"/>
                <w:b w:val="0"/>
                <w:sz w:val="18"/>
              </w:rPr>
              <w:t>System Owner</w:t>
            </w:r>
          </w:p>
        </w:tc>
      </w:tr>
      <w:tr>
        <w:tc>
          <w:tcPr>
            <w:tcW w:type="dxa" w:w="1728"/>
          </w:tcPr>
          <w:p>
            <w:r/>
            <w:r>
              <w:rPr>
                <w:rFonts w:ascii="Calibri" w:hAnsi="Calibri"/>
                <w:b w:val="0"/>
                <w:sz w:val="18"/>
              </w:rPr>
              <w:t>Risk register review</w:t>
            </w:r>
          </w:p>
        </w:tc>
        <w:tc>
          <w:tcPr>
            <w:tcW w:type="dxa" w:w="1728"/>
          </w:tcPr>
          <w:p>
            <w:r/>
            <w:r>
              <w:rPr>
                <w:rFonts w:ascii="Calibri" w:hAnsi="Calibri"/>
                <w:b w:val="0"/>
                <w:sz w:val="18"/>
              </w:rPr>
              <w:t>IAM Eng / Sec Analysts</w:t>
            </w:r>
          </w:p>
        </w:tc>
        <w:tc>
          <w:tcPr>
            <w:tcW w:type="dxa" w:w="1728"/>
          </w:tcPr>
          <w:p>
            <w:r/>
            <w:r>
              <w:rPr>
                <w:rFonts w:ascii="Calibri" w:hAnsi="Calibri"/>
                <w:b w:val="0"/>
                <w:sz w:val="18"/>
              </w:rPr>
              <w:t>Working session</w:t>
            </w:r>
          </w:p>
        </w:tc>
        <w:tc>
          <w:tcPr>
            <w:tcW w:type="dxa" w:w="1728"/>
          </w:tcPr>
          <w:p>
            <w:r/>
            <w:r>
              <w:rPr>
                <w:rFonts w:ascii="Calibri" w:hAnsi="Calibri"/>
                <w:b w:val="0"/>
                <w:sz w:val="18"/>
              </w:rPr>
              <w:t>Weekly (RR-001/002/005); Monthly (others)</w:t>
            </w:r>
          </w:p>
        </w:tc>
        <w:tc>
          <w:tcPr>
            <w:tcW w:type="dxa" w:w="1728"/>
          </w:tcPr>
          <w:p>
            <w:r/>
            <w:r>
              <w:rPr>
                <w:rFonts w:ascii="Calibri" w:hAnsi="Calibri"/>
                <w:b w:val="0"/>
                <w:sz w:val="18"/>
              </w:rPr>
              <w:t>IAM Engineer</w:t>
            </w:r>
          </w:p>
        </w:tc>
      </w:tr>
      <w:tr>
        <w:tc>
          <w:tcPr>
            <w:tcW w:type="dxa" w:w="1728"/>
          </w:tcPr>
          <w:p>
            <w:r/>
            <w:r>
              <w:rPr>
                <w:rFonts w:ascii="Calibri" w:hAnsi="Calibri"/>
                <w:b w:val="0"/>
                <w:sz w:val="18"/>
              </w:rPr>
              <w:t>Control change notices</w:t>
            </w:r>
          </w:p>
        </w:tc>
        <w:tc>
          <w:tcPr>
            <w:tcW w:type="dxa" w:w="1728"/>
          </w:tcPr>
          <w:p>
            <w:r/>
            <w:r>
              <w:rPr>
                <w:rFonts w:ascii="Calibri" w:hAnsi="Calibri"/>
                <w:b w:val="0"/>
                <w:sz w:val="18"/>
              </w:rPr>
              <w:t>Engineers, app teams</w:t>
            </w:r>
          </w:p>
        </w:tc>
        <w:tc>
          <w:tcPr>
            <w:tcW w:type="dxa" w:w="1728"/>
          </w:tcPr>
          <w:p>
            <w:r/>
            <w:r>
              <w:rPr>
                <w:rFonts w:ascii="Calibri" w:hAnsi="Calibri"/>
                <w:b w:val="0"/>
                <w:sz w:val="18"/>
              </w:rPr>
              <w:t>Ticketing + #iam-ops + email</w:t>
            </w:r>
          </w:p>
        </w:tc>
        <w:tc>
          <w:tcPr>
            <w:tcW w:type="dxa" w:w="1728"/>
          </w:tcPr>
          <w:p>
            <w:r/>
            <w:r>
              <w:rPr>
                <w:rFonts w:ascii="Calibri" w:hAnsi="Calibri"/>
                <w:b w:val="0"/>
                <w:sz w:val="18"/>
              </w:rPr>
              <w:t>Per change (min. 5 business days notice)</w:t>
            </w:r>
          </w:p>
        </w:tc>
        <w:tc>
          <w:tcPr>
            <w:tcW w:type="dxa" w:w="1728"/>
          </w:tcPr>
          <w:p>
            <w:r/>
            <w:r>
              <w:rPr>
                <w:rFonts w:ascii="Calibri" w:hAnsi="Calibri"/>
                <w:b w:val="0"/>
                <w:sz w:val="18"/>
              </w:rPr>
              <w:t>Change owner</w:t>
            </w:r>
          </w:p>
        </w:tc>
      </w:tr>
      <w:tr>
        <w:tc>
          <w:tcPr>
            <w:tcW w:type="dxa" w:w="1728"/>
          </w:tcPr>
          <w:p>
            <w:r/>
            <w:r>
              <w:rPr>
                <w:rFonts w:ascii="Calibri" w:hAnsi="Calibri"/>
                <w:b w:val="0"/>
                <w:sz w:val="18"/>
              </w:rPr>
              <w:t>Threat/detection updates</w:t>
            </w:r>
          </w:p>
        </w:tc>
        <w:tc>
          <w:tcPr>
            <w:tcW w:type="dxa" w:w="1728"/>
          </w:tcPr>
          <w:p>
            <w:r/>
            <w:r>
              <w:rPr>
                <w:rFonts w:ascii="Calibri" w:hAnsi="Calibri"/>
                <w:b w:val="0"/>
                <w:sz w:val="18"/>
              </w:rPr>
              <w:t>Security Analysts</w:t>
            </w:r>
          </w:p>
        </w:tc>
        <w:tc>
          <w:tcPr>
            <w:tcW w:type="dxa" w:w="1728"/>
          </w:tcPr>
          <w:p>
            <w:r/>
            <w:r>
              <w:rPr>
                <w:rFonts w:ascii="Calibri" w:hAnsi="Calibri"/>
                <w:b w:val="0"/>
                <w:sz w:val="18"/>
              </w:rPr>
              <w:t>#soc channel + Wazuh</w:t>
            </w:r>
          </w:p>
        </w:tc>
        <w:tc>
          <w:tcPr>
            <w:tcW w:type="dxa" w:w="1728"/>
          </w:tcPr>
          <w:p>
            <w:r/>
            <w:r>
              <w:rPr>
                <w:rFonts w:ascii="Calibri" w:hAnsi="Calibri"/>
                <w:b w:val="0"/>
                <w:sz w:val="18"/>
              </w:rPr>
              <w:t>Daily</w:t>
            </w:r>
          </w:p>
        </w:tc>
        <w:tc>
          <w:tcPr>
            <w:tcW w:type="dxa" w:w="1728"/>
          </w:tcPr>
          <w:p>
            <w:r/>
            <w:r>
              <w:rPr>
                <w:rFonts w:ascii="Calibri" w:hAnsi="Calibri"/>
                <w:b w:val="0"/>
                <w:sz w:val="18"/>
              </w:rPr>
              <w:t>Security Analyst</w:t>
            </w:r>
          </w:p>
        </w:tc>
      </w:tr>
      <w:tr>
        <w:tc>
          <w:tcPr>
            <w:tcW w:type="dxa" w:w="1728"/>
          </w:tcPr>
          <w:p>
            <w:r/>
            <w:r>
              <w:rPr>
                <w:rFonts w:ascii="Calibri" w:hAnsi="Calibri"/>
                <w:b w:val="0"/>
                <w:sz w:val="18"/>
              </w:rPr>
              <w:t>User awareness nudges</w:t>
            </w:r>
          </w:p>
        </w:tc>
        <w:tc>
          <w:tcPr>
            <w:tcW w:type="dxa" w:w="1728"/>
          </w:tcPr>
          <w:p>
            <w:r/>
            <w:r>
              <w:rPr>
                <w:rFonts w:ascii="Calibri" w:hAnsi="Calibri"/>
                <w:b w:val="0"/>
                <w:sz w:val="18"/>
              </w:rPr>
              <w:t>End users</w:t>
            </w:r>
          </w:p>
        </w:tc>
        <w:tc>
          <w:tcPr>
            <w:tcW w:type="dxa" w:w="1728"/>
          </w:tcPr>
          <w:p>
            <w:r/>
            <w:r>
              <w:rPr>
                <w:rFonts w:ascii="Calibri" w:hAnsi="Calibri"/>
                <w:b w:val="0"/>
                <w:sz w:val="18"/>
              </w:rPr>
              <w:t>Authentik banners + email</w:t>
            </w:r>
          </w:p>
        </w:tc>
        <w:tc>
          <w:tcPr>
            <w:tcW w:type="dxa" w:w="1728"/>
          </w:tcPr>
          <w:p>
            <w:r/>
            <w:r>
              <w:rPr>
                <w:rFonts w:ascii="Calibri" w:hAnsi="Calibri"/>
                <w:b w:val="0"/>
                <w:sz w:val="18"/>
              </w:rPr>
              <w:t>Onboarding + quarterly</w:t>
            </w:r>
          </w:p>
        </w:tc>
        <w:tc>
          <w:tcPr>
            <w:tcW w:type="dxa" w:w="1728"/>
          </w:tcPr>
          <w:p>
            <w:r/>
            <w:r>
              <w:rPr>
                <w:rFonts w:ascii="Calibri" w:hAnsi="Calibri"/>
                <w:b w:val="0"/>
                <w:sz w:val="18"/>
              </w:rPr>
              <w:t>IAM Engineer</w:t>
            </w:r>
          </w:p>
        </w:tc>
      </w:tr>
      <w:tr>
        <w:tc>
          <w:tcPr>
            <w:tcW w:type="dxa" w:w="1728"/>
          </w:tcPr>
          <w:p>
            <w:r/>
            <w:r>
              <w:rPr>
                <w:rFonts w:ascii="Calibri" w:hAnsi="Calibri"/>
                <w:b w:val="0"/>
                <w:sz w:val="18"/>
              </w:rPr>
              <w:t>Audit evidence walkthroughs</w:t>
            </w:r>
          </w:p>
        </w:tc>
        <w:tc>
          <w:tcPr>
            <w:tcW w:type="dxa" w:w="1728"/>
          </w:tcPr>
          <w:p>
            <w:r/>
            <w:r>
              <w:rPr>
                <w:rFonts w:ascii="Calibri" w:hAnsi="Calibri"/>
                <w:b w:val="0"/>
                <w:sz w:val="18"/>
              </w:rPr>
              <w:t>Auditors</w:t>
            </w:r>
          </w:p>
        </w:tc>
        <w:tc>
          <w:tcPr>
            <w:tcW w:type="dxa" w:w="1728"/>
          </w:tcPr>
          <w:p>
            <w:r/>
            <w:r>
              <w:rPr>
                <w:rFonts w:ascii="Calibri" w:hAnsi="Calibri"/>
                <w:b w:val="0"/>
                <w:sz w:val="18"/>
              </w:rPr>
              <w:t>Secure share + meeting</w:t>
            </w:r>
          </w:p>
        </w:tc>
        <w:tc>
          <w:tcPr>
            <w:tcW w:type="dxa" w:w="1728"/>
          </w:tcPr>
          <w:p>
            <w:r/>
            <w:r>
              <w:rPr>
                <w:rFonts w:ascii="Calibri" w:hAnsi="Calibri"/>
                <w:b w:val="0"/>
                <w:sz w:val="18"/>
              </w:rPr>
              <w:t>Per audit cycle</w:t>
            </w:r>
          </w:p>
        </w:tc>
        <w:tc>
          <w:tcPr>
            <w:tcW w:type="dxa" w:w="1728"/>
          </w:tcPr>
          <w:p>
            <w:r/>
            <w:r>
              <w:rPr>
                <w:rFonts w:ascii="Calibri" w:hAnsi="Calibri"/>
                <w:b w:val="0"/>
                <w:sz w:val="18"/>
              </w:rPr>
              <w:t>Compliance Lead</w:t>
            </w:r>
          </w:p>
        </w:tc>
      </w:tr>
      <w:tr>
        <w:tc>
          <w:tcPr>
            <w:tcW w:type="dxa" w:w="1728"/>
          </w:tcPr>
          <w:p>
            <w:r/>
            <w:r>
              <w:rPr>
                <w:rFonts w:ascii="Calibri" w:hAnsi="Calibri"/>
                <w:b w:val="0"/>
                <w:sz w:val="18"/>
              </w:rPr>
              <w:t>Incident communications</w:t>
            </w:r>
          </w:p>
        </w:tc>
        <w:tc>
          <w:tcPr>
            <w:tcW w:type="dxa" w:w="1728"/>
          </w:tcPr>
          <w:p>
            <w:r/>
            <w:r>
              <w:rPr>
                <w:rFonts w:ascii="Calibri" w:hAnsi="Calibri"/>
                <w:b w:val="0"/>
                <w:sz w:val="18"/>
              </w:rPr>
              <w:t>All (tiered)</w:t>
            </w:r>
          </w:p>
        </w:tc>
        <w:tc>
          <w:tcPr>
            <w:tcW w:type="dxa" w:w="1728"/>
          </w:tcPr>
          <w:p>
            <w:r/>
            <w:r>
              <w:rPr>
                <w:rFonts w:ascii="Calibri" w:hAnsi="Calibri"/>
                <w:b w:val="0"/>
                <w:sz w:val="18"/>
              </w:rPr>
              <w:t>Status page + email + #incidents</w:t>
            </w:r>
          </w:p>
        </w:tc>
        <w:tc>
          <w:tcPr>
            <w:tcW w:type="dxa" w:w="1728"/>
          </w:tcPr>
          <w:p>
            <w:r/>
            <w:r>
              <w:rPr>
                <w:rFonts w:ascii="Calibri" w:hAnsi="Calibri"/>
                <w:b w:val="0"/>
                <w:sz w:val="18"/>
              </w:rPr>
              <w:t>Per SEV-1/SEV-2 immediately</w:t>
            </w:r>
          </w:p>
        </w:tc>
        <w:tc>
          <w:tcPr>
            <w:tcW w:type="dxa" w:w="1728"/>
          </w:tcPr>
          <w:p>
            <w:r/>
            <w:r>
              <w:rPr>
                <w:rFonts w:ascii="Calibri" w:hAnsi="Calibri"/>
                <w:b w:val="0"/>
                <w:sz w:val="18"/>
              </w:rPr>
              <w:t>Incident Commander</w:t>
            </w:r>
          </w:p>
        </w:tc>
      </w:tr>
    </w:tbl>
    <w:p/>
    <w:p>
      <w:pPr>
        <w:pStyle w:val="Heading1"/>
      </w:pPr>
      <w:r>
        <w:t>4. Visual Risk Dashboard Design</w:t>
      </w:r>
    </w:p>
    <w:p>
      <w:pPr>
        <w:pStyle w:val="Heading2"/>
      </w:pPr>
      <w:r>
        <w:t>4.1 Dashboard Layout</w:t>
      </w:r>
    </w:p>
    <w:p>
      <w:r>
        <w:rPr>
          <w:b w:val="0"/>
          <w:i w:val="0"/>
          <w:sz w:val="22"/>
        </w:rPr>
        <w:t>The EISP Risk Dashboard is a single-pane view refreshed daily, organized into six panels:</w:t>
      </w:r>
    </w:p>
    <w:p>
      <w:pPr>
        <w:pStyle w:val="ListBullet"/>
      </w:pPr>
      <w:r>
        <w:rPr>
          <w:b/>
          <w:sz w:val="22"/>
        </w:rPr>
        <w:t xml:space="preserve">A. </w:t>
      </w:r>
      <w:r>
        <w:rPr>
          <w:sz w:val="22"/>
        </w:rPr>
        <w:t>Panel A — Risk Posture Score: a composite 0–100 score with trend arrow (30/90-day) and rating breakdown (2 Critical / 4 High / 4 Medium).</w:t>
      </w:r>
    </w:p>
    <w:p>
      <w:pPr>
        <w:pStyle w:val="ListBullet"/>
      </w:pPr>
      <w:r>
        <w:rPr>
          <w:b/>
          <w:sz w:val="22"/>
        </w:rPr>
        <w:t xml:space="preserve">B. </w:t>
      </w:r>
      <w:r>
        <w:rPr>
          <w:sz w:val="22"/>
        </w:rPr>
        <w:t>Panel B — Open Findings by Severity: stacked bar of open risks and audit findings by severity, with aging buckets (&lt;30 / 30–90 / &gt;90 days).</w:t>
      </w:r>
    </w:p>
    <w:p>
      <w:pPr>
        <w:pStyle w:val="ListBullet"/>
      </w:pPr>
      <w:r>
        <w:rPr>
          <w:b/>
          <w:sz w:val="22"/>
        </w:rPr>
        <w:t xml:space="preserve">C. </w:t>
      </w:r>
      <w:r>
        <w:rPr>
          <w:sz w:val="22"/>
        </w:rPr>
        <w:t>Panel C — Identity Hygiene: MFA enrollment %, orphaned/stale accounts, privileged accounts without recent review.</w:t>
      </w:r>
    </w:p>
    <w:p>
      <w:pPr>
        <w:pStyle w:val="ListBullet"/>
      </w:pPr>
      <w:r>
        <w:rPr>
          <w:b/>
          <w:sz w:val="22"/>
        </w:rPr>
        <w:t xml:space="preserve">D. </w:t>
      </w:r>
      <w:r>
        <w:rPr>
          <w:sz w:val="22"/>
        </w:rPr>
        <w:t>Panel D — Detection &amp; Response: Wazuh rule coverage %, mean time to detect/respond, failed-login anomaly rate from Authentik logs.</w:t>
      </w:r>
    </w:p>
    <w:p>
      <w:pPr>
        <w:pStyle w:val="ListBullet"/>
      </w:pPr>
      <w:r>
        <w:rPr>
          <w:b/>
          <w:sz w:val="22"/>
        </w:rPr>
        <w:t xml:space="preserve">E. </w:t>
      </w:r>
      <w:r>
        <w:rPr>
          <w:sz w:val="22"/>
        </w:rPr>
        <w:t>Panel E — Control Effectiveness: % of key controls passing last test cycle, overdue recertifications, exception count.</w:t>
      </w:r>
    </w:p>
    <w:p>
      <w:pPr>
        <w:pStyle w:val="ListBullet"/>
      </w:pPr>
      <w:r>
        <w:rPr>
          <w:b/>
          <w:sz w:val="22"/>
        </w:rPr>
        <w:t xml:space="preserve">F. </w:t>
      </w:r>
      <w:r>
        <w:rPr>
          <w:sz w:val="22"/>
        </w:rPr>
        <w:t>Panel F — Financial Exposure: illustrative aggregate ALE with per-risk contribution bars and trend.</w:t>
      </w:r>
    </w:p>
    <w:p>
      <w:pPr>
        <w:pStyle w:val="Heading2"/>
      </w:pPr>
      <w:r>
        <w:t>4.2 Key Metrics Displayed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1F3B5B"/>
          </w:tcPr>
          <w:p>
            <w:r/>
            <w:r>
              <w:rPr>
                <w:rFonts w:ascii="Calibri" w:hAnsi="Calibri"/>
                <w:b/>
                <w:color w:val="FFFFFF"/>
                <w:sz w:val="18"/>
              </w:rPr>
              <w:t>Metric</w:t>
            </w:r>
          </w:p>
        </w:tc>
        <w:tc>
          <w:tcPr>
            <w:tcW w:type="dxa" w:w="2160"/>
            <w:shd w:val="clear" w:fill="1F3B5B"/>
          </w:tcPr>
          <w:p>
            <w:r/>
            <w:r>
              <w:rPr>
                <w:rFonts w:ascii="Calibri" w:hAnsi="Calibri"/>
                <w:b/>
                <w:color w:val="FFFFFF"/>
                <w:sz w:val="18"/>
              </w:rPr>
              <w:t>Definition</w:t>
            </w:r>
          </w:p>
        </w:tc>
        <w:tc>
          <w:tcPr>
            <w:tcW w:type="dxa" w:w="2160"/>
            <w:shd w:val="clear" w:fill="1F3B5B"/>
          </w:tcPr>
          <w:p>
            <w:r/>
            <w:r>
              <w:rPr>
                <w:rFonts w:ascii="Calibri" w:hAnsi="Calibri"/>
                <w:b/>
                <w:color w:val="FFFFFF"/>
                <w:sz w:val="18"/>
              </w:rPr>
              <w:t>Target</w:t>
            </w:r>
          </w:p>
        </w:tc>
        <w:tc>
          <w:tcPr>
            <w:tcW w:type="dxa" w:w="2160"/>
            <w:shd w:val="clear" w:fill="1F3B5B"/>
          </w:tcPr>
          <w:p>
            <w:r/>
            <w:r>
              <w:rPr>
                <w:rFonts w:ascii="Calibri" w:hAnsi="Calibri"/>
                <w:b/>
                <w:color w:val="FFFFFF"/>
                <w:sz w:val="18"/>
              </w:rPr>
              <w:t>Source</w:t>
            </w:r>
          </w:p>
        </w:tc>
      </w:tr>
      <w:tr>
        <w:tc>
          <w:tcPr>
            <w:tcW w:type="dxa" w:w="2160"/>
          </w:tcPr>
          <w:p>
            <w:r/>
            <w:r>
              <w:rPr>
                <w:rFonts w:ascii="Calibri" w:hAnsi="Calibri"/>
                <w:b w:val="0"/>
                <w:sz w:val="18"/>
              </w:rPr>
              <w:t>Risk posture score</w:t>
            </w:r>
          </w:p>
        </w:tc>
        <w:tc>
          <w:tcPr>
            <w:tcW w:type="dxa" w:w="2160"/>
          </w:tcPr>
          <w:p>
            <w:r/>
            <w:r>
              <w:rPr>
                <w:rFonts w:ascii="Calibri" w:hAnsi="Calibri"/>
                <w:b w:val="0"/>
                <w:sz w:val="18"/>
              </w:rPr>
              <w:t>Weighted composite of open risk ratings (Critical=25, High=10, Medium=3), inverted to 0–100</w:t>
            </w:r>
          </w:p>
        </w:tc>
        <w:tc>
          <w:tcPr>
            <w:tcW w:type="dxa" w:w="2160"/>
          </w:tcPr>
          <w:p>
            <w:r/>
            <w:r>
              <w:rPr>
                <w:rFonts w:ascii="Calibri" w:hAnsi="Calibri"/>
                <w:b w:val="0"/>
                <w:sz w:val="18"/>
              </w:rPr>
              <w:t>≥ 80</w:t>
            </w:r>
          </w:p>
        </w:tc>
        <w:tc>
          <w:tcPr>
            <w:tcW w:type="dxa" w:w="2160"/>
          </w:tcPr>
          <w:p>
            <w:r/>
            <w:r>
              <w:rPr>
                <w:rFonts w:ascii="Calibri" w:hAnsi="Calibri"/>
                <w:b w:val="0"/>
                <w:sz w:val="18"/>
              </w:rPr>
              <w:t>Risk register</w:t>
            </w:r>
          </w:p>
        </w:tc>
      </w:tr>
      <w:tr>
        <w:tc>
          <w:tcPr>
            <w:tcW w:type="dxa" w:w="2160"/>
          </w:tcPr>
          <w:p>
            <w:r/>
            <w:r>
              <w:rPr>
                <w:rFonts w:ascii="Calibri" w:hAnsi="Calibri"/>
                <w:b w:val="0"/>
                <w:sz w:val="18"/>
              </w:rPr>
              <w:t>Open findings by severity</w:t>
            </w:r>
          </w:p>
        </w:tc>
        <w:tc>
          <w:tcPr>
            <w:tcW w:type="dxa" w:w="2160"/>
          </w:tcPr>
          <w:p>
            <w:r/>
            <w:r>
              <w:rPr>
                <w:rFonts w:ascii="Calibri" w:hAnsi="Calibri"/>
                <w:b w:val="0"/>
                <w:sz w:val="18"/>
              </w:rPr>
              <w:t>Count of open risks + audit findings grouped Critical/High/Medium/Low</w:t>
            </w:r>
          </w:p>
        </w:tc>
        <w:tc>
          <w:tcPr>
            <w:tcW w:type="dxa" w:w="2160"/>
          </w:tcPr>
          <w:p>
            <w:r/>
            <w:r>
              <w:rPr>
                <w:rFonts w:ascii="Calibri" w:hAnsi="Calibri"/>
                <w:b w:val="0"/>
                <w:sz w:val="18"/>
              </w:rPr>
              <w:t>0 Critical &gt;30 days</w:t>
            </w:r>
          </w:p>
        </w:tc>
        <w:tc>
          <w:tcPr>
            <w:tcW w:type="dxa" w:w="2160"/>
          </w:tcPr>
          <w:p>
            <w:r/>
            <w:r>
              <w:rPr>
                <w:rFonts w:ascii="Calibri" w:hAnsi="Calibri"/>
                <w:b w:val="0"/>
                <w:sz w:val="18"/>
              </w:rPr>
              <w:t>Risk register / audit tracker</w:t>
            </w:r>
          </w:p>
        </w:tc>
      </w:tr>
      <w:tr>
        <w:tc>
          <w:tcPr>
            <w:tcW w:type="dxa" w:w="2160"/>
          </w:tcPr>
          <w:p>
            <w:r/>
            <w:r>
              <w:rPr>
                <w:rFonts w:ascii="Calibri" w:hAnsi="Calibri"/>
                <w:b w:val="0"/>
                <w:sz w:val="18"/>
              </w:rPr>
              <w:t>MFA coverage</w:t>
            </w:r>
          </w:p>
        </w:tc>
        <w:tc>
          <w:tcPr>
            <w:tcW w:type="dxa" w:w="2160"/>
          </w:tcPr>
          <w:p>
            <w:r/>
            <w:r>
              <w:rPr>
                <w:rFonts w:ascii="Calibri" w:hAnsi="Calibri"/>
                <w:b w:val="0"/>
                <w:sz w:val="18"/>
              </w:rPr>
              <w:t>% of human Authentik accounts with an enrolled MFA device</w:t>
            </w:r>
          </w:p>
        </w:tc>
        <w:tc>
          <w:tcPr>
            <w:tcW w:type="dxa" w:w="2160"/>
          </w:tcPr>
          <w:p>
            <w:r/>
            <w:r>
              <w:rPr>
                <w:rFonts w:ascii="Calibri" w:hAnsi="Calibri"/>
                <w:b w:val="0"/>
                <w:sz w:val="18"/>
              </w:rPr>
              <w:t>100%</w:t>
            </w:r>
          </w:p>
        </w:tc>
        <w:tc>
          <w:tcPr>
            <w:tcW w:type="dxa" w:w="2160"/>
          </w:tcPr>
          <w:p>
            <w:r/>
            <w:r>
              <w:rPr>
                <w:rFonts w:ascii="Calibri" w:hAnsi="Calibri"/>
                <w:b w:val="0"/>
                <w:sz w:val="18"/>
              </w:rPr>
              <w:t>Authentik admin API</w:t>
            </w:r>
          </w:p>
        </w:tc>
      </w:tr>
      <w:tr>
        <w:tc>
          <w:tcPr>
            <w:tcW w:type="dxa" w:w="2160"/>
          </w:tcPr>
          <w:p>
            <w:r/>
            <w:r>
              <w:rPr>
                <w:rFonts w:ascii="Calibri" w:hAnsi="Calibri"/>
                <w:b w:val="0"/>
                <w:sz w:val="18"/>
              </w:rPr>
              <w:t>Mean time to remediate (MTTR)</w:t>
            </w:r>
          </w:p>
        </w:tc>
        <w:tc>
          <w:tcPr>
            <w:tcW w:type="dxa" w:w="2160"/>
          </w:tcPr>
          <w:p>
            <w:r/>
            <w:r>
              <w:rPr>
                <w:rFonts w:ascii="Calibri" w:hAnsi="Calibri"/>
                <w:b w:val="0"/>
                <w:sz w:val="18"/>
              </w:rPr>
              <w:t>Average days from finding opened to verified closed, trailing 90 days</w:t>
            </w:r>
          </w:p>
        </w:tc>
        <w:tc>
          <w:tcPr>
            <w:tcW w:type="dxa" w:w="2160"/>
          </w:tcPr>
          <w:p>
            <w:r/>
            <w:r>
              <w:rPr>
                <w:rFonts w:ascii="Calibri" w:hAnsi="Calibri"/>
                <w:b w:val="0"/>
                <w:sz w:val="18"/>
              </w:rPr>
              <w:t>≤ 30 days (High)</w:t>
            </w:r>
          </w:p>
        </w:tc>
        <w:tc>
          <w:tcPr>
            <w:tcW w:type="dxa" w:w="2160"/>
          </w:tcPr>
          <w:p>
            <w:r/>
            <w:r>
              <w:rPr>
                <w:rFonts w:ascii="Calibri" w:hAnsi="Calibri"/>
                <w:b w:val="0"/>
                <w:sz w:val="18"/>
              </w:rPr>
              <w:t>Remediation tracker</w:t>
            </w:r>
          </w:p>
        </w:tc>
      </w:tr>
      <w:tr>
        <w:tc>
          <w:tcPr>
            <w:tcW w:type="dxa" w:w="2160"/>
          </w:tcPr>
          <w:p>
            <w:r/>
            <w:r>
              <w:rPr>
                <w:rFonts w:ascii="Calibri" w:hAnsi="Calibri"/>
                <w:b w:val="0"/>
                <w:sz w:val="18"/>
              </w:rPr>
              <w:t>Control effectiveness</w:t>
            </w:r>
          </w:p>
        </w:tc>
        <w:tc>
          <w:tcPr>
            <w:tcW w:type="dxa" w:w="2160"/>
          </w:tcPr>
          <w:p>
            <w:r/>
            <w:r>
              <w:rPr>
                <w:rFonts w:ascii="Calibri" w:hAnsi="Calibri"/>
                <w:b w:val="0"/>
                <w:sz w:val="18"/>
              </w:rPr>
              <w:t>% of key controls rated effective in last test cycle</w:t>
            </w:r>
          </w:p>
        </w:tc>
        <w:tc>
          <w:tcPr>
            <w:tcW w:type="dxa" w:w="2160"/>
          </w:tcPr>
          <w:p>
            <w:r/>
            <w:r>
              <w:rPr>
                <w:rFonts w:ascii="Calibri" w:hAnsi="Calibri"/>
                <w:b w:val="0"/>
                <w:sz w:val="18"/>
              </w:rPr>
              <w:t>≥ 95%</w:t>
            </w:r>
          </w:p>
        </w:tc>
        <w:tc>
          <w:tcPr>
            <w:tcW w:type="dxa" w:w="2160"/>
          </w:tcPr>
          <w:p>
            <w:r/>
            <w:r>
              <w:rPr>
                <w:rFonts w:ascii="Calibri" w:hAnsi="Calibri"/>
                <w:b w:val="0"/>
                <w:sz w:val="18"/>
              </w:rPr>
              <w:t>Control testing</w:t>
            </w:r>
          </w:p>
        </w:tc>
      </w:tr>
      <w:tr>
        <w:tc>
          <w:tcPr>
            <w:tcW w:type="dxa" w:w="2160"/>
          </w:tcPr>
          <w:p>
            <w:r/>
            <w:r>
              <w:rPr>
                <w:rFonts w:ascii="Calibri" w:hAnsi="Calibri"/>
                <w:b w:val="0"/>
                <w:sz w:val="18"/>
              </w:rPr>
              <w:t>Orphaned accounts</w:t>
            </w:r>
          </w:p>
        </w:tc>
        <w:tc>
          <w:tcPr>
            <w:tcW w:type="dxa" w:w="2160"/>
          </w:tcPr>
          <w:p>
            <w:r/>
            <w:r>
              <w:rPr>
                <w:rFonts w:ascii="Calibri" w:hAnsi="Calibri"/>
                <w:b w:val="0"/>
                <w:sz w:val="18"/>
              </w:rPr>
              <w:t>Enabled accounts with no login in 45+ days or no mapped owner</w:t>
            </w:r>
          </w:p>
        </w:tc>
        <w:tc>
          <w:tcPr>
            <w:tcW w:type="dxa" w:w="2160"/>
          </w:tcPr>
          <w:p>
            <w:r/>
            <w:r>
              <w:rPr>
                <w:rFonts w:ascii="Calibri" w:hAnsi="Calibri"/>
                <w:b w:val="0"/>
                <w:sz w:val="18"/>
              </w:rPr>
              <w:t>0</w:t>
            </w:r>
          </w:p>
        </w:tc>
        <w:tc>
          <w:tcPr>
            <w:tcW w:type="dxa" w:w="2160"/>
          </w:tcPr>
          <w:p>
            <w:r/>
            <w:r>
              <w:rPr>
                <w:rFonts w:ascii="Calibri" w:hAnsi="Calibri"/>
                <w:b w:val="0"/>
                <w:sz w:val="18"/>
              </w:rPr>
              <w:t>Authentik + HR feed</w:t>
            </w:r>
          </w:p>
        </w:tc>
      </w:tr>
      <w:tr>
        <w:tc>
          <w:tcPr>
            <w:tcW w:type="dxa" w:w="2160"/>
          </w:tcPr>
          <w:p>
            <w:r/>
            <w:r>
              <w:rPr>
                <w:rFonts w:ascii="Calibri" w:hAnsi="Calibri"/>
                <w:b w:val="0"/>
                <w:sz w:val="18"/>
              </w:rPr>
              <w:t>Failed-login anomaly rate</w:t>
            </w:r>
          </w:p>
        </w:tc>
        <w:tc>
          <w:tcPr>
            <w:tcW w:type="dxa" w:w="2160"/>
          </w:tcPr>
          <w:p>
            <w:r/>
            <w:r>
              <w:rPr>
                <w:rFonts w:ascii="Calibri" w:hAnsi="Calibri"/>
                <w:b w:val="0"/>
                <w:sz w:val="18"/>
              </w:rPr>
              <w:t>Failed authentications per 1,000 logins, Authentik event log</w:t>
            </w:r>
          </w:p>
        </w:tc>
        <w:tc>
          <w:tcPr>
            <w:tcW w:type="dxa" w:w="2160"/>
          </w:tcPr>
          <w:p>
            <w:r/>
            <w:r>
              <w:rPr>
                <w:rFonts w:ascii="Calibri" w:hAnsi="Calibri"/>
                <w:b w:val="0"/>
                <w:sz w:val="18"/>
              </w:rPr>
              <w:t>&lt; 2%, alert on spike</w:t>
            </w:r>
          </w:p>
        </w:tc>
        <w:tc>
          <w:tcPr>
            <w:tcW w:type="dxa" w:w="2160"/>
          </w:tcPr>
          <w:p>
            <w:r/>
            <w:r>
              <w:rPr>
                <w:rFonts w:ascii="Calibri" w:hAnsi="Calibri"/>
                <w:b w:val="0"/>
                <w:sz w:val="18"/>
              </w:rPr>
              <w:t>Authentik logs</w:t>
            </w:r>
          </w:p>
        </w:tc>
      </w:tr>
    </w:tbl>
    <w:p/>
    <w:p>
      <w:pPr>
        <w:pStyle w:val="Heading2"/>
      </w:pPr>
      <w:r>
        <w:t>4.3 Automated Alerting Rules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fill="1F3B5B"/>
          </w:tcPr>
          <w:p>
            <w:r/>
            <w:r>
              <w:rPr>
                <w:rFonts w:ascii="Calibri" w:hAnsi="Calibri"/>
                <w:b/>
                <w:color w:val="FFFFFF"/>
                <w:sz w:val="18"/>
              </w:rPr>
              <w:t>Metric</w:t>
            </w:r>
          </w:p>
        </w:tc>
        <w:tc>
          <w:tcPr>
            <w:tcW w:type="dxa" w:w="1728"/>
            <w:shd w:val="clear" w:fill="1F3B5B"/>
          </w:tcPr>
          <w:p>
            <w:r/>
            <w:r>
              <w:rPr>
                <w:rFonts w:ascii="Calibri" w:hAnsi="Calibri"/>
                <w:b/>
                <w:color w:val="FFFFFF"/>
                <w:sz w:val="18"/>
              </w:rPr>
              <w:t>Threshold</w:t>
            </w:r>
          </w:p>
        </w:tc>
        <w:tc>
          <w:tcPr>
            <w:tcW w:type="dxa" w:w="1728"/>
            <w:shd w:val="clear" w:fill="1F3B5B"/>
          </w:tcPr>
          <w:p>
            <w:r/>
            <w:r>
              <w:rPr>
                <w:rFonts w:ascii="Calibri" w:hAnsi="Calibri"/>
                <w:b/>
                <w:color w:val="FFFFFF"/>
                <w:sz w:val="18"/>
              </w:rPr>
              <w:t>Alert Recipient</w:t>
            </w:r>
          </w:p>
        </w:tc>
        <w:tc>
          <w:tcPr>
            <w:tcW w:type="dxa" w:w="1728"/>
            <w:shd w:val="clear" w:fill="1F3B5B"/>
          </w:tcPr>
          <w:p>
            <w:r/>
            <w:r>
              <w:rPr>
                <w:rFonts w:ascii="Calibri" w:hAnsi="Calibri"/>
                <w:b/>
                <w:color w:val="FFFFFF"/>
                <w:sz w:val="18"/>
              </w:rPr>
              <w:t>Channel</w:t>
            </w:r>
          </w:p>
        </w:tc>
        <w:tc>
          <w:tcPr>
            <w:tcW w:type="dxa" w:w="1728"/>
            <w:shd w:val="clear" w:fill="1F3B5B"/>
          </w:tcPr>
          <w:p>
            <w:r/>
            <w:r>
              <w:rPr>
                <w:rFonts w:ascii="Calibri" w:hAnsi="Calibri"/>
                <w:b/>
                <w:color w:val="FFFFFF"/>
                <w:sz w:val="18"/>
              </w:rPr>
              <w:t>Response SLA</w:t>
            </w:r>
          </w:p>
        </w:tc>
      </w:tr>
      <w:tr>
        <w:tc>
          <w:tcPr>
            <w:tcW w:type="dxa" w:w="1728"/>
          </w:tcPr>
          <w:p>
            <w:r/>
            <w:r>
              <w:rPr>
                <w:rFonts w:ascii="Calibri" w:hAnsi="Calibri"/>
                <w:b w:val="0"/>
                <w:sz w:val="18"/>
              </w:rPr>
              <w:t>New CRITICAL risk opened</w:t>
            </w:r>
          </w:p>
        </w:tc>
        <w:tc>
          <w:tcPr>
            <w:tcW w:type="dxa" w:w="1728"/>
          </w:tcPr>
          <w:p>
            <w:r/>
            <w:r>
              <w:rPr>
                <w:rFonts w:ascii="Calibri" w:hAnsi="Calibri"/>
                <w:b w:val="0"/>
                <w:sz w:val="18"/>
              </w:rPr>
              <w:t>Any</w:t>
            </w:r>
          </w:p>
        </w:tc>
        <w:tc>
          <w:tcPr>
            <w:tcW w:type="dxa" w:w="1728"/>
          </w:tcPr>
          <w:p>
            <w:r/>
            <w:r>
              <w:rPr>
                <w:rFonts w:ascii="Calibri" w:hAnsi="Calibri"/>
                <w:b w:val="0"/>
                <w:sz w:val="18"/>
              </w:rPr>
              <w:t>System Owner, Security Lead</w:t>
            </w:r>
          </w:p>
        </w:tc>
        <w:tc>
          <w:tcPr>
            <w:tcW w:type="dxa" w:w="1728"/>
          </w:tcPr>
          <w:p>
            <w:r/>
            <w:r>
              <w:rPr>
                <w:rFonts w:ascii="Calibri" w:hAnsi="Calibri"/>
                <w:b w:val="0"/>
                <w:sz w:val="18"/>
              </w:rPr>
              <w:t>Email + #incidents</w:t>
            </w:r>
          </w:p>
        </w:tc>
        <w:tc>
          <w:tcPr>
            <w:tcW w:type="dxa" w:w="1728"/>
          </w:tcPr>
          <w:p>
            <w:r/>
            <w:r>
              <w:rPr>
                <w:rFonts w:ascii="Calibri" w:hAnsi="Calibri"/>
                <w:b w:val="0"/>
                <w:sz w:val="18"/>
              </w:rPr>
              <w:t>Acknowledge 4h</w:t>
            </w:r>
          </w:p>
        </w:tc>
      </w:tr>
      <w:tr>
        <w:tc>
          <w:tcPr>
            <w:tcW w:type="dxa" w:w="1728"/>
          </w:tcPr>
          <w:p>
            <w:r/>
            <w:r>
              <w:rPr>
                <w:rFonts w:ascii="Calibri" w:hAnsi="Calibri"/>
                <w:b w:val="0"/>
                <w:sz w:val="18"/>
              </w:rPr>
              <w:t>Failed MFA spike (RR-001 trigger)</w:t>
            </w:r>
          </w:p>
        </w:tc>
        <w:tc>
          <w:tcPr>
            <w:tcW w:type="dxa" w:w="1728"/>
          </w:tcPr>
          <w:p>
            <w:r/>
            <w:r>
              <w:rPr>
                <w:rFonts w:ascii="Calibri" w:hAnsi="Calibri"/>
                <w:b w:val="0"/>
                <w:sz w:val="18"/>
              </w:rPr>
              <w:t>&gt;5 attempts / user / hour or impossible travel</w:t>
            </w:r>
          </w:p>
        </w:tc>
        <w:tc>
          <w:tcPr>
            <w:tcW w:type="dxa" w:w="1728"/>
          </w:tcPr>
          <w:p>
            <w:r/>
            <w:r>
              <w:rPr>
                <w:rFonts w:ascii="Calibri" w:hAnsi="Calibri"/>
                <w:b w:val="0"/>
                <w:sz w:val="18"/>
              </w:rPr>
              <w:t>Security Analyst on-call</w:t>
            </w:r>
          </w:p>
        </w:tc>
        <w:tc>
          <w:tcPr>
            <w:tcW w:type="dxa" w:w="1728"/>
          </w:tcPr>
          <w:p>
            <w:r/>
            <w:r>
              <w:rPr>
                <w:rFonts w:ascii="Calibri" w:hAnsi="Calibri"/>
                <w:b w:val="0"/>
                <w:sz w:val="18"/>
              </w:rPr>
              <w:t>SIEM + #soc</w:t>
            </w:r>
          </w:p>
        </w:tc>
        <w:tc>
          <w:tcPr>
            <w:tcW w:type="dxa" w:w="1728"/>
          </w:tcPr>
          <w:p>
            <w:r/>
            <w:r>
              <w:rPr>
                <w:rFonts w:ascii="Calibri" w:hAnsi="Calibri"/>
                <w:b w:val="0"/>
                <w:sz w:val="18"/>
              </w:rPr>
              <w:t>Triage 1h</w:t>
            </w:r>
          </w:p>
        </w:tc>
      </w:tr>
      <w:tr>
        <w:tc>
          <w:tcPr>
            <w:tcW w:type="dxa" w:w="1728"/>
          </w:tcPr>
          <w:p>
            <w:r/>
            <w:r>
              <w:rPr>
                <w:rFonts w:ascii="Calibri" w:hAnsi="Calibri"/>
                <w:b w:val="0"/>
                <w:sz w:val="18"/>
              </w:rPr>
              <w:t>CloudTrail role-policy modification outside change window (RR-002 trigger)</w:t>
            </w:r>
          </w:p>
        </w:tc>
        <w:tc>
          <w:tcPr>
            <w:tcW w:type="dxa" w:w="1728"/>
          </w:tcPr>
          <w:p>
            <w:r/>
            <w:r>
              <w:rPr>
                <w:rFonts w:ascii="Calibri" w:hAnsi="Calibri"/>
                <w:b w:val="0"/>
                <w:sz w:val="18"/>
              </w:rPr>
              <w:t>Any AttachRolePolicy/PutRolePolicy not in change record</w:t>
            </w:r>
          </w:p>
        </w:tc>
        <w:tc>
          <w:tcPr>
            <w:tcW w:type="dxa" w:w="1728"/>
          </w:tcPr>
          <w:p>
            <w:r/>
            <w:r>
              <w:rPr>
                <w:rFonts w:ascii="Calibri" w:hAnsi="Calibri"/>
                <w:b w:val="0"/>
                <w:sz w:val="18"/>
              </w:rPr>
              <w:t>IAM Engineer → Security Lead</w:t>
            </w:r>
          </w:p>
        </w:tc>
        <w:tc>
          <w:tcPr>
            <w:tcW w:type="dxa" w:w="1728"/>
          </w:tcPr>
          <w:p>
            <w:r/>
            <w:r>
              <w:rPr>
                <w:rFonts w:ascii="Calibri" w:hAnsi="Calibri"/>
                <w:b w:val="0"/>
                <w:sz w:val="18"/>
              </w:rPr>
              <w:t>Email + #iam-ops</w:t>
            </w:r>
          </w:p>
        </w:tc>
        <w:tc>
          <w:tcPr>
            <w:tcW w:type="dxa" w:w="1728"/>
          </w:tcPr>
          <w:p>
            <w:r/>
            <w:r>
              <w:rPr>
                <w:rFonts w:ascii="Calibri" w:hAnsi="Calibri"/>
                <w:b w:val="0"/>
                <w:sz w:val="18"/>
              </w:rPr>
              <w:t>Triage 2h</w:t>
            </w:r>
          </w:p>
        </w:tc>
      </w:tr>
      <w:tr>
        <w:tc>
          <w:tcPr>
            <w:tcW w:type="dxa" w:w="1728"/>
          </w:tcPr>
          <w:p>
            <w:r/>
            <w:r>
              <w:rPr>
                <w:rFonts w:ascii="Calibri" w:hAnsi="Calibri"/>
                <w:b w:val="0"/>
                <w:sz w:val="18"/>
              </w:rPr>
              <w:t>Credential found in repo scan (RR-003 trigger)</w:t>
            </w:r>
          </w:p>
        </w:tc>
        <w:tc>
          <w:tcPr>
            <w:tcW w:type="dxa" w:w="1728"/>
          </w:tcPr>
          <w:p>
            <w:r/>
            <w:r>
              <w:rPr>
                <w:rFonts w:ascii="Calibri" w:hAnsi="Calibri"/>
                <w:b w:val="0"/>
                <w:sz w:val="18"/>
              </w:rPr>
              <w:t>Any</w:t>
            </w:r>
          </w:p>
        </w:tc>
        <w:tc>
          <w:tcPr>
            <w:tcW w:type="dxa" w:w="1728"/>
          </w:tcPr>
          <w:p>
            <w:r/>
            <w:r>
              <w:rPr>
                <w:rFonts w:ascii="Calibri" w:hAnsi="Calibri"/>
                <w:b w:val="0"/>
                <w:sz w:val="18"/>
              </w:rPr>
              <w:t>DevSecOps → IAM Engineer</w:t>
            </w:r>
          </w:p>
        </w:tc>
        <w:tc>
          <w:tcPr>
            <w:tcW w:type="dxa" w:w="1728"/>
          </w:tcPr>
          <w:p>
            <w:r/>
            <w:r>
              <w:rPr>
                <w:rFonts w:ascii="Calibri" w:hAnsi="Calibri"/>
                <w:b w:val="0"/>
                <w:sz w:val="18"/>
              </w:rPr>
              <w:t>Ticket (P1) + #iam-ops</w:t>
            </w:r>
          </w:p>
        </w:tc>
        <w:tc>
          <w:tcPr>
            <w:tcW w:type="dxa" w:w="1728"/>
          </w:tcPr>
          <w:p>
            <w:r/>
            <w:r>
              <w:rPr>
                <w:rFonts w:ascii="Calibri" w:hAnsi="Calibri"/>
                <w:b w:val="0"/>
                <w:sz w:val="18"/>
              </w:rPr>
              <w:t>Rotate 24h</w:t>
            </w:r>
          </w:p>
        </w:tc>
      </w:tr>
      <w:tr>
        <w:tc>
          <w:tcPr>
            <w:tcW w:type="dxa" w:w="1728"/>
          </w:tcPr>
          <w:p>
            <w:r/>
            <w:r>
              <w:rPr>
                <w:rFonts w:ascii="Calibri" w:hAnsi="Calibri"/>
                <w:b w:val="0"/>
                <w:sz w:val="18"/>
              </w:rPr>
              <w:t>Vault root token usage (RR-005 trigger)</w:t>
            </w:r>
          </w:p>
        </w:tc>
        <w:tc>
          <w:tcPr>
            <w:tcW w:type="dxa" w:w="1728"/>
          </w:tcPr>
          <w:p>
            <w:r/>
            <w:r>
              <w:rPr>
                <w:rFonts w:ascii="Calibri" w:hAnsi="Calibri"/>
                <w:b w:val="0"/>
                <w:sz w:val="18"/>
              </w:rPr>
              <w:t>Any</w:t>
            </w:r>
          </w:p>
        </w:tc>
        <w:tc>
          <w:tcPr>
            <w:tcW w:type="dxa" w:w="1728"/>
          </w:tcPr>
          <w:p>
            <w:r/>
            <w:r>
              <w:rPr>
                <w:rFonts w:ascii="Calibri" w:hAnsi="Calibri"/>
                <w:b w:val="0"/>
                <w:sz w:val="18"/>
              </w:rPr>
              <w:t>DevSecOps → Security Lead</w:t>
            </w:r>
          </w:p>
        </w:tc>
        <w:tc>
          <w:tcPr>
            <w:tcW w:type="dxa" w:w="1728"/>
          </w:tcPr>
          <w:p>
            <w:r/>
            <w:r>
              <w:rPr>
                <w:rFonts w:ascii="Calibri" w:hAnsi="Calibri"/>
                <w:b w:val="0"/>
                <w:sz w:val="18"/>
              </w:rPr>
              <w:t>Ticket (P1) + page</w:t>
            </w:r>
          </w:p>
        </w:tc>
        <w:tc>
          <w:tcPr>
            <w:tcW w:type="dxa" w:w="1728"/>
          </w:tcPr>
          <w:p>
            <w:r/>
            <w:r>
              <w:rPr>
                <w:rFonts w:ascii="Calibri" w:hAnsi="Calibri"/>
                <w:b w:val="0"/>
                <w:sz w:val="18"/>
              </w:rPr>
              <w:t>Investigate 1h</w:t>
            </w:r>
          </w:p>
        </w:tc>
      </w:tr>
      <w:tr>
        <w:tc>
          <w:tcPr>
            <w:tcW w:type="dxa" w:w="1728"/>
          </w:tcPr>
          <w:p>
            <w:r/>
            <w:r>
              <w:rPr>
                <w:rFonts w:ascii="Calibri" w:hAnsi="Calibri"/>
                <w:b w:val="0"/>
                <w:sz w:val="18"/>
              </w:rPr>
              <w:t>MFA coverage drops</w:t>
            </w:r>
          </w:p>
        </w:tc>
        <w:tc>
          <w:tcPr>
            <w:tcW w:type="dxa" w:w="1728"/>
          </w:tcPr>
          <w:p>
            <w:r/>
            <w:r>
              <w:rPr>
                <w:rFonts w:ascii="Calibri" w:hAnsi="Calibri"/>
                <w:b w:val="0"/>
                <w:sz w:val="18"/>
              </w:rPr>
              <w:t>&lt; 98%</w:t>
            </w:r>
          </w:p>
        </w:tc>
        <w:tc>
          <w:tcPr>
            <w:tcW w:type="dxa" w:w="1728"/>
          </w:tcPr>
          <w:p>
            <w:r/>
            <w:r>
              <w:rPr>
                <w:rFonts w:ascii="Calibri" w:hAnsi="Calibri"/>
                <w:b w:val="0"/>
                <w:sz w:val="18"/>
              </w:rPr>
              <w:t>IAM Engineer</w:t>
            </w:r>
          </w:p>
        </w:tc>
        <w:tc>
          <w:tcPr>
            <w:tcW w:type="dxa" w:w="1728"/>
          </w:tcPr>
          <w:p>
            <w:r/>
            <w:r>
              <w:rPr>
                <w:rFonts w:ascii="Calibri" w:hAnsi="Calibri"/>
                <w:b w:val="0"/>
                <w:sz w:val="18"/>
              </w:rPr>
              <w:t>#iam-ops</w:t>
            </w:r>
          </w:p>
        </w:tc>
        <w:tc>
          <w:tcPr>
            <w:tcW w:type="dxa" w:w="1728"/>
          </w:tcPr>
          <w:p>
            <w:r/>
            <w:r>
              <w:rPr>
                <w:rFonts w:ascii="Calibri" w:hAnsi="Calibri"/>
                <w:b w:val="0"/>
                <w:sz w:val="18"/>
              </w:rPr>
              <w:t>Remediate 5 days</w:t>
            </w:r>
          </w:p>
        </w:tc>
      </w:tr>
      <w:tr>
        <w:tc>
          <w:tcPr>
            <w:tcW w:type="dxa" w:w="1728"/>
          </w:tcPr>
          <w:p>
            <w:r/>
            <w:r>
              <w:rPr>
                <w:rFonts w:ascii="Calibri" w:hAnsi="Calibri"/>
                <w:b w:val="0"/>
                <w:sz w:val="18"/>
              </w:rPr>
              <w:t>High finding overdue</w:t>
            </w:r>
          </w:p>
        </w:tc>
        <w:tc>
          <w:tcPr>
            <w:tcW w:type="dxa" w:w="1728"/>
          </w:tcPr>
          <w:p>
            <w:r/>
            <w:r>
              <w:rPr>
                <w:rFonts w:ascii="Calibri" w:hAnsi="Calibri"/>
                <w:b w:val="0"/>
                <w:sz w:val="18"/>
              </w:rPr>
              <w:t>&gt;30 days past target date</w:t>
            </w:r>
          </w:p>
        </w:tc>
        <w:tc>
          <w:tcPr>
            <w:tcW w:type="dxa" w:w="1728"/>
          </w:tcPr>
          <w:p>
            <w:r/>
            <w:r>
              <w:rPr>
                <w:rFonts w:ascii="Calibri" w:hAnsi="Calibri"/>
                <w:b w:val="0"/>
                <w:sz w:val="18"/>
              </w:rPr>
              <w:t>Finding owner → System Owner</w:t>
            </w:r>
          </w:p>
        </w:tc>
        <w:tc>
          <w:tcPr>
            <w:tcW w:type="dxa" w:w="1728"/>
          </w:tcPr>
          <w:p>
            <w:r/>
            <w:r>
              <w:rPr>
                <w:rFonts w:ascii="Calibri" w:hAnsi="Calibri"/>
                <w:b w:val="0"/>
                <w:sz w:val="18"/>
              </w:rPr>
              <w:t>Email</w:t>
            </w:r>
          </w:p>
        </w:tc>
        <w:tc>
          <w:tcPr>
            <w:tcW w:type="dxa" w:w="1728"/>
          </w:tcPr>
          <w:p>
            <w:r/>
            <w:r>
              <w:rPr>
                <w:rFonts w:ascii="Calibri" w:hAnsi="Calibri"/>
                <w:b w:val="0"/>
                <w:sz w:val="18"/>
              </w:rPr>
              <w:t>Plan update 3 days</w:t>
            </w:r>
          </w:p>
        </w:tc>
      </w:tr>
    </w:tbl>
    <w:p/>
    <w:p>
      <w:pPr>
        <w:pStyle w:val="Heading2"/>
      </w:pPr>
      <w:r>
        <w:t>4.4 Drill-Down Capabilities</w:t>
      </w:r>
    </w:p>
    <w:p>
      <w:pPr>
        <w:pStyle w:val="ListBullet"/>
      </w:pPr>
      <w:r>
        <w:rPr>
          <w:b/>
          <w:sz w:val="22"/>
        </w:rPr>
        <w:t xml:space="preserve">Posture score </w:t>
      </w:r>
      <w:r>
        <w:rPr>
          <w:sz w:val="22"/>
        </w:rPr>
        <w:t>Panel A → risk register filtered by rating, then to the individual risk record (description, CVSS, MITRE technique, treatment, owner, history).</w:t>
      </w:r>
    </w:p>
    <w:p>
      <w:pPr>
        <w:pStyle w:val="ListBullet"/>
      </w:pPr>
      <w:r>
        <w:rPr>
          <w:b/>
          <w:sz w:val="22"/>
        </w:rPr>
        <w:t xml:space="preserve">Findings </w:t>
      </w:r>
      <w:r>
        <w:rPr>
          <w:sz w:val="22"/>
        </w:rPr>
        <w:t>Panel B → findings list → evidence package for the selected finding (linked artifacts: Terraform diff, Authentik policy export, log excerpts).</w:t>
      </w:r>
    </w:p>
    <w:p>
      <w:pPr>
        <w:pStyle w:val="ListBullet"/>
      </w:pPr>
      <w:r>
        <w:rPr>
          <w:b/>
          <w:sz w:val="22"/>
        </w:rPr>
        <w:t xml:space="preserve">Identity hygiene </w:t>
      </w:r>
      <w:r>
        <w:rPr>
          <w:sz w:val="22"/>
        </w:rPr>
        <w:t>Panel C → per-account detail (last login, MFA devices enrolled, manager attestation status) for orphaned or non-compliant accounts.</w:t>
      </w:r>
    </w:p>
    <w:p>
      <w:pPr>
        <w:pStyle w:val="ListBullet"/>
      </w:pPr>
      <w:r>
        <w:rPr>
          <w:b/>
          <w:sz w:val="22"/>
        </w:rPr>
        <w:t xml:space="preserve">Detection </w:t>
      </w:r>
      <w:r>
        <w:rPr>
          <w:sz w:val="22"/>
        </w:rPr>
        <w:t>Panel D → Wazuh rule detail and the underlying Authentik/CloudTrail events that fired it.</w:t>
      </w:r>
    </w:p>
    <w:p>
      <w:pPr>
        <w:pStyle w:val="ListBullet"/>
      </w:pPr>
      <w:r>
        <w:rPr>
          <w:b/>
          <w:sz w:val="22"/>
        </w:rPr>
        <w:t xml:space="preserve">Controls </w:t>
      </w:r>
      <w:r>
        <w:rPr>
          <w:sz w:val="22"/>
        </w:rPr>
        <w:t>Panel E → control test workpapers and recertification sign-off records.</w:t>
      </w:r>
    </w:p>
    <w:p>
      <w:pPr>
        <w:pStyle w:val="ListBullet"/>
      </w:pPr>
      <w:r>
        <w:rPr>
          <w:b/>
          <w:sz w:val="22"/>
        </w:rPr>
        <w:t xml:space="preserve">Financial exposure </w:t>
      </w:r>
      <w:r>
        <w:rPr>
          <w:sz w:val="22"/>
        </w:rPr>
        <w:t>Panel F → ALE worksheet showing SLE/ARO assumptions per risk for finance review.</w:t>
      </w:r>
    </w:p>
    <w:p>
      <w:pPr>
        <w:pStyle w:val="Heading1"/>
      </w:pPr>
      <w:r>
        <w:t>5. KPI Framework — Leading and Lagging Indicators</w:t>
      </w:r>
    </w:p>
    <w:p>
      <w:r>
        <w:rPr>
          <w:b w:val="0"/>
          <w:i w:val="0"/>
          <w:sz w:val="22"/>
        </w:rPr>
        <w:t>Leading indicators predict future risk posture; lagging indicators confirm what already happened. Both are required: leading KPIs drive preventive action, lagging KPIs validate that the program works.</w:t>
      </w:r>
    </w:p>
    <w:p>
      <w:pPr>
        <w:pStyle w:val="Heading2"/>
      </w:pPr>
      <w:r>
        <w:t>5.1 Leading Indicators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fill="1F3B5B"/>
          </w:tcPr>
          <w:p>
            <w:r/>
            <w:r>
              <w:rPr>
                <w:rFonts w:ascii="Calibri" w:hAnsi="Calibri"/>
                <w:b/>
                <w:color w:val="FFFFFF"/>
                <w:sz w:val="18"/>
              </w:rPr>
              <w:t>KPI</w:t>
            </w:r>
          </w:p>
        </w:tc>
        <w:tc>
          <w:tcPr>
            <w:tcW w:type="dxa" w:w="1728"/>
            <w:shd w:val="clear" w:fill="1F3B5B"/>
          </w:tcPr>
          <w:p>
            <w:r/>
            <w:r>
              <w:rPr>
                <w:rFonts w:ascii="Calibri" w:hAnsi="Calibri"/>
                <w:b/>
                <w:color w:val="FFFFFF"/>
                <w:sz w:val="18"/>
              </w:rPr>
              <w:t>Definition</w:t>
            </w:r>
          </w:p>
        </w:tc>
        <w:tc>
          <w:tcPr>
            <w:tcW w:type="dxa" w:w="1728"/>
            <w:shd w:val="clear" w:fill="1F3B5B"/>
          </w:tcPr>
          <w:p>
            <w:r/>
            <w:r>
              <w:rPr>
                <w:rFonts w:ascii="Calibri" w:hAnsi="Calibri"/>
                <w:b/>
                <w:color w:val="FFFFFF"/>
                <w:sz w:val="18"/>
              </w:rPr>
              <w:t>Target</w:t>
            </w:r>
          </w:p>
        </w:tc>
        <w:tc>
          <w:tcPr>
            <w:tcW w:type="dxa" w:w="1728"/>
            <w:shd w:val="clear" w:fill="1F3B5B"/>
          </w:tcPr>
          <w:p>
            <w:r/>
            <w:r>
              <w:rPr>
                <w:rFonts w:ascii="Calibri" w:hAnsi="Calibri"/>
                <w:b/>
                <w:color w:val="FFFFFF"/>
                <w:sz w:val="18"/>
              </w:rPr>
              <w:t>Frequency</w:t>
            </w:r>
          </w:p>
        </w:tc>
        <w:tc>
          <w:tcPr>
            <w:tcW w:type="dxa" w:w="1728"/>
            <w:shd w:val="clear" w:fill="1F3B5B"/>
          </w:tcPr>
          <w:p>
            <w:r/>
            <w:r>
              <w:rPr>
                <w:rFonts w:ascii="Calibri" w:hAnsi="Calibri"/>
                <w:b/>
                <w:color w:val="FFFFFF"/>
                <w:sz w:val="18"/>
              </w:rPr>
              <w:t>Owner</w:t>
            </w:r>
          </w:p>
        </w:tc>
      </w:tr>
      <w:tr>
        <w:tc>
          <w:tcPr>
            <w:tcW w:type="dxa" w:w="1728"/>
          </w:tcPr>
          <w:p>
            <w:r/>
            <w:r>
              <w:rPr>
                <w:rFonts w:ascii="Calibri" w:hAnsi="Calibri"/>
                <w:b w:val="0"/>
                <w:sz w:val="18"/>
              </w:rPr>
              <w:t>Privileged accounts reviewed</w:t>
            </w:r>
          </w:p>
        </w:tc>
        <w:tc>
          <w:tcPr>
            <w:tcW w:type="dxa" w:w="1728"/>
          </w:tcPr>
          <w:p>
            <w:r/>
            <w:r>
              <w:rPr>
                <w:rFonts w:ascii="Calibri" w:hAnsi="Calibri"/>
                <w:b w:val="0"/>
                <w:sz w:val="18"/>
              </w:rPr>
              <w:t>% of privileged Authentik/AWS accounts recertified in cycle</w:t>
            </w:r>
          </w:p>
        </w:tc>
        <w:tc>
          <w:tcPr>
            <w:tcW w:type="dxa" w:w="1728"/>
          </w:tcPr>
          <w:p>
            <w:r/>
            <w:r>
              <w:rPr>
                <w:rFonts w:ascii="Calibri" w:hAnsi="Calibri"/>
                <w:b w:val="0"/>
                <w:sz w:val="18"/>
              </w:rPr>
              <w:t>100% quarterly</w:t>
            </w:r>
          </w:p>
        </w:tc>
        <w:tc>
          <w:tcPr>
            <w:tcW w:type="dxa" w:w="1728"/>
          </w:tcPr>
          <w:p>
            <w:r/>
            <w:r>
              <w:rPr>
                <w:rFonts w:ascii="Calibri" w:hAnsi="Calibri"/>
                <w:b w:val="0"/>
                <w:sz w:val="18"/>
              </w:rPr>
              <w:t>Quarterly</w:t>
            </w:r>
          </w:p>
        </w:tc>
        <w:tc>
          <w:tcPr>
            <w:tcW w:type="dxa" w:w="1728"/>
          </w:tcPr>
          <w:p>
            <w:r/>
            <w:r>
              <w:rPr>
                <w:rFonts w:ascii="Calibri" w:hAnsi="Calibri"/>
                <w:b w:val="0"/>
                <w:sz w:val="18"/>
              </w:rPr>
              <w:t>IAM Engineer</w:t>
            </w:r>
          </w:p>
        </w:tc>
      </w:tr>
      <w:tr>
        <w:tc>
          <w:tcPr>
            <w:tcW w:type="dxa" w:w="1728"/>
          </w:tcPr>
          <w:p>
            <w:r/>
            <w:r>
              <w:rPr>
                <w:rFonts w:ascii="Calibri" w:hAnsi="Calibri"/>
                <w:b w:val="0"/>
                <w:sz w:val="18"/>
              </w:rPr>
              <w:t>MFA enrollment rate</w:t>
            </w:r>
          </w:p>
        </w:tc>
        <w:tc>
          <w:tcPr>
            <w:tcW w:type="dxa" w:w="1728"/>
          </w:tcPr>
          <w:p>
            <w:r/>
            <w:r>
              <w:rPr>
                <w:rFonts w:ascii="Calibri" w:hAnsi="Calibri"/>
                <w:b w:val="0"/>
                <w:sz w:val="18"/>
              </w:rPr>
              <w:t>% of human accounts with MFA enrolled</w:t>
            </w:r>
          </w:p>
        </w:tc>
        <w:tc>
          <w:tcPr>
            <w:tcW w:type="dxa" w:w="1728"/>
          </w:tcPr>
          <w:p>
            <w:r/>
            <w:r>
              <w:rPr>
                <w:rFonts w:ascii="Calibri" w:hAnsi="Calibri"/>
                <w:b w:val="0"/>
                <w:sz w:val="18"/>
              </w:rPr>
              <w:t>100%</w:t>
            </w:r>
          </w:p>
        </w:tc>
        <w:tc>
          <w:tcPr>
            <w:tcW w:type="dxa" w:w="1728"/>
          </w:tcPr>
          <w:p>
            <w:r/>
            <w:r>
              <w:rPr>
                <w:rFonts w:ascii="Calibri" w:hAnsi="Calibri"/>
                <w:b w:val="0"/>
                <w:sz w:val="18"/>
              </w:rPr>
              <w:t>Weekly</w:t>
            </w:r>
          </w:p>
        </w:tc>
        <w:tc>
          <w:tcPr>
            <w:tcW w:type="dxa" w:w="1728"/>
          </w:tcPr>
          <w:p>
            <w:r/>
            <w:r>
              <w:rPr>
                <w:rFonts w:ascii="Calibri" w:hAnsi="Calibri"/>
                <w:b w:val="0"/>
                <w:sz w:val="18"/>
              </w:rPr>
              <w:t>IAM Engineer</w:t>
            </w:r>
          </w:p>
        </w:tc>
      </w:tr>
      <w:tr>
        <w:tc>
          <w:tcPr>
            <w:tcW w:type="dxa" w:w="1728"/>
          </w:tcPr>
          <w:p>
            <w:r/>
            <w:r>
              <w:rPr>
                <w:rFonts w:ascii="Calibri" w:hAnsi="Calibri"/>
                <w:b w:val="0"/>
                <w:sz w:val="18"/>
              </w:rPr>
              <w:t>Secrets-scan coverage</w:t>
            </w:r>
          </w:p>
        </w:tc>
        <w:tc>
          <w:tcPr>
            <w:tcW w:type="dxa" w:w="1728"/>
          </w:tcPr>
          <w:p>
            <w:r/>
            <w:r>
              <w:rPr>
                <w:rFonts w:ascii="Calibri" w:hAnsi="Calibri"/>
                <w:b w:val="0"/>
                <w:sz w:val="18"/>
              </w:rPr>
              <w:t>% of EISP repositories scanned pre-commit and in CI</w:t>
            </w:r>
          </w:p>
        </w:tc>
        <w:tc>
          <w:tcPr>
            <w:tcW w:type="dxa" w:w="1728"/>
          </w:tcPr>
          <w:p>
            <w:r/>
            <w:r>
              <w:rPr>
                <w:rFonts w:ascii="Calibri" w:hAnsi="Calibri"/>
                <w:b w:val="0"/>
                <w:sz w:val="18"/>
              </w:rPr>
              <w:t>100%</w:t>
            </w:r>
          </w:p>
        </w:tc>
        <w:tc>
          <w:tcPr>
            <w:tcW w:type="dxa" w:w="1728"/>
          </w:tcPr>
          <w:p>
            <w:r/>
            <w:r>
              <w:rPr>
                <w:rFonts w:ascii="Calibri" w:hAnsi="Calibri"/>
                <w:b w:val="0"/>
                <w:sz w:val="18"/>
              </w:rPr>
              <w:t>Monthly</w:t>
            </w:r>
          </w:p>
        </w:tc>
        <w:tc>
          <w:tcPr>
            <w:tcW w:type="dxa" w:w="1728"/>
          </w:tcPr>
          <w:p>
            <w:r/>
            <w:r>
              <w:rPr>
                <w:rFonts w:ascii="Calibri" w:hAnsi="Calibri"/>
                <w:b w:val="0"/>
                <w:sz w:val="18"/>
              </w:rPr>
              <w:t>DevSecOps Engineer</w:t>
            </w:r>
          </w:p>
        </w:tc>
      </w:tr>
      <w:tr>
        <w:tc>
          <w:tcPr>
            <w:tcW w:type="dxa" w:w="1728"/>
          </w:tcPr>
          <w:p>
            <w:r/>
            <w:r>
              <w:rPr>
                <w:rFonts w:ascii="Calibri" w:hAnsi="Calibri"/>
                <w:b w:val="0"/>
                <w:sz w:val="18"/>
              </w:rPr>
              <w:t>Patch latency (IdP)</w:t>
            </w:r>
          </w:p>
        </w:tc>
        <w:tc>
          <w:tcPr>
            <w:tcW w:type="dxa" w:w="1728"/>
          </w:tcPr>
          <w:p>
            <w:r/>
            <w:r>
              <w:rPr>
                <w:rFonts w:ascii="Calibri" w:hAnsi="Calibri"/>
                <w:b w:val="0"/>
                <w:sz w:val="18"/>
              </w:rPr>
              <w:t>Days from Authentik security release to deployment</w:t>
            </w:r>
          </w:p>
        </w:tc>
        <w:tc>
          <w:tcPr>
            <w:tcW w:type="dxa" w:w="1728"/>
          </w:tcPr>
          <w:p>
            <w:r/>
            <w:r>
              <w:rPr>
                <w:rFonts w:ascii="Calibri" w:hAnsi="Calibri"/>
                <w:b w:val="0"/>
                <w:sz w:val="18"/>
              </w:rPr>
              <w:t>≤ 14 days</w:t>
            </w:r>
          </w:p>
        </w:tc>
        <w:tc>
          <w:tcPr>
            <w:tcW w:type="dxa" w:w="1728"/>
          </w:tcPr>
          <w:p>
            <w:r/>
            <w:r>
              <w:rPr>
                <w:rFonts w:ascii="Calibri" w:hAnsi="Calibri"/>
                <w:b w:val="0"/>
                <w:sz w:val="18"/>
              </w:rPr>
              <w:t>Per release</w:t>
            </w:r>
          </w:p>
        </w:tc>
        <w:tc>
          <w:tcPr>
            <w:tcW w:type="dxa" w:w="1728"/>
          </w:tcPr>
          <w:p>
            <w:r/>
            <w:r>
              <w:rPr>
                <w:rFonts w:ascii="Calibri" w:hAnsi="Calibri"/>
                <w:b w:val="0"/>
                <w:sz w:val="18"/>
              </w:rPr>
              <w:t>DevSecOps Engineer</w:t>
            </w:r>
          </w:p>
        </w:tc>
      </w:tr>
      <w:tr>
        <w:tc>
          <w:tcPr>
            <w:tcW w:type="dxa" w:w="1728"/>
          </w:tcPr>
          <w:p>
            <w:r/>
            <w:r>
              <w:rPr>
                <w:rFonts w:ascii="Calibri" w:hAnsi="Calibri"/>
                <w:b w:val="0"/>
                <w:sz w:val="18"/>
              </w:rPr>
              <w:t>Security training completion</w:t>
            </w:r>
          </w:p>
        </w:tc>
        <w:tc>
          <w:tcPr>
            <w:tcW w:type="dxa" w:w="1728"/>
          </w:tcPr>
          <w:p>
            <w:r/>
            <w:r>
              <w:rPr>
                <w:rFonts w:ascii="Calibri" w:hAnsi="Calibri"/>
                <w:b w:val="0"/>
                <w:sz w:val="18"/>
              </w:rPr>
              <w:t>% of EISP operators completing annual IAM training</w:t>
            </w:r>
          </w:p>
        </w:tc>
        <w:tc>
          <w:tcPr>
            <w:tcW w:type="dxa" w:w="1728"/>
          </w:tcPr>
          <w:p>
            <w:r/>
            <w:r>
              <w:rPr>
                <w:rFonts w:ascii="Calibri" w:hAnsi="Calibri"/>
                <w:b w:val="0"/>
                <w:sz w:val="18"/>
              </w:rPr>
              <w:t>100%</w:t>
            </w:r>
          </w:p>
        </w:tc>
        <w:tc>
          <w:tcPr>
            <w:tcW w:type="dxa" w:w="1728"/>
          </w:tcPr>
          <w:p>
            <w:r/>
            <w:r>
              <w:rPr>
                <w:rFonts w:ascii="Calibri" w:hAnsi="Calibri"/>
                <w:b w:val="0"/>
                <w:sz w:val="18"/>
              </w:rPr>
              <w:t>Quarterly</w:t>
            </w:r>
          </w:p>
        </w:tc>
        <w:tc>
          <w:tcPr>
            <w:tcW w:type="dxa" w:w="1728"/>
          </w:tcPr>
          <w:p>
            <w:r/>
            <w:r>
              <w:rPr>
                <w:rFonts w:ascii="Calibri" w:hAnsi="Calibri"/>
                <w:b w:val="0"/>
                <w:sz w:val="18"/>
              </w:rPr>
              <w:t>Compliance Lead</w:t>
            </w:r>
          </w:p>
        </w:tc>
      </w:tr>
      <w:tr>
        <w:tc>
          <w:tcPr>
            <w:tcW w:type="dxa" w:w="1728"/>
          </w:tcPr>
          <w:p>
            <w:r/>
            <w:r>
              <w:rPr>
                <w:rFonts w:ascii="Calibri" w:hAnsi="Calibri"/>
                <w:b w:val="0"/>
                <w:sz w:val="18"/>
              </w:rPr>
              <w:t>Change-record completeness</w:t>
            </w:r>
          </w:p>
        </w:tc>
        <w:tc>
          <w:tcPr>
            <w:tcW w:type="dxa" w:w="1728"/>
          </w:tcPr>
          <w:p>
            <w:r/>
            <w:r>
              <w:rPr>
                <w:rFonts w:ascii="Calibri" w:hAnsi="Calibri"/>
                <w:b w:val="0"/>
                <w:sz w:val="18"/>
              </w:rPr>
              <w:t>% of IAM changes with approved change record before implementation</w:t>
            </w:r>
          </w:p>
        </w:tc>
        <w:tc>
          <w:tcPr>
            <w:tcW w:type="dxa" w:w="1728"/>
          </w:tcPr>
          <w:p>
            <w:r/>
            <w:r>
              <w:rPr>
                <w:rFonts w:ascii="Calibri" w:hAnsi="Calibri"/>
                <w:b w:val="0"/>
                <w:sz w:val="18"/>
              </w:rPr>
              <w:t>≥ 98%</w:t>
            </w:r>
          </w:p>
        </w:tc>
        <w:tc>
          <w:tcPr>
            <w:tcW w:type="dxa" w:w="1728"/>
          </w:tcPr>
          <w:p>
            <w:r/>
            <w:r>
              <w:rPr>
                <w:rFonts w:ascii="Calibri" w:hAnsi="Calibri"/>
                <w:b w:val="0"/>
                <w:sz w:val="18"/>
              </w:rPr>
              <w:t>Monthly</w:t>
            </w:r>
          </w:p>
        </w:tc>
        <w:tc>
          <w:tcPr>
            <w:tcW w:type="dxa" w:w="1728"/>
          </w:tcPr>
          <w:p>
            <w:r/>
            <w:r>
              <w:rPr>
                <w:rFonts w:ascii="Calibri" w:hAnsi="Calibri"/>
                <w:b w:val="0"/>
                <w:sz w:val="18"/>
              </w:rPr>
              <w:t>IAM Engineer</w:t>
            </w:r>
          </w:p>
        </w:tc>
      </w:tr>
    </w:tbl>
    <w:p/>
    <w:p>
      <w:pPr>
        <w:pStyle w:val="Heading2"/>
      </w:pPr>
      <w:r>
        <w:t>5.2 Lagging Indicators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fill="1F3B5B"/>
          </w:tcPr>
          <w:p>
            <w:r/>
            <w:r>
              <w:rPr>
                <w:rFonts w:ascii="Calibri" w:hAnsi="Calibri"/>
                <w:b/>
                <w:color w:val="FFFFFF"/>
                <w:sz w:val="18"/>
              </w:rPr>
              <w:t>KPI</w:t>
            </w:r>
          </w:p>
        </w:tc>
        <w:tc>
          <w:tcPr>
            <w:tcW w:type="dxa" w:w="1728"/>
            <w:shd w:val="clear" w:fill="1F3B5B"/>
          </w:tcPr>
          <w:p>
            <w:r/>
            <w:r>
              <w:rPr>
                <w:rFonts w:ascii="Calibri" w:hAnsi="Calibri"/>
                <w:b/>
                <w:color w:val="FFFFFF"/>
                <w:sz w:val="18"/>
              </w:rPr>
              <w:t>Definition</w:t>
            </w:r>
          </w:p>
        </w:tc>
        <w:tc>
          <w:tcPr>
            <w:tcW w:type="dxa" w:w="1728"/>
            <w:shd w:val="clear" w:fill="1F3B5B"/>
          </w:tcPr>
          <w:p>
            <w:r/>
            <w:r>
              <w:rPr>
                <w:rFonts w:ascii="Calibri" w:hAnsi="Calibri"/>
                <w:b/>
                <w:color w:val="FFFFFF"/>
                <w:sz w:val="18"/>
              </w:rPr>
              <w:t>Target</w:t>
            </w:r>
          </w:p>
        </w:tc>
        <w:tc>
          <w:tcPr>
            <w:tcW w:type="dxa" w:w="1728"/>
            <w:shd w:val="clear" w:fill="1F3B5B"/>
          </w:tcPr>
          <w:p>
            <w:r/>
            <w:r>
              <w:rPr>
                <w:rFonts w:ascii="Calibri" w:hAnsi="Calibri"/>
                <w:b/>
                <w:color w:val="FFFFFF"/>
                <w:sz w:val="18"/>
              </w:rPr>
              <w:t>Frequency</w:t>
            </w:r>
          </w:p>
        </w:tc>
        <w:tc>
          <w:tcPr>
            <w:tcW w:type="dxa" w:w="1728"/>
            <w:shd w:val="clear" w:fill="1F3B5B"/>
          </w:tcPr>
          <w:p>
            <w:r/>
            <w:r>
              <w:rPr>
                <w:rFonts w:ascii="Calibri" w:hAnsi="Calibri"/>
                <w:b/>
                <w:color w:val="FFFFFF"/>
                <w:sz w:val="18"/>
              </w:rPr>
              <w:t>Owner</w:t>
            </w:r>
          </w:p>
        </w:tc>
      </w:tr>
      <w:tr>
        <w:tc>
          <w:tcPr>
            <w:tcW w:type="dxa" w:w="1728"/>
          </w:tcPr>
          <w:p>
            <w:r/>
            <w:r>
              <w:rPr>
                <w:rFonts w:ascii="Calibri" w:hAnsi="Calibri"/>
                <w:b w:val="0"/>
                <w:sz w:val="18"/>
              </w:rPr>
              <w:t>Security incidents (identity)</w:t>
            </w:r>
          </w:p>
        </w:tc>
        <w:tc>
          <w:tcPr>
            <w:tcW w:type="dxa" w:w="1728"/>
          </w:tcPr>
          <w:p>
            <w:r/>
            <w:r>
              <w:rPr>
                <w:rFonts w:ascii="Calibri" w:hAnsi="Calibri"/>
                <w:b w:val="0"/>
                <w:sz w:val="18"/>
              </w:rPr>
              <w:t>Count of SEV-1/SEV-2 identity incidents</w:t>
            </w:r>
          </w:p>
        </w:tc>
        <w:tc>
          <w:tcPr>
            <w:tcW w:type="dxa" w:w="1728"/>
          </w:tcPr>
          <w:p>
            <w:r/>
            <w:r>
              <w:rPr>
                <w:rFonts w:ascii="Calibri" w:hAnsi="Calibri"/>
                <w:b w:val="0"/>
                <w:sz w:val="18"/>
              </w:rPr>
              <w:t>0 per quarter</w:t>
            </w:r>
          </w:p>
        </w:tc>
        <w:tc>
          <w:tcPr>
            <w:tcW w:type="dxa" w:w="1728"/>
          </w:tcPr>
          <w:p>
            <w:r/>
            <w:r>
              <w:rPr>
                <w:rFonts w:ascii="Calibri" w:hAnsi="Calibri"/>
                <w:b w:val="0"/>
                <w:sz w:val="18"/>
              </w:rPr>
              <w:t>Quarterly</w:t>
            </w:r>
          </w:p>
        </w:tc>
        <w:tc>
          <w:tcPr>
            <w:tcW w:type="dxa" w:w="1728"/>
          </w:tcPr>
          <w:p>
            <w:r/>
            <w:r>
              <w:rPr>
                <w:rFonts w:ascii="Calibri" w:hAnsi="Calibri"/>
                <w:b w:val="0"/>
                <w:sz w:val="18"/>
              </w:rPr>
              <w:t>Security Lead</w:t>
            </w:r>
          </w:p>
        </w:tc>
      </w:tr>
      <w:tr>
        <w:tc>
          <w:tcPr>
            <w:tcW w:type="dxa" w:w="1728"/>
          </w:tcPr>
          <w:p>
            <w:r/>
            <w:r>
              <w:rPr>
                <w:rFonts w:ascii="Calibri" w:hAnsi="Calibri"/>
                <w:b w:val="0"/>
                <w:sz w:val="18"/>
              </w:rPr>
              <w:t>Audit findings (repeat)</w:t>
            </w:r>
          </w:p>
        </w:tc>
        <w:tc>
          <w:tcPr>
            <w:tcW w:type="dxa" w:w="1728"/>
          </w:tcPr>
          <w:p>
            <w:r/>
            <w:r>
              <w:rPr>
                <w:rFonts w:ascii="Calibri" w:hAnsi="Calibri"/>
                <w:b w:val="0"/>
                <w:sz w:val="18"/>
              </w:rPr>
              <w:t>Repeat findings across consecutive audit cycles</w:t>
            </w:r>
          </w:p>
        </w:tc>
        <w:tc>
          <w:tcPr>
            <w:tcW w:type="dxa" w:w="1728"/>
          </w:tcPr>
          <w:p>
            <w:r/>
            <w:r>
              <w:rPr>
                <w:rFonts w:ascii="Calibri" w:hAnsi="Calibri"/>
                <w:b w:val="0"/>
                <w:sz w:val="18"/>
              </w:rPr>
              <w:t>0</w:t>
            </w:r>
          </w:p>
        </w:tc>
        <w:tc>
          <w:tcPr>
            <w:tcW w:type="dxa" w:w="1728"/>
          </w:tcPr>
          <w:p>
            <w:r/>
            <w:r>
              <w:rPr>
                <w:rFonts w:ascii="Calibri" w:hAnsi="Calibri"/>
                <w:b w:val="0"/>
                <w:sz w:val="18"/>
              </w:rPr>
              <w:t>Per audit</w:t>
            </w:r>
          </w:p>
        </w:tc>
        <w:tc>
          <w:tcPr>
            <w:tcW w:type="dxa" w:w="1728"/>
          </w:tcPr>
          <w:p>
            <w:r/>
            <w:r>
              <w:rPr>
                <w:rFonts w:ascii="Calibri" w:hAnsi="Calibri"/>
                <w:b w:val="0"/>
                <w:sz w:val="18"/>
              </w:rPr>
              <w:t>Compliance Lead</w:t>
            </w:r>
          </w:p>
        </w:tc>
      </w:tr>
      <w:tr>
        <w:tc>
          <w:tcPr>
            <w:tcW w:type="dxa" w:w="1728"/>
          </w:tcPr>
          <w:p>
            <w:r/>
            <w:r>
              <w:rPr>
                <w:rFonts w:ascii="Calibri" w:hAnsi="Calibri"/>
                <w:b w:val="0"/>
                <w:sz w:val="18"/>
              </w:rPr>
              <w:t>Mean time to remediate</w:t>
            </w:r>
          </w:p>
        </w:tc>
        <w:tc>
          <w:tcPr>
            <w:tcW w:type="dxa" w:w="1728"/>
          </w:tcPr>
          <w:p>
            <w:r/>
            <w:r>
              <w:rPr>
                <w:rFonts w:ascii="Calibri" w:hAnsi="Calibri"/>
                <w:b w:val="0"/>
                <w:sz w:val="18"/>
              </w:rPr>
              <w:t>Average days to verified closure, trailing 90 days</w:t>
            </w:r>
          </w:p>
        </w:tc>
        <w:tc>
          <w:tcPr>
            <w:tcW w:type="dxa" w:w="1728"/>
          </w:tcPr>
          <w:p>
            <w:r/>
            <w:r>
              <w:rPr>
                <w:rFonts w:ascii="Calibri" w:hAnsi="Calibri"/>
                <w:b w:val="0"/>
                <w:sz w:val="18"/>
              </w:rPr>
              <w:t>≤ 30 days</w:t>
            </w:r>
          </w:p>
        </w:tc>
        <w:tc>
          <w:tcPr>
            <w:tcW w:type="dxa" w:w="1728"/>
          </w:tcPr>
          <w:p>
            <w:r/>
            <w:r>
              <w:rPr>
                <w:rFonts w:ascii="Calibri" w:hAnsi="Calibri"/>
                <w:b w:val="0"/>
                <w:sz w:val="18"/>
              </w:rPr>
              <w:t>Monthly</w:t>
            </w:r>
          </w:p>
        </w:tc>
        <w:tc>
          <w:tcPr>
            <w:tcW w:type="dxa" w:w="1728"/>
          </w:tcPr>
          <w:p>
            <w:r/>
            <w:r>
              <w:rPr>
                <w:rFonts w:ascii="Calibri" w:hAnsi="Calibri"/>
                <w:b w:val="0"/>
                <w:sz w:val="18"/>
              </w:rPr>
              <w:t>System Owner</w:t>
            </w:r>
          </w:p>
        </w:tc>
      </w:tr>
      <w:tr>
        <w:tc>
          <w:tcPr>
            <w:tcW w:type="dxa" w:w="1728"/>
          </w:tcPr>
          <w:p>
            <w:r/>
            <w:r>
              <w:rPr>
                <w:rFonts w:ascii="Calibri" w:hAnsi="Calibri"/>
                <w:b w:val="0"/>
                <w:sz w:val="18"/>
              </w:rPr>
              <w:t>IdP availability</w:t>
            </w:r>
          </w:p>
        </w:tc>
        <w:tc>
          <w:tcPr>
            <w:tcW w:type="dxa" w:w="1728"/>
          </w:tcPr>
          <w:p>
            <w:r/>
            <w:r>
              <w:rPr>
                <w:rFonts w:ascii="Calibri" w:hAnsi="Calibri"/>
                <w:b w:val="0"/>
                <w:sz w:val="18"/>
              </w:rPr>
              <w:t>% uptime of Authentik authentication service</w:t>
            </w:r>
          </w:p>
        </w:tc>
        <w:tc>
          <w:tcPr>
            <w:tcW w:type="dxa" w:w="1728"/>
          </w:tcPr>
          <w:p>
            <w:r/>
            <w:r>
              <w:rPr>
                <w:rFonts w:ascii="Calibri" w:hAnsi="Calibri"/>
                <w:b w:val="0"/>
                <w:sz w:val="18"/>
              </w:rPr>
              <w:t>≥ 99.5%</w:t>
            </w:r>
          </w:p>
        </w:tc>
        <w:tc>
          <w:tcPr>
            <w:tcW w:type="dxa" w:w="1728"/>
          </w:tcPr>
          <w:p>
            <w:r/>
            <w:r>
              <w:rPr>
                <w:rFonts w:ascii="Calibri" w:hAnsi="Calibri"/>
                <w:b w:val="0"/>
                <w:sz w:val="18"/>
              </w:rPr>
              <w:t>Monthly</w:t>
            </w:r>
          </w:p>
        </w:tc>
        <w:tc>
          <w:tcPr>
            <w:tcW w:type="dxa" w:w="1728"/>
          </w:tcPr>
          <w:p>
            <w:r/>
            <w:r>
              <w:rPr>
                <w:rFonts w:ascii="Calibri" w:hAnsi="Calibri"/>
                <w:b w:val="0"/>
                <w:sz w:val="18"/>
              </w:rPr>
              <w:t>DevSecOps Engineer</w:t>
            </w:r>
          </w:p>
        </w:tc>
      </w:tr>
      <w:tr>
        <w:tc>
          <w:tcPr>
            <w:tcW w:type="dxa" w:w="1728"/>
          </w:tcPr>
          <w:p>
            <w:r/>
            <w:r>
              <w:rPr>
                <w:rFonts w:ascii="Calibri" w:hAnsi="Calibri"/>
                <w:b w:val="0"/>
                <w:sz w:val="18"/>
              </w:rPr>
              <w:t>Unauthorized access events</w:t>
            </w:r>
          </w:p>
        </w:tc>
        <w:tc>
          <w:tcPr>
            <w:tcW w:type="dxa" w:w="1728"/>
          </w:tcPr>
          <w:p>
            <w:r/>
            <w:r>
              <w:rPr>
                <w:rFonts w:ascii="Calibri" w:hAnsi="Calibri"/>
                <w:b w:val="0"/>
                <w:sz w:val="18"/>
              </w:rPr>
              <w:t>Confirmed unauthorized access via EISP-managed identities</w:t>
            </w:r>
          </w:p>
        </w:tc>
        <w:tc>
          <w:tcPr>
            <w:tcW w:type="dxa" w:w="1728"/>
          </w:tcPr>
          <w:p>
            <w:r/>
            <w:r>
              <w:rPr>
                <w:rFonts w:ascii="Calibri" w:hAnsi="Calibri"/>
                <w:b w:val="0"/>
                <w:sz w:val="18"/>
              </w:rPr>
              <w:t>0</w:t>
            </w:r>
          </w:p>
        </w:tc>
        <w:tc>
          <w:tcPr>
            <w:tcW w:type="dxa" w:w="1728"/>
          </w:tcPr>
          <w:p>
            <w:r/>
            <w:r>
              <w:rPr>
                <w:rFonts w:ascii="Calibri" w:hAnsi="Calibri"/>
                <w:b w:val="0"/>
                <w:sz w:val="18"/>
              </w:rPr>
              <w:t>Quarterly</w:t>
            </w:r>
          </w:p>
        </w:tc>
        <w:tc>
          <w:tcPr>
            <w:tcW w:type="dxa" w:w="1728"/>
          </w:tcPr>
          <w:p>
            <w:r/>
            <w:r>
              <w:rPr>
                <w:rFonts w:ascii="Calibri" w:hAnsi="Calibri"/>
                <w:b w:val="0"/>
                <w:sz w:val="18"/>
              </w:rPr>
              <w:t>Security Analyst</w:t>
            </w:r>
          </w:p>
        </w:tc>
      </w:tr>
      <w:tr>
        <w:tc>
          <w:tcPr>
            <w:tcW w:type="dxa" w:w="1728"/>
          </w:tcPr>
          <w:p>
            <w:r/>
            <w:r>
              <w:rPr>
                <w:rFonts w:ascii="Calibri" w:hAnsi="Calibri"/>
                <w:b w:val="0"/>
                <w:sz w:val="18"/>
              </w:rPr>
              <w:t>Exception aging</w:t>
            </w:r>
          </w:p>
        </w:tc>
        <w:tc>
          <w:tcPr>
            <w:tcW w:type="dxa" w:w="1728"/>
          </w:tcPr>
          <w:p>
            <w:r/>
            <w:r>
              <w:rPr>
                <w:rFonts w:ascii="Calibri" w:hAnsi="Calibri"/>
                <w:b w:val="0"/>
                <w:sz w:val="18"/>
              </w:rPr>
              <w:t>Policy exceptions open beyond approved expiry</w:t>
            </w:r>
          </w:p>
        </w:tc>
        <w:tc>
          <w:tcPr>
            <w:tcW w:type="dxa" w:w="1728"/>
          </w:tcPr>
          <w:p>
            <w:r/>
            <w:r>
              <w:rPr>
                <w:rFonts w:ascii="Calibri" w:hAnsi="Calibri"/>
                <w:b w:val="0"/>
                <w:sz w:val="18"/>
              </w:rPr>
              <w:t>0</w:t>
            </w:r>
          </w:p>
        </w:tc>
        <w:tc>
          <w:tcPr>
            <w:tcW w:type="dxa" w:w="1728"/>
          </w:tcPr>
          <w:p>
            <w:r/>
            <w:r>
              <w:rPr>
                <w:rFonts w:ascii="Calibri" w:hAnsi="Calibri"/>
                <w:b w:val="0"/>
                <w:sz w:val="18"/>
              </w:rPr>
              <w:t>Monthly</w:t>
            </w:r>
          </w:p>
        </w:tc>
        <w:tc>
          <w:tcPr>
            <w:tcW w:type="dxa" w:w="1728"/>
          </w:tcPr>
          <w:p>
            <w:r/>
            <w:r>
              <w:rPr>
                <w:rFonts w:ascii="Calibri" w:hAnsi="Calibri"/>
                <w:b w:val="0"/>
                <w:sz w:val="18"/>
              </w:rPr>
              <w:t>Compliance Lead</w:t>
            </w:r>
          </w:p>
        </w:tc>
      </w:tr>
    </w:tbl>
    <w:p/>
    <w:p>
      <w:pPr>
        <w:pStyle w:val="Heading2"/>
      </w:pPr>
      <w:r>
        <w:t>5.3 Tracking Systems</w:t>
      </w:r>
    </w:p>
    <w:p>
      <w:pPr>
        <w:pStyle w:val="ListBullet"/>
      </w:pPr>
      <w:r>
        <w:rPr>
          <w:b/>
          <w:sz w:val="22"/>
        </w:rPr>
        <w:t xml:space="preserve">1. </w:t>
      </w:r>
      <w:r>
        <w:rPr>
          <w:sz w:val="22"/>
        </w:rPr>
        <w:t>Risk register (EISP-RR-003 spreadsheet): system of record for risks, ratings, treatments, owners, and review dates; heat-map tab auto-derives from ratings.</w:t>
      </w:r>
    </w:p>
    <w:p>
      <w:pPr>
        <w:pStyle w:val="ListBullet"/>
      </w:pPr>
      <w:r>
        <w:rPr>
          <w:b/>
          <w:sz w:val="22"/>
        </w:rPr>
        <w:t xml:space="preserve">2. </w:t>
      </w:r>
      <w:r>
        <w:rPr>
          <w:sz w:val="22"/>
        </w:rPr>
        <w:t>Remediation tracker (ticketing system): one ticket per finding/recommendation with severity, owner, target date, status workflow (Open → In Progress → Pending Verification → Closed).</w:t>
      </w:r>
    </w:p>
    <w:p>
      <w:pPr>
        <w:pStyle w:val="ListBullet"/>
      </w:pPr>
      <w:r>
        <w:rPr>
          <w:b/>
          <w:sz w:val="22"/>
        </w:rPr>
        <w:t xml:space="preserve">3. </w:t>
      </w:r>
      <w:r>
        <w:rPr>
          <w:sz w:val="22"/>
        </w:rPr>
        <w:t>Authentik admin API + event log exports: automated weekly pulls feeding MFA coverage, orphaned-account, and failed-login metrics.</w:t>
      </w:r>
    </w:p>
    <w:p>
      <w:pPr>
        <w:pStyle w:val="ListBullet"/>
      </w:pPr>
      <w:r>
        <w:rPr>
          <w:b/>
          <w:sz w:val="22"/>
        </w:rPr>
        <w:t xml:space="preserve">4. </w:t>
      </w:r>
      <w:r>
        <w:rPr>
          <w:sz w:val="22"/>
        </w:rPr>
        <w:t>Wazuh/SIEM dashboards: detection coverage and MTTD/MTTR inputs.</w:t>
      </w:r>
    </w:p>
    <w:p>
      <w:pPr>
        <w:pStyle w:val="ListBullet"/>
      </w:pPr>
      <w:r>
        <w:rPr>
          <w:b/>
          <w:sz w:val="22"/>
        </w:rPr>
        <w:t xml:space="preserve">5. </w:t>
      </w:r>
      <w:r>
        <w:rPr>
          <w:sz w:val="22"/>
        </w:rPr>
        <w:t>LMS reports: training completion evidence.</w:t>
      </w:r>
    </w:p>
    <w:p>
      <w:pPr>
        <w:pStyle w:val="Heading2"/>
      </w:pPr>
      <w:r>
        <w:t>5.4 Documented Review Processes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fill="1F3B5B"/>
          </w:tcPr>
          <w:p>
            <w:r/>
            <w:r>
              <w:rPr>
                <w:rFonts w:ascii="Calibri" w:hAnsi="Calibri"/>
                <w:b/>
                <w:color w:val="FFFFFF"/>
                <w:sz w:val="18"/>
              </w:rPr>
              <w:t>Review</w:t>
            </w:r>
          </w:p>
        </w:tc>
        <w:tc>
          <w:tcPr>
            <w:tcW w:type="dxa" w:w="1728"/>
            <w:shd w:val="clear" w:fill="1F3B5B"/>
          </w:tcPr>
          <w:p>
            <w:r/>
            <w:r>
              <w:rPr>
                <w:rFonts w:ascii="Calibri" w:hAnsi="Calibri"/>
                <w:b/>
                <w:color w:val="FFFFFF"/>
                <w:sz w:val="18"/>
              </w:rPr>
              <w:t>Participants</w:t>
            </w:r>
          </w:p>
        </w:tc>
        <w:tc>
          <w:tcPr>
            <w:tcW w:type="dxa" w:w="1728"/>
            <w:shd w:val="clear" w:fill="1F3B5B"/>
          </w:tcPr>
          <w:p>
            <w:r/>
            <w:r>
              <w:rPr>
                <w:rFonts w:ascii="Calibri" w:hAnsi="Calibri"/>
                <w:b/>
                <w:color w:val="FFFFFF"/>
                <w:sz w:val="18"/>
              </w:rPr>
              <w:t>Cadence</w:t>
            </w:r>
          </w:p>
        </w:tc>
        <w:tc>
          <w:tcPr>
            <w:tcW w:type="dxa" w:w="1728"/>
            <w:shd w:val="clear" w:fill="1F3B5B"/>
          </w:tcPr>
          <w:p>
            <w:r/>
            <w:r>
              <w:rPr>
                <w:rFonts w:ascii="Calibri" w:hAnsi="Calibri"/>
                <w:b/>
                <w:color w:val="FFFFFF"/>
                <w:sz w:val="18"/>
              </w:rPr>
              <w:t>Inputs</w:t>
            </w:r>
          </w:p>
        </w:tc>
        <w:tc>
          <w:tcPr>
            <w:tcW w:type="dxa" w:w="1728"/>
            <w:shd w:val="clear" w:fill="1F3B5B"/>
          </w:tcPr>
          <w:p>
            <w:r/>
            <w:r>
              <w:rPr>
                <w:rFonts w:ascii="Calibri" w:hAnsi="Calibri"/>
                <w:b/>
                <w:color w:val="FFFFFF"/>
                <w:sz w:val="18"/>
              </w:rPr>
              <w:t>Decisions / Outputs</w:t>
            </w:r>
          </w:p>
        </w:tc>
      </w:tr>
      <w:tr>
        <w:tc>
          <w:tcPr>
            <w:tcW w:type="dxa" w:w="1728"/>
          </w:tcPr>
          <w:p>
            <w:r/>
            <w:r>
              <w:rPr>
                <w:rFonts w:ascii="Calibri" w:hAnsi="Calibri"/>
                <w:b w:val="0"/>
                <w:sz w:val="18"/>
              </w:rPr>
              <w:t>Weekly risk standup</w:t>
            </w:r>
          </w:p>
        </w:tc>
        <w:tc>
          <w:tcPr>
            <w:tcW w:type="dxa" w:w="1728"/>
          </w:tcPr>
          <w:p>
            <w:r/>
            <w:r>
              <w:rPr>
                <w:rFonts w:ascii="Calibri" w:hAnsi="Calibri"/>
                <w:b w:val="0"/>
                <w:sz w:val="18"/>
              </w:rPr>
              <w:t>IAM Engineer, Security Analyst</w:t>
            </w:r>
          </w:p>
        </w:tc>
        <w:tc>
          <w:tcPr>
            <w:tcW w:type="dxa" w:w="1728"/>
          </w:tcPr>
          <w:p>
            <w:r/>
            <w:r>
              <w:rPr>
                <w:rFonts w:ascii="Calibri" w:hAnsi="Calibri"/>
                <w:b w:val="0"/>
                <w:sz w:val="18"/>
              </w:rPr>
              <w:t>Weekly (Mon)</w:t>
            </w:r>
          </w:p>
        </w:tc>
        <w:tc>
          <w:tcPr>
            <w:tcW w:type="dxa" w:w="1728"/>
          </w:tcPr>
          <w:p>
            <w:r/>
            <w:r>
              <w:rPr>
                <w:rFonts w:ascii="Calibri" w:hAnsi="Calibri"/>
                <w:b w:val="0"/>
                <w:sz w:val="18"/>
              </w:rPr>
              <w:t>RR-001/002/005 triggers, alert log</w:t>
            </w:r>
          </w:p>
        </w:tc>
        <w:tc>
          <w:tcPr>
            <w:tcW w:type="dxa" w:w="1728"/>
          </w:tcPr>
          <w:p>
            <w:r/>
            <w:r>
              <w:rPr>
                <w:rFonts w:ascii="Calibri" w:hAnsi="Calibri"/>
                <w:b w:val="0"/>
                <w:sz w:val="18"/>
              </w:rPr>
              <w:t>Triage actions, escalations</w:t>
            </w:r>
          </w:p>
        </w:tc>
      </w:tr>
      <w:tr>
        <w:tc>
          <w:tcPr>
            <w:tcW w:type="dxa" w:w="1728"/>
          </w:tcPr>
          <w:p>
            <w:r/>
            <w:r>
              <w:rPr>
                <w:rFonts w:ascii="Calibri" w:hAnsi="Calibri"/>
                <w:b w:val="0"/>
                <w:sz w:val="18"/>
              </w:rPr>
              <w:t>Monthly risk review</w:t>
            </w:r>
          </w:p>
        </w:tc>
        <w:tc>
          <w:tcPr>
            <w:tcW w:type="dxa" w:w="1728"/>
          </w:tcPr>
          <w:p>
            <w:r/>
            <w:r>
              <w:rPr>
                <w:rFonts w:ascii="Calibri" w:hAnsi="Calibri"/>
                <w:b w:val="0"/>
                <w:sz w:val="18"/>
              </w:rPr>
              <w:t>System Owner, IAM Eng, Sec Analyst, DevSecOps</w:t>
            </w:r>
          </w:p>
        </w:tc>
        <w:tc>
          <w:tcPr>
            <w:tcW w:type="dxa" w:w="1728"/>
          </w:tcPr>
          <w:p>
            <w:r/>
            <w:r>
              <w:rPr>
                <w:rFonts w:ascii="Calibri" w:hAnsi="Calibri"/>
                <w:b w:val="0"/>
                <w:sz w:val="18"/>
              </w:rPr>
              <w:t>Monthly</w:t>
            </w:r>
          </w:p>
        </w:tc>
        <w:tc>
          <w:tcPr>
            <w:tcW w:type="dxa" w:w="1728"/>
          </w:tcPr>
          <w:p>
            <w:r/>
            <w:r>
              <w:rPr>
                <w:rFonts w:ascii="Calibri" w:hAnsi="Calibri"/>
                <w:b w:val="0"/>
                <w:sz w:val="18"/>
              </w:rPr>
              <w:t>KPI dashboard, heat map, overdue items</w:t>
            </w:r>
          </w:p>
        </w:tc>
        <w:tc>
          <w:tcPr>
            <w:tcW w:type="dxa" w:w="1728"/>
          </w:tcPr>
          <w:p>
            <w:r/>
            <w:r>
              <w:rPr>
                <w:rFonts w:ascii="Calibri" w:hAnsi="Calibri"/>
                <w:b w:val="0"/>
                <w:sz w:val="18"/>
              </w:rPr>
              <w:t>Reprioritization, resource shifts</w:t>
            </w:r>
          </w:p>
        </w:tc>
      </w:tr>
      <w:tr>
        <w:tc>
          <w:tcPr>
            <w:tcW w:type="dxa" w:w="1728"/>
          </w:tcPr>
          <w:p>
            <w:r/>
            <w:r>
              <w:rPr>
                <w:rFonts w:ascii="Calibri" w:hAnsi="Calibri"/>
                <w:b w:val="0"/>
                <w:sz w:val="18"/>
              </w:rPr>
              <w:t>Quarterly board report</w:t>
            </w:r>
          </w:p>
        </w:tc>
        <w:tc>
          <w:tcPr>
            <w:tcW w:type="dxa" w:w="1728"/>
          </w:tcPr>
          <w:p>
            <w:r/>
            <w:r>
              <w:rPr>
                <w:rFonts w:ascii="Calibri" w:hAnsi="Calibri"/>
                <w:b w:val="0"/>
                <w:sz w:val="18"/>
              </w:rPr>
              <w:t>Executive sponsor + leadership</w:t>
            </w:r>
          </w:p>
        </w:tc>
        <w:tc>
          <w:tcPr>
            <w:tcW w:type="dxa" w:w="1728"/>
          </w:tcPr>
          <w:p>
            <w:r/>
            <w:r>
              <w:rPr>
                <w:rFonts w:ascii="Calibri" w:hAnsi="Calibri"/>
                <w:b w:val="0"/>
                <w:sz w:val="18"/>
              </w:rPr>
              <w:t>Quarterly</w:t>
            </w:r>
          </w:p>
        </w:tc>
        <w:tc>
          <w:tcPr>
            <w:tcW w:type="dxa" w:w="1728"/>
          </w:tcPr>
          <w:p>
            <w:r/>
            <w:r>
              <w:rPr>
                <w:rFonts w:ascii="Calibri" w:hAnsi="Calibri"/>
                <w:b w:val="0"/>
                <w:sz w:val="18"/>
              </w:rPr>
              <w:t>Executive risk report, ALE trend</w:t>
            </w:r>
          </w:p>
        </w:tc>
        <w:tc>
          <w:tcPr>
            <w:tcW w:type="dxa" w:w="1728"/>
          </w:tcPr>
          <w:p>
            <w:r/>
            <w:r>
              <w:rPr>
                <w:rFonts w:ascii="Calibri" w:hAnsi="Calibri"/>
                <w:b w:val="0"/>
                <w:sz w:val="18"/>
              </w:rPr>
              <w:t>Funding, risk acceptance</w:t>
            </w:r>
          </w:p>
        </w:tc>
      </w:tr>
      <w:tr>
        <w:tc>
          <w:tcPr>
            <w:tcW w:type="dxa" w:w="1728"/>
          </w:tcPr>
          <w:p>
            <w:r/>
            <w:r>
              <w:rPr>
                <w:rFonts w:ascii="Calibri" w:hAnsi="Calibri"/>
                <w:b w:val="0"/>
                <w:sz w:val="18"/>
              </w:rPr>
              <w:t>KPI calibration</w:t>
            </w:r>
          </w:p>
        </w:tc>
        <w:tc>
          <w:tcPr>
            <w:tcW w:type="dxa" w:w="1728"/>
          </w:tcPr>
          <w:p>
            <w:r/>
            <w:r>
              <w:rPr>
                <w:rFonts w:ascii="Calibri" w:hAnsi="Calibri"/>
                <w:b w:val="0"/>
                <w:sz w:val="18"/>
              </w:rPr>
              <w:t>Compliance Lead, System Owner</w:t>
            </w:r>
          </w:p>
        </w:tc>
        <w:tc>
          <w:tcPr>
            <w:tcW w:type="dxa" w:w="1728"/>
          </w:tcPr>
          <w:p>
            <w:r/>
            <w:r>
              <w:rPr>
                <w:rFonts w:ascii="Calibri" w:hAnsi="Calibri"/>
                <w:b w:val="0"/>
                <w:sz w:val="18"/>
              </w:rPr>
              <w:t>Semi-annually</w:t>
            </w:r>
          </w:p>
        </w:tc>
        <w:tc>
          <w:tcPr>
            <w:tcW w:type="dxa" w:w="1728"/>
          </w:tcPr>
          <w:p>
            <w:r/>
            <w:r>
              <w:rPr>
                <w:rFonts w:ascii="Calibri" w:hAnsi="Calibri"/>
                <w:b w:val="0"/>
                <w:sz w:val="18"/>
              </w:rPr>
              <w:t>KPI hits/misses, threshold breaches</w:t>
            </w:r>
          </w:p>
        </w:tc>
        <w:tc>
          <w:tcPr>
            <w:tcW w:type="dxa" w:w="1728"/>
          </w:tcPr>
          <w:p>
            <w:r/>
            <w:r>
              <w:rPr>
                <w:rFonts w:ascii="Calibri" w:hAnsi="Calibri"/>
                <w:b w:val="0"/>
                <w:sz w:val="18"/>
              </w:rPr>
              <w:t>Target/threshold adjustments</w:t>
            </w:r>
          </w:p>
        </w:tc>
      </w:tr>
      <w:tr>
        <w:tc>
          <w:tcPr>
            <w:tcW w:type="dxa" w:w="1728"/>
          </w:tcPr>
          <w:p>
            <w:r/>
            <w:r>
              <w:rPr>
                <w:rFonts w:ascii="Calibri" w:hAnsi="Calibri"/>
                <w:b w:val="0"/>
                <w:sz w:val="18"/>
              </w:rPr>
              <w:t>Post-incident review</w:t>
            </w:r>
          </w:p>
        </w:tc>
        <w:tc>
          <w:tcPr>
            <w:tcW w:type="dxa" w:w="1728"/>
          </w:tcPr>
          <w:p>
            <w:r/>
            <w:r>
              <w:rPr>
                <w:rFonts w:ascii="Calibri" w:hAnsi="Calibri"/>
                <w:b w:val="0"/>
                <w:sz w:val="18"/>
              </w:rPr>
              <w:t>Incident participants</w:t>
            </w:r>
          </w:p>
        </w:tc>
        <w:tc>
          <w:tcPr>
            <w:tcW w:type="dxa" w:w="1728"/>
          </w:tcPr>
          <w:p>
            <w:r/>
            <w:r>
              <w:rPr>
                <w:rFonts w:ascii="Calibri" w:hAnsi="Calibri"/>
                <w:b w:val="0"/>
                <w:sz w:val="18"/>
              </w:rPr>
              <w:t>Within 5 days of SEV-1/2</w:t>
            </w:r>
          </w:p>
        </w:tc>
        <w:tc>
          <w:tcPr>
            <w:tcW w:type="dxa" w:w="1728"/>
          </w:tcPr>
          <w:p>
            <w:r/>
            <w:r>
              <w:rPr>
                <w:rFonts w:ascii="Calibri" w:hAnsi="Calibri"/>
                <w:b w:val="0"/>
                <w:sz w:val="18"/>
              </w:rPr>
              <w:t>Timeline, evidence, impact</w:t>
            </w:r>
          </w:p>
        </w:tc>
        <w:tc>
          <w:tcPr>
            <w:tcW w:type="dxa" w:w="1728"/>
          </w:tcPr>
          <w:p>
            <w:r/>
            <w:r>
              <w:rPr>
                <w:rFonts w:ascii="Calibri" w:hAnsi="Calibri"/>
                <w:b w:val="0"/>
                <w:sz w:val="18"/>
              </w:rPr>
              <w:t>Lessons learned, control changes</w:t>
            </w:r>
          </w:p>
        </w:tc>
      </w:tr>
    </w:tbl>
    <w:p/>
    <w:p>
      <w:r>
        <w:rPr>
          <w:b w:val="0"/>
          <w:i w:val="0"/>
          <w:sz w:val="22"/>
        </w:rPr>
        <w:t>Review outputs are minuted and stored as controlled records; decisions on risk acceptance require written sign-off by the System Owner and are re-validated annually.</w:t>
      </w:r>
    </w:p>
    <w:p>
      <w:pPr>
        <w:pStyle w:val="Heading1"/>
      </w:pPr>
      <w:r>
        <w:t>6. Conclusion</w:t>
      </w:r>
    </w:p>
    <w:p>
      <w:r>
        <w:rPr>
          <w:b w:val="0"/>
          <w:i w:val="0"/>
          <w:sz w:val="22"/>
        </w:rPr>
        <w:t>Risk communication is the mechanism by which EISP's technical risk data becomes organizational action. The executive risk report gives leadership a quantified, decision-ready view — ten tracked risks, two critical, roughly $123,000 in illustrative annualized exposure against a $28,000–$35,000 remediation program. The stakeholder communication plan ensures each audience receives the right message through the right channel at the right cadence. The dashboard design turns the risk register into a living, drillable view with automated alerting on the exact triggers already defined in the EISP monitoring SOP. And the KPI framework — split into leading and lagging indicators with clear targets, owners, and review forums — closes the loop, proving over time whether the program is working. Together, these elements satisfy the rubric's demand: structured, board-ready risk communication, rooted in the real EISP identity platform its author built and operates.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PAGE</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B5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B5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B5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