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8B4513"/>
          <w:sz w:val="48"/>
          <w:szCs w:val="48"/>
        </w:rPr>
        <w:t xml:space="preserve">ENTERPRISE IDENTITY SECURITY PLATFORM</w:t>
      </w:r>
    </w:p>
    <w:p>
      <w:pPr>
        <w:spacing w:after="200" w:before="0"/>
        <w:jc w:val="center"/>
      </w:pPr>
      <w:r>
        <w:rPr>
          <w:rFonts w:ascii="Arial" w:cs="Arial" w:eastAsia="Arial" w:hAnsi="Arial"/>
          <w:b/>
          <w:bCs/>
          <w:color w:val="8B4513"/>
          <w:sz w:val="36"/>
          <w:szCs w:val="36"/>
        </w:rPr>
        <w:t xml:space="preserve">Risk Management Strategies Report</w:t>
      </w:r>
    </w:p>
    <w:p>
      <w:pPr>
        <w:pBdr>
          <w:bottom w:val="single" w:color="8B4513" w:sz="8" w:space="1"/>
        </w:pBdr>
        <w:spacing w:after="400" w:before="0"/>
        <w:jc w:val="center"/>
      </w:pPr>
      <w:r>
        <w:rPr>
          <w:rFonts w:ascii="Arial" w:cs="Arial" w:eastAsia="Arial" w:hAnsi="Arial"/>
          <w:color w:val="404040"/>
          <w:sz w:val="28"/>
          <w:szCs w:val="28"/>
        </w:rPr>
        <w:t xml:space="preserve">Rubric 4: Develop and Apply Risk Management Strategies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B4513" w:sz="1"/>
              <w:left w:val="single" w:color="8B4513" w:sz="1"/>
              <w:bottom w:val="single" w:color="8B4513" w:sz="1"/>
              <w:right w:val="single" w:color="8B4513" w:sz="1"/>
            </w:tcBorders>
            <w:shd w:fill="8B4513" w:val="clear"/>
            <w:tcMar>
              <w:top w:type="dxa" w:w="100"/>
              <w:left w:type="dxa" w:w="150"/>
              <w:bottom w:type="dxa" w:w="100"/>
              <w:right w:type="dxa" w:w="150"/>
            </w:tcMar>
          </w:tcPr>
          <w:p>
            <w:r>
              <w:rPr>
                <w:rFonts w:ascii="Arial" w:cs="Arial" w:eastAsia="Arial" w:hAnsi="Arial"/>
                <w:b/>
                <w:bCs/>
                <w:color w:val="FFFFFF"/>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Risk Management Strategies Report</w:t>
            </w:r>
          </w:p>
        </w:tc>
      </w:tr>
      <w:tr>
        <w:tc>
          <w:tcPr>
            <w:tcW w:type="dxa" w:w="3000"/>
            <w:tcBorders>
              <w:top w:val="single" w:color="8B4513" w:sz="1"/>
              <w:left w:val="single" w:color="8B4513" w:sz="1"/>
              <w:bottom w:val="single" w:color="8B4513" w:sz="1"/>
              <w:right w:val="single" w:color="8B4513" w:sz="1"/>
            </w:tcBorders>
            <w:shd w:fill="8B4513" w:val="clear"/>
            <w:tcMar>
              <w:top w:type="dxa" w:w="100"/>
              <w:left w:type="dxa" w:w="150"/>
              <w:bottom w:type="dxa" w:w="100"/>
              <w:right w:type="dxa" w:w="150"/>
            </w:tcMar>
          </w:tcPr>
          <w:p>
            <w:r>
              <w:rPr>
                <w:rFonts w:ascii="Arial" w:cs="Arial" w:eastAsia="Arial" w:hAnsi="Arial"/>
                <w:b/>
                <w:bCs/>
                <w:color w:val="FFFFFF"/>
                <w:sz w:val="22"/>
                <w:szCs w:val="22"/>
              </w:rPr>
              <w:t xml:space="preserve">Prepared By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Manisha Gupta</w:t>
            </w:r>
          </w:p>
        </w:tc>
      </w:tr>
      <w:tr>
        <w:tc>
          <w:tcPr>
            <w:tcW w:type="dxa" w:w="3000"/>
            <w:tcBorders>
              <w:top w:val="single" w:color="8B4513" w:sz="1"/>
              <w:left w:val="single" w:color="8B4513" w:sz="1"/>
              <w:bottom w:val="single" w:color="8B4513" w:sz="1"/>
              <w:right w:val="single" w:color="8B4513" w:sz="1"/>
            </w:tcBorders>
            <w:shd w:fill="8B4513"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Enterprise Identity Security Platform (EISP)</w:t>
            </w:r>
          </w:p>
        </w:tc>
      </w:tr>
      <w:tr>
        <w:tc>
          <w:tcPr>
            <w:tcW w:type="dxa" w:w="3000"/>
            <w:tcBorders>
              <w:top w:val="single" w:color="8B4513" w:sz="1"/>
              <w:left w:val="single" w:color="8B4513" w:sz="1"/>
              <w:bottom w:val="single" w:color="8B4513" w:sz="1"/>
              <w:right w:val="single" w:color="8B4513" w:sz="1"/>
            </w:tcBorders>
            <w:shd w:fill="8B4513"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April 21, 2026</w:t>
            </w:r>
          </w:p>
        </w:tc>
      </w:tr>
      <w:tr>
        <w:tc>
          <w:tcPr>
            <w:tcW w:type="dxa" w:w="3000"/>
            <w:tcBorders>
              <w:top w:val="single" w:color="8B4513" w:sz="1"/>
              <w:left w:val="single" w:color="8B4513" w:sz="1"/>
              <w:bottom w:val="single" w:color="8B4513" w:sz="1"/>
              <w:right w:val="single" w:color="8B4513" w:sz="1"/>
            </w:tcBorders>
            <w:shd w:fill="8B4513"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0000"/>
                <w:sz w:val="22"/>
                <w:szCs w:val="22"/>
              </w:rPr>
              <w:t xml:space="preserve">Confidential - Internal Use Only</w:t>
            </w:r>
          </w:p>
        </w:tc>
      </w:tr>
      <w:tr>
        <w:tc>
          <w:tcPr>
            <w:tcW w:type="dxa" w:w="3000"/>
            <w:tcBorders>
              <w:top w:val="single" w:color="8B4513" w:sz="1"/>
              <w:left w:val="single" w:color="8B4513" w:sz="1"/>
              <w:bottom w:val="single" w:color="8B4513" w:sz="1"/>
              <w:right w:val="single" w:color="8B4513" w:sz="1"/>
            </w:tcBorders>
            <w:shd w:fill="8B4513" w:val="clear"/>
            <w:tcMar>
              <w:top w:type="dxa" w:w="100"/>
              <w:left w:type="dxa" w:w="150"/>
              <w:bottom w:type="dxa" w:w="100"/>
              <w:right w:type="dxa" w:w="150"/>
            </w:tcMar>
          </w:tcPr>
          <w:p>
            <w:r>
              <w:rPr>
                <w:rFonts w:ascii="Arial" w:cs="Arial" w:eastAsia="Arial" w:hAnsi="Arial"/>
                <w:b/>
                <w:bCs/>
                <w:color w:val="FFFFFF"/>
                <w:sz w:val="22"/>
                <w:szCs w:val="22"/>
              </w:rPr>
              <w:t xml:space="preserve">Document ID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EISP-RM-004</w:t>
            </w:r>
          </w:p>
        </w:tc>
      </w:tr>
    </w:tbl>
    <w:p>
      <w:pPr>
        <w:spacing w:after="80" w:before="80"/>
      </w:pPr>
      <w:r>
        <w:t xml:space="preserve"/>
      </w:r>
    </w:p>
    <w:p>
      <w:r>
        <w:br w:type="page"/>
      </w:r>
    </w:p>
    <w:p>
      <w:pPr>
        <w:pStyle w:val="Heading1"/>
        <w:pBdr>
          <w:bottom w:val="single" w:color="8B4513" w:sz="6" w:space="1"/>
        </w:pBdr>
        <w:spacing w:after="180" w:before="360"/>
      </w:pPr>
      <w:r>
        <w:rPr>
          <w:rFonts w:ascii="Arial" w:cs="Arial" w:eastAsia="Arial" w:hAnsi="Arial"/>
          <w:b/>
          <w:bCs/>
          <w:color w:val="8B4513"/>
          <w:sz w:val="32"/>
          <w:szCs w:val="32"/>
        </w:rPr>
        <w:t xml:space="preserve">1. Executive Summary</w:t>
      </w:r>
    </w:p>
    <w:p>
      <w:pPr>
        <w:spacing w:after="100" w:before="60"/>
      </w:pPr>
      <w:r>
        <w:rPr>
          <w:rFonts w:ascii="Arial" w:cs="Arial" w:eastAsia="Arial" w:hAnsi="Arial"/>
          <w:sz w:val="22"/>
          <w:szCs w:val="22"/>
        </w:rPr>
        <w:t xml:space="preserve">This Risk Management Report documents the identification, assessment, and treatment of risks derived from the EISP vulnerability assessment findings (EISP-VA-002) and cyber threat analysis (EISP-CTA-001). The report applies NIST SP 800-30 risk management methodology to identify two critical risks, develop treatment recommendations with mitigation steps, and establish a risk monitoring procedure for ongoing risk tracking.</w:t>
      </w:r>
    </w:p>
    <w:p>
      <w:pPr>
        <w:spacing w:after="100" w:before="60"/>
      </w:pPr>
      <w:r>
        <w:rPr>
          <w:rFonts w:ascii="Arial" w:cs="Arial" w:eastAsia="Arial" w:hAnsi="Arial"/>
          <w:sz w:val="22"/>
          <w:szCs w:val="22"/>
        </w:rPr>
        <w:t xml:space="preserve">Risk management is a continuous process — this document represents the initial risk assessment cycle for the EISP project. Risks will be re-evaluated following implementation of recommended controls and on a quarterly basis thereafter, as specified in the risk monitoring procedure.</w:t>
      </w:r>
    </w:p>
    <w:p>
      <w:pPr>
        <w:spacing w:after="80" w:before="80"/>
      </w:pPr>
      <w:r>
        <w:t xml:space="preserve"/>
      </w:r>
    </w:p>
    <w:p>
      <w:pPr>
        <w:pStyle w:val="Heading1"/>
        <w:pBdr>
          <w:bottom w:val="single" w:color="8B4513" w:sz="6" w:space="1"/>
        </w:pBdr>
        <w:spacing w:after="180" w:before="360"/>
      </w:pPr>
      <w:r>
        <w:rPr>
          <w:rFonts w:ascii="Arial" w:cs="Arial" w:eastAsia="Arial" w:hAnsi="Arial"/>
          <w:b/>
          <w:bCs/>
          <w:color w:val="8B4513"/>
          <w:sz w:val="32"/>
          <w:szCs w:val="32"/>
        </w:rPr>
        <w:t xml:space="preserve">2. Risk Management Framework</w:t>
      </w:r>
    </w:p>
    <w:p>
      <w:pPr>
        <w:pStyle w:val="Heading2"/>
        <w:spacing w:after="120" w:before="240"/>
      </w:pPr>
      <w:r>
        <w:rPr>
          <w:rFonts w:ascii="Arial" w:cs="Arial" w:eastAsia="Arial" w:hAnsi="Arial"/>
          <w:b/>
          <w:bCs/>
          <w:color w:val="8B4513"/>
          <w:sz w:val="26"/>
          <w:szCs w:val="26"/>
        </w:rPr>
        <w:t xml:space="preserve">2.1 Methodology — NIST SP 800-30</w:t>
      </w:r>
    </w:p>
    <w:p>
      <w:pPr>
        <w:spacing w:after="100" w:before="60"/>
      </w:pPr>
      <w:r>
        <w:rPr>
          <w:rFonts w:ascii="Arial" w:cs="Arial" w:eastAsia="Arial" w:hAnsi="Arial"/>
          <w:sz w:val="22"/>
          <w:szCs w:val="22"/>
        </w:rPr>
        <w:t xml:space="preserve">This assessment uses the NIST SP 800-30 Rev 1 (Guide for Conducting Risk Assessments) framework, which defines a three-step process: Prepare for Assessment, Conduct Assessment, Communicate Results. Risk is calculated as a function of Likelihood and Impact.</w:t>
      </w:r>
    </w:p>
    <w:p>
      <w:pPr>
        <w:spacing w:after="100" w:before="60"/>
      </w:pPr>
      <w:r>
        <w:rPr>
          <w:rFonts w:ascii="Arial" w:cs="Arial" w:eastAsia="Arial" w:hAnsi="Arial"/>
          <w:sz w:val="22"/>
          <w:szCs w:val="22"/>
        </w:rPr>
        <w:t xml:space="preserve">Risk Score = Likelihood x Impact | Risk Matrix: 5x5 scale (1=Very Low, 5=Very High) | Risk Rating: 1-6 = Low, 7-12 = Medium, 13-19 = High, 20-25 = Critical</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2.2 Risk Sources</w:t>
      </w:r>
    </w:p>
    <w:p>
      <w:pPr>
        <w:pStyle w:val="ListParagraph"/>
        <w:numPr>
          <w:ilvl w:val="0"/>
          <w:numId w:val="2"/>
        </w:numPr>
        <w:spacing w:after="40" w:before="40"/>
      </w:pPr>
      <w:r>
        <w:rPr>
          <w:rFonts w:ascii="Arial" w:cs="Arial" w:eastAsia="Arial" w:hAnsi="Arial"/>
          <w:sz w:val="22"/>
          <w:szCs w:val="22"/>
        </w:rPr>
        <w:t xml:space="preserve">EISP-VA-002 Vulnerability Assessment: Network scan of 10.11.2.0/24 — unidentified assets, unassessed Cisco devices, mDNS exposure</w:t>
      </w:r>
    </w:p>
    <w:p>
      <w:pPr>
        <w:pStyle w:val="ListParagraph"/>
        <w:numPr>
          <w:ilvl w:val="0"/>
          <w:numId w:val="2"/>
        </w:numPr>
        <w:spacing w:after="40" w:before="40"/>
      </w:pPr>
      <w:r>
        <w:rPr>
          <w:rFonts w:ascii="Arial" w:cs="Arial" w:eastAsia="Arial" w:hAnsi="Arial"/>
          <w:sz w:val="22"/>
          <w:szCs w:val="22"/>
        </w:rPr>
        <w:t xml:space="preserve">EISP-CTA-001 Malware Analysis: NOTEPAD.EXE Trojan — credential stealer with C2 communication, persistence, and process injection capabilities</w:t>
      </w:r>
    </w:p>
    <w:p>
      <w:pPr>
        <w:pStyle w:val="ListParagraph"/>
        <w:numPr>
          <w:ilvl w:val="0"/>
          <w:numId w:val="2"/>
        </w:numPr>
        <w:spacing w:after="40" w:before="40"/>
      </w:pPr>
      <w:r>
        <w:rPr>
          <w:rFonts w:ascii="Arial" w:cs="Arial" w:eastAsia="Arial" w:hAnsi="Arial"/>
          <w:sz w:val="22"/>
          <w:szCs w:val="22"/>
        </w:rPr>
        <w:t xml:space="preserve">EISP-CTA-001 APT Mapping: APT29 techniques applicable to identity infrastructure — Golden SAML, OAuth token theft, supply chain compromise</w:t>
      </w:r>
    </w:p>
    <w:p>
      <w:pPr>
        <w:pStyle w:val="ListParagraph"/>
        <w:numPr>
          <w:ilvl w:val="0"/>
          <w:numId w:val="2"/>
        </w:numPr>
        <w:spacing w:after="40" w:before="40"/>
      </w:pPr>
      <w:r>
        <w:rPr>
          <w:rFonts w:ascii="Arial" w:cs="Arial" w:eastAsia="Arial" w:hAnsi="Arial"/>
          <w:sz w:val="22"/>
          <w:szCs w:val="22"/>
        </w:rPr>
        <w:t xml:space="preserve">EISP Architecture: Okta IdP, authentik, AWS IAM, HashiCorp Vault, Wazuh SIEM — all represent potential attack surfaces</w:t>
      </w:r>
    </w:p>
    <w:p>
      <w:pPr>
        <w:spacing w:after="80" w:before="80"/>
      </w:pPr>
      <w:r>
        <w:t xml:space="preserve"/>
      </w:r>
    </w:p>
    <w:p>
      <w:pPr>
        <w:pStyle w:val="Heading1"/>
        <w:pBdr>
          <w:bottom w:val="single" w:color="8B4513" w:sz="6" w:space="1"/>
        </w:pBdr>
        <w:spacing w:after="180" w:before="360"/>
      </w:pPr>
      <w:r>
        <w:rPr>
          <w:rFonts w:ascii="Arial" w:cs="Arial" w:eastAsia="Arial" w:hAnsi="Arial"/>
          <w:b/>
          <w:bCs/>
          <w:color w:val="8B4513"/>
          <w:sz w:val="32"/>
          <w:szCs w:val="32"/>
        </w:rPr>
        <w:t xml:space="preserve">3. Critical Risk #1: Credential Theft via Trojan/Malware</w:t>
      </w:r>
    </w:p>
    <w:p>
      <w:pPr>
        <w:pStyle w:val="Heading3"/>
        <w:spacing w:after="80" w:before="180"/>
      </w:pPr>
      <w:r>
        <w:rPr>
          <w:rFonts w:ascii="Arial" w:cs="Arial" w:eastAsia="Arial" w:hAnsi="Arial"/>
          <w:b/>
          <w:bCs/>
          <w:color w:val="404040"/>
          <w:sz w:val="24"/>
          <w:szCs w:val="24"/>
        </w:rPr>
        <w:t xml:space="preserve">Risk Statement:</w:t>
      </w:r>
    </w:p>
    <w:p>
      <w:pPr>
        <w:spacing w:after="100" w:before="60"/>
      </w:pPr>
      <w:r>
        <w:rPr>
          <w:rFonts w:ascii="Arial" w:cs="Arial" w:eastAsia="Arial" w:hAnsi="Arial"/>
          <w:sz w:val="22"/>
          <w:szCs w:val="22"/>
        </w:rPr>
        <w:t xml:space="preserve">A credential-stealing Trojan (NOTEPAD.EXE, AgentB family) executed on an enterprise endpoint could exfiltrate Okta, Azure AD, or other identity platform credentials stored in the browser or memory, enabling unauthorized access to EISP-protected applications and identity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Risk Property</w:t>
            </w:r>
          </w:p>
        </w:tc>
        <w:tc>
          <w:tcPr>
            <w:tcW w:type="dxa" w:w="696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Risk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EISP-RISK-001</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Risk Category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Technical — Malware / Credential Theft</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Asset Affected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Identity Platform Credentials (Okta, Azure AD, HashiCorp Vault)</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Threat Source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External Threat Actor (Financially or Nation-State motivated)</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Threat Event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Trojan execution leading to credential exfiltration</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Vulnerability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Lack of application whitelisting; users can execute arbitrary binaries</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Likelihood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4 — HIGH (Commodity malware, widely distributed, low barriers to execution)</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5 — VERY HIGH (Full identity platform compromise enables lateral movement to ALL applications)</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Risk Score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20 — CRITICAL (4 x 5)</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Current Controls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Antivirus (partial — 26/71 detection rate); User training (if any)</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Control Gap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application whitelisting; No MFA on all apps; No EDR behavioral detection</w:t>
            </w:r>
          </w:p>
        </w:tc>
      </w:tr>
    </w:tbl>
    <w:p>
      <w:pPr>
        <w:spacing w:after="80" w:before="80"/>
      </w:pPr>
      <w:r>
        <w:t xml:space="preserve"/>
      </w:r>
    </w:p>
    <w:p>
      <w:pPr>
        <w:pStyle w:val="Heading2"/>
        <w:spacing w:after="120" w:before="240"/>
      </w:pPr>
      <w:r>
        <w:rPr>
          <w:rFonts w:ascii="Arial" w:cs="Arial" w:eastAsia="Arial" w:hAnsi="Arial"/>
          <w:b/>
          <w:bCs/>
          <w:color w:val="8B4513"/>
          <w:sz w:val="26"/>
          <w:szCs w:val="26"/>
        </w:rPr>
        <w:t xml:space="preserve">3.1 Detailed Risk Explanation</w:t>
      </w:r>
    </w:p>
    <w:p>
      <w:pPr>
        <w:spacing w:after="100" w:before="60"/>
      </w:pPr>
      <w:r>
        <w:rPr>
          <w:rFonts w:ascii="Arial" w:cs="Arial" w:eastAsia="Arial" w:hAnsi="Arial"/>
          <w:sz w:val="22"/>
          <w:szCs w:val="22"/>
        </w:rPr>
        <w:t xml:space="preserve">The NOTEPAD.EXE Trojan analyzed in EISP-CTA-001 represents a concrete, real-world instantiation of this risk. The malware was flagged with a 'FileRepMalware [Pws]' classification by multiple vendors — confirming credential-stealing (Password Stealer) functionality. With 26/71 detection rate, approximately 45 AV engines would miss this file, meaning organizations relying solely on signature-based AV would not detect it.</w:t>
      </w:r>
    </w:p>
    <w:p>
      <w:pPr>
        <w:spacing w:after="100" w:before="60"/>
      </w:pPr>
      <w:r>
        <w:rPr>
          <w:rFonts w:ascii="Arial" w:cs="Arial" w:eastAsia="Arial" w:hAnsi="Arial"/>
          <w:sz w:val="22"/>
          <w:szCs w:val="22"/>
        </w:rPr>
        <w:t xml:space="preserve">The malware contacts Telegram-based C2 infrastructure (t.me/gerj_threuh) and newly-registered domains (seall-vernous.com), exfiltrating captured credentials to attacker infrastructure. For EISP, the specific threat is: if a user with Okta administrator or developer access executes this file on their workstation, their Okta session tokens, saved browser passwords for Okta, and any credentials in memory (LSASS) would be available to the attacker.</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3.2 Treatment Recommendation: MITIGATE</w:t>
      </w:r>
    </w:p>
    <w:p>
      <w:pPr>
        <w:pStyle w:val="ListParagraph"/>
        <w:numPr>
          <w:ilvl w:val="0"/>
          <w:numId w:val="3"/>
        </w:numPr>
        <w:spacing w:after="40" w:before="40"/>
      </w:pPr>
      <w:r>
        <w:rPr>
          <w:rFonts w:ascii="Arial" w:cs="Arial" w:eastAsia="Arial" w:hAnsi="Arial"/>
          <w:sz w:val="22"/>
          <w:szCs w:val="22"/>
        </w:rPr>
        <w:t xml:space="preserve">Implement Multi-Factor Authentication (MFA) on ALL applications: Even if credentials are stolen, TOTP/WebAuthn/FIDO2 second factors prevent account compromise. Deploy Okta Verify or hardware keys (YubiKey) for all EISP administrators.</w:t>
      </w:r>
    </w:p>
    <w:p>
      <w:pPr>
        <w:pStyle w:val="ListParagraph"/>
        <w:numPr>
          <w:ilvl w:val="0"/>
          <w:numId w:val="3"/>
        </w:numPr>
        <w:spacing w:after="40" w:before="40"/>
      </w:pPr>
      <w:r>
        <w:rPr>
          <w:rFonts w:ascii="Arial" w:cs="Arial" w:eastAsia="Arial" w:hAnsi="Arial"/>
          <w:sz w:val="22"/>
          <w:szCs w:val="22"/>
        </w:rPr>
        <w:t xml:space="preserve">Deploy Endpoint Detection &amp; Response (EDR): Replace signature-only AV with behavioral EDR (CrowdStrike, SentinelOne, or open-source Wazuh agent with Sysmon). EDR detects T1555 credential access and T1055 process injection regardless of hash signatures.</w:t>
      </w:r>
    </w:p>
    <w:p>
      <w:pPr>
        <w:pStyle w:val="ListParagraph"/>
        <w:numPr>
          <w:ilvl w:val="0"/>
          <w:numId w:val="3"/>
        </w:numPr>
        <w:spacing w:after="40" w:before="40"/>
      </w:pPr>
      <w:r>
        <w:rPr>
          <w:rFonts w:ascii="Arial" w:cs="Arial" w:eastAsia="Arial" w:hAnsi="Arial"/>
          <w:sz w:val="22"/>
          <w:szCs w:val="22"/>
        </w:rPr>
        <w:t xml:space="preserve">Application Whitelisting: Implement AppLocker or WDAC (Windows Defender Application Control) to prevent execution of unauthorized binaries. NOTEPAD.EXE from a non-standard path (C:UsersTemp) would be blocked.</w:t>
      </w:r>
    </w:p>
    <w:p>
      <w:pPr>
        <w:pStyle w:val="ListParagraph"/>
        <w:numPr>
          <w:ilvl w:val="0"/>
          <w:numId w:val="3"/>
        </w:numPr>
        <w:spacing w:after="40" w:before="40"/>
      </w:pPr>
      <w:r>
        <w:rPr>
          <w:rFonts w:ascii="Arial" w:cs="Arial" w:eastAsia="Arial" w:hAnsi="Arial"/>
          <w:sz w:val="22"/>
          <w:szCs w:val="22"/>
        </w:rPr>
        <w:t xml:space="preserve">Browser Credential Store Hardening: Disable browser password saving on managed endpoints; use a password manager with vault encryption. Prevent credential access from T1555.003 (Credentials from Web Browsers).</w:t>
      </w:r>
    </w:p>
    <w:p>
      <w:pPr>
        <w:pStyle w:val="ListParagraph"/>
        <w:numPr>
          <w:ilvl w:val="0"/>
          <w:numId w:val="3"/>
        </w:numPr>
        <w:spacing w:after="40" w:before="40"/>
      </w:pPr>
      <w:r>
        <w:rPr>
          <w:rFonts w:ascii="Arial" w:cs="Arial" w:eastAsia="Arial" w:hAnsi="Arial"/>
          <w:sz w:val="22"/>
          <w:szCs w:val="22"/>
        </w:rPr>
        <w:t xml:space="preserve">Okta Session Policies: Configure Okta to require re-authentication after 1 hour; bind sessions to IP address; require MFA step-up for sensitive operations (admin access, configuration changes).</w:t>
      </w:r>
    </w:p>
    <w:p>
      <w:pPr>
        <w:pStyle w:val="ListParagraph"/>
        <w:numPr>
          <w:ilvl w:val="0"/>
          <w:numId w:val="3"/>
        </w:numPr>
        <w:spacing w:after="40" w:before="40"/>
      </w:pPr>
      <w:r>
        <w:rPr>
          <w:rFonts w:ascii="Arial" w:cs="Arial" w:eastAsia="Arial" w:hAnsi="Arial"/>
          <w:sz w:val="22"/>
          <w:szCs w:val="22"/>
        </w:rPr>
        <w:t xml:space="preserve">Privileged Access Workstations (PAWs): Require all EISP administrative tasks to be performed from dedicated, hardened workstations that are isolated from internet browsing and email — eliminating the malware delivery vector.</w:t>
      </w:r>
    </w:p>
    <w:p>
      <w:pPr>
        <w:spacing w:after="80" w:before="80"/>
      </w:pPr>
      <w:r>
        <w:t xml:space="preserve"/>
      </w:r>
    </w:p>
    <w:p>
      <w:pPr>
        <w:pStyle w:val="Heading1"/>
        <w:pBdr>
          <w:bottom w:val="single" w:color="8B4513" w:sz="6" w:space="1"/>
        </w:pBdr>
        <w:spacing w:after="180" w:before="360"/>
      </w:pPr>
      <w:r>
        <w:rPr>
          <w:rFonts w:ascii="Arial" w:cs="Arial" w:eastAsia="Arial" w:hAnsi="Arial"/>
          <w:b/>
          <w:bCs/>
          <w:color w:val="8B4513"/>
          <w:sz w:val="32"/>
          <w:szCs w:val="32"/>
        </w:rPr>
        <w:t xml:space="preserve">4. Critical Risk #2: Unauthorized Network Access via Unidentified Assets</w:t>
      </w:r>
    </w:p>
    <w:p>
      <w:pPr>
        <w:pStyle w:val="Heading3"/>
        <w:spacing w:after="80" w:before="180"/>
      </w:pPr>
      <w:r>
        <w:rPr>
          <w:rFonts w:ascii="Arial" w:cs="Arial" w:eastAsia="Arial" w:hAnsi="Arial"/>
          <w:b/>
          <w:bCs/>
          <w:color w:val="404040"/>
          <w:sz w:val="24"/>
          <w:szCs w:val="24"/>
        </w:rPr>
        <w:t xml:space="preserve">Risk Statement:</w:t>
      </w:r>
    </w:p>
    <w:p>
      <w:pPr>
        <w:spacing w:after="100" w:before="60"/>
      </w:pPr>
      <w:r>
        <w:rPr>
          <w:rFonts w:ascii="Arial" w:cs="Arial" w:eastAsia="Arial" w:hAnsi="Arial"/>
          <w:sz w:val="22"/>
          <w:szCs w:val="22"/>
        </w:rPr>
        <w:t xml:space="preserve">Unidentified and unassessed hosts on the EISP network segment (10.11.2.0/24) with unknown configurations, operating systems, and services represent potential pivot points for attackers who gain initial access to any device on the segment, enabling lateral movement to identity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Risk Property</w:t>
            </w:r>
          </w:p>
        </w:tc>
        <w:tc>
          <w:tcPr>
            <w:tcW w:type="dxa" w:w="696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Risk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EISP-RISK-002</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Risk Category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Technical — Network Security / Asset Visibility</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Asset Affected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Network Segment (10.11.2.0/24) and EISP Servers</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Threat Source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Internal Attacker / Compromised Device on Same Segment</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Threat Event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Lateral movement from compromised device to identity infrastructure</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Vulnerability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7 unidentified hosts; 2 Cisco devices without config assessment; no VLAN segmentation confirmed</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Likelihood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3 — MEDIUM (Requires initial compromise of a device on the segment — possible)</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5 — VERY HIGH (Lateral movement to Okta server, LDAP, Vault = complete identity platform breach)</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Risk Score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15 — HIGH (3 x 5)</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Current Controls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Physical access controls (lab environment); Basic network isolation</w:t>
            </w:r>
          </w:p>
        </w:tc>
      </w:tr>
      <w:tr>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bCs/>
                <w:color w:val="000000"/>
                <w:sz w:val="19"/>
                <w:szCs w:val="19"/>
              </w:rPr>
              <w:t xml:space="preserve">Control Gap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micro-segmentation; No VLAN isolation; No network-based IDS/IPS on segment</w:t>
            </w:r>
          </w:p>
        </w:tc>
      </w:tr>
    </w:tbl>
    <w:p>
      <w:pPr>
        <w:spacing w:after="80" w:before="80"/>
      </w:pPr>
      <w:r>
        <w:t xml:space="preserve"/>
      </w:r>
    </w:p>
    <w:p>
      <w:pPr>
        <w:pStyle w:val="Heading2"/>
        <w:spacing w:after="120" w:before="240"/>
      </w:pPr>
      <w:r>
        <w:rPr>
          <w:rFonts w:ascii="Arial" w:cs="Arial" w:eastAsia="Arial" w:hAnsi="Arial"/>
          <w:b/>
          <w:bCs/>
          <w:color w:val="8B4513"/>
          <w:sz w:val="26"/>
          <w:szCs w:val="26"/>
        </w:rPr>
        <w:t xml:space="preserve">4.1 Detailed Risk Explanation</w:t>
      </w:r>
    </w:p>
    <w:p>
      <w:pPr>
        <w:spacing w:after="100" w:before="60"/>
      </w:pPr>
      <w:r>
        <w:rPr>
          <w:rFonts w:ascii="Arial" w:cs="Arial" w:eastAsia="Arial" w:hAnsi="Arial"/>
          <w:sz w:val="22"/>
          <w:szCs w:val="22"/>
        </w:rPr>
        <w:t xml:space="preserve">The vulnerability scan (EISP-VA-002) identified 9 active hosts on the 10.11.2.0/24 network segment, including 7 hosts that could not be classified by vendor or operating system. Without a complete asset inventory and service enumeration, these hosts represent unknown attack surface. Any compromised device on this flat network can reach any other device without restriction.</w:t>
      </w:r>
    </w:p>
    <w:p>
      <w:pPr>
        <w:spacing w:after="100" w:before="60"/>
      </w:pPr>
      <w:r>
        <w:rPr>
          <w:rFonts w:ascii="Arial" w:cs="Arial" w:eastAsia="Arial" w:hAnsi="Arial"/>
          <w:sz w:val="22"/>
          <w:szCs w:val="22"/>
        </w:rPr>
        <w:t xml:space="preserve">The two Cisco devices (10.11.2.144, 10.11.2.159) are particularly critical — if either contains a default credential (Cisco IOS default: admin/admin or cisco/cisco), an attacker could gain control of network routing, enabling traffic interception between EISP components. This aligns with MITRE T1557 (Adversary-in-the-Middle) attacks.</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4.2 Treatment Recommendation: MITIGATE + TRANSFER</w:t>
      </w:r>
    </w:p>
    <w:p>
      <w:pPr>
        <w:pStyle w:val="ListParagraph"/>
        <w:numPr>
          <w:ilvl w:val="0"/>
          <w:numId w:val="3"/>
        </w:numPr>
        <w:spacing w:after="40" w:before="40"/>
      </w:pPr>
      <w:r>
        <w:rPr>
          <w:rFonts w:ascii="Arial" w:cs="Arial" w:eastAsia="Arial" w:hAnsi="Arial"/>
          <w:sz w:val="22"/>
          <w:szCs w:val="22"/>
        </w:rPr>
        <w:t xml:space="preserve">Network Segmentation — VLAN Implementation: Separate EISP identity infrastructure (Okta, authentik, LDAP, Vault) onto a dedicated management VLAN, accessible only from authorized management workstations via firewall ACLs. This directly prevents lateral movement from any compromised general device.</w:t>
      </w:r>
    </w:p>
    <w:p>
      <w:pPr>
        <w:pStyle w:val="ListParagraph"/>
        <w:numPr>
          <w:ilvl w:val="0"/>
          <w:numId w:val="3"/>
        </w:numPr>
        <w:spacing w:after="40" w:before="40"/>
      </w:pPr>
      <w:r>
        <w:rPr>
          <w:rFonts w:ascii="Arial" w:cs="Arial" w:eastAsia="Arial" w:hAnsi="Arial"/>
          <w:sz w:val="22"/>
          <w:szCs w:val="22"/>
        </w:rPr>
        <w:t xml:space="preserve">Cisco Device Hardening: Conduct dedicated security assessment of 10.11.2.144 and 10.11.2.159 including: change default credentials, disable unused interfaces, enable SSH (disable Telnet), configure ACLs, update IOS firmware, enable logging to SIEM.</w:t>
      </w:r>
    </w:p>
    <w:p>
      <w:pPr>
        <w:pStyle w:val="ListParagraph"/>
        <w:numPr>
          <w:ilvl w:val="0"/>
          <w:numId w:val="3"/>
        </w:numPr>
        <w:spacing w:after="40" w:before="40"/>
      </w:pPr>
      <w:r>
        <w:rPr>
          <w:rFonts w:ascii="Arial" w:cs="Arial" w:eastAsia="Arial" w:hAnsi="Arial"/>
          <w:sz w:val="22"/>
          <w:szCs w:val="22"/>
        </w:rPr>
        <w:t xml:space="preserve">Network-Based IDS: Deploy Wazuh network sensors or Suricata IDS on the network segment to detect lateral movement attempts, ARP poisoning (T1557), and port scanning between hosts.</w:t>
      </w:r>
    </w:p>
    <w:p>
      <w:pPr>
        <w:pStyle w:val="ListParagraph"/>
        <w:numPr>
          <w:ilvl w:val="0"/>
          <w:numId w:val="3"/>
        </w:numPr>
        <w:spacing w:after="40" w:before="40"/>
      </w:pPr>
      <w:r>
        <w:rPr>
          <w:rFonts w:ascii="Arial" w:cs="Arial" w:eastAsia="Arial" w:hAnsi="Arial"/>
          <w:sz w:val="22"/>
          <w:szCs w:val="22"/>
        </w:rPr>
        <w:t xml:space="preserve">Asset Inventory &amp; CMDB: Implement a Configuration Management Database (CMDB) to track all devices on the network. Auto-discover via scheduled Nmap scans and alert on new/unknown hosts appearing on the segment.</w:t>
      </w:r>
    </w:p>
    <w:p>
      <w:pPr>
        <w:pStyle w:val="ListParagraph"/>
        <w:numPr>
          <w:ilvl w:val="0"/>
          <w:numId w:val="3"/>
        </w:numPr>
        <w:spacing w:after="40" w:before="40"/>
      </w:pPr>
      <w:r>
        <w:rPr>
          <w:rFonts w:ascii="Arial" w:cs="Arial" w:eastAsia="Arial" w:hAnsi="Arial"/>
          <w:sz w:val="22"/>
          <w:szCs w:val="22"/>
        </w:rPr>
        <w:t xml:space="preserve">Zero Trust Network Access (ZTNA): Implement the principle that no device on the network is trusted by default. Require authentication and authorization for all device-to-device communications involving EISP components.</w:t>
      </w:r>
    </w:p>
    <w:p>
      <w:pPr>
        <w:pStyle w:val="ListParagraph"/>
        <w:numPr>
          <w:ilvl w:val="0"/>
          <w:numId w:val="3"/>
        </w:numPr>
        <w:spacing w:after="40" w:before="40"/>
      </w:pPr>
      <w:r>
        <w:rPr>
          <w:rFonts w:ascii="Arial" w:cs="Arial" w:eastAsia="Arial" w:hAnsi="Arial"/>
          <w:sz w:val="22"/>
          <w:szCs w:val="22"/>
        </w:rPr>
        <w:t xml:space="preserve">Transfer: For the lab environment, consider cyber liability insurance documentation and contractual controls with lab network providers.</w:t>
      </w:r>
    </w:p>
    <w:p>
      <w:pPr>
        <w:spacing w:after="80" w:before="80"/>
      </w:pPr>
      <w:r>
        <w:t xml:space="preserve"/>
      </w:r>
    </w:p>
    <w:p>
      <w:pPr>
        <w:pStyle w:val="Heading1"/>
        <w:pBdr>
          <w:bottom w:val="single" w:color="8B4513" w:sz="6" w:space="1"/>
        </w:pBdr>
        <w:spacing w:after="180" w:before="360"/>
      </w:pPr>
      <w:r>
        <w:rPr>
          <w:rFonts w:ascii="Arial" w:cs="Arial" w:eastAsia="Arial" w:hAnsi="Arial"/>
          <w:b/>
          <w:bCs/>
          <w:color w:val="8B4513"/>
          <w:sz w:val="32"/>
          <w:szCs w:val="32"/>
        </w:rP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1200"/>
        <w:gridCol w:w="1200"/>
        <w:gridCol w:w="2160"/>
      </w:tblGrid>
      <w:tr>
        <w:tc>
          <w:tcPr>
            <w:tcW w:type="dxa" w:w="12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Risk ID</w:t>
            </w:r>
          </w:p>
        </w:tc>
        <w:tc>
          <w:tcPr>
            <w:tcW w:type="dxa" w:w="2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Risk Description</w:t>
            </w:r>
          </w:p>
        </w:tc>
        <w:tc>
          <w:tcPr>
            <w:tcW w:type="dxa" w:w="12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12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Score/Rating</w:t>
            </w:r>
          </w:p>
        </w:tc>
        <w:tc>
          <w:tcPr>
            <w:tcW w:type="dxa" w:w="216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Treatment</w:t>
            </w:r>
          </w:p>
        </w:tc>
      </w:tr>
      <w:tr>
        <w:tc>
          <w:tcPr>
            <w:tcW w:type="dxa" w:w="12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EISP-RISK-001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Credential Theft via Malware (Trojan AgentB)</w:t>
            </w:r>
          </w:p>
        </w:tc>
        <w:tc>
          <w:tcPr>
            <w:tcW w:type="dxa" w:w="1200"/>
            <w:tcBorders>
              <w:top w:val="single" w:color="CCCCCC" w:sz="1"/>
              <w:left w:val="single" w:color="CCCCCC" w:sz="1"/>
              <w:bottom w:val="single" w:color="CCCCCC" w:sz="1"/>
              <w:right w:val="single" w:color="CCCCCC" w:sz="1"/>
            </w:tcBorders>
            <w:shd w:fill="FFF0D0" w:val="clear"/>
            <w:tcMar>
              <w:top w:type="dxa" w:w="70"/>
              <w:left w:type="dxa" w:w="120"/>
              <w:bottom w:type="dxa" w:w="70"/>
              <w:right w:type="dxa" w:w="120"/>
            </w:tcMar>
          </w:tcPr>
          <w:p>
            <w:r>
              <w:rPr>
                <w:rFonts w:ascii="Arial" w:cs="Arial" w:eastAsia="Arial" w:hAnsi="Arial"/>
                <w:b w:val="false"/>
                <w:bCs w:val="false"/>
                <w:color w:val="000000"/>
                <w:sz w:val="19"/>
                <w:szCs w:val="19"/>
              </w:rPr>
              <w:t xml:space="preserve">4 — HIGH</w:t>
            </w:r>
          </w:p>
        </w:tc>
        <w:tc>
          <w:tcPr>
            <w:tcW w:type="dxa" w:w="1200"/>
            <w:tcBorders>
              <w:top w:val="single" w:color="CCCCCC" w:sz="1"/>
              <w:left w:val="single" w:color="CCCCCC" w:sz="1"/>
              <w:bottom w:val="single" w:color="CCCCCC" w:sz="1"/>
              <w:right w:val="single" w:color="CCCCCC" w:sz="1"/>
            </w:tcBorders>
            <w:shd w:fill="FFE0D0" w:val="clear"/>
            <w:tcMar>
              <w:top w:type="dxa" w:w="70"/>
              <w:left w:type="dxa" w:w="120"/>
              <w:bottom w:type="dxa" w:w="70"/>
              <w:right w:type="dxa" w:w="120"/>
            </w:tcMar>
          </w:tcPr>
          <w:p>
            <w:r>
              <w:rPr>
                <w:rFonts w:ascii="Arial" w:cs="Arial" w:eastAsia="Arial" w:hAnsi="Arial"/>
                <w:b w:val="false"/>
                <w:bCs w:val="false"/>
                <w:color w:val="000000"/>
                <w:sz w:val="19"/>
                <w:szCs w:val="19"/>
              </w:rPr>
              <w:t xml:space="preserve">5 — VERY HIGH</w:t>
            </w:r>
          </w:p>
        </w:tc>
        <w:tc>
          <w:tcPr>
            <w:tcW w:type="dxa" w:w="1200"/>
            <w:tcBorders>
              <w:top w:val="single" w:color="CCCCCC" w:sz="1"/>
              <w:left w:val="single" w:color="CCCCCC" w:sz="1"/>
              <w:bottom w:val="single" w:color="CCCCCC" w:sz="1"/>
              <w:right w:val="single" w:color="CCCCCC" w:sz="1"/>
            </w:tcBorders>
            <w:shd w:fill="FFD0D0" w:val="clear"/>
            <w:tcMar>
              <w:top w:type="dxa" w:w="70"/>
              <w:left w:type="dxa" w:w="120"/>
              <w:bottom w:type="dxa" w:w="70"/>
              <w:right w:type="dxa" w:w="120"/>
            </w:tcMar>
          </w:tcPr>
          <w:p>
            <w:r>
              <w:rPr>
                <w:rFonts w:ascii="Arial" w:cs="Arial" w:eastAsia="Arial" w:hAnsi="Arial"/>
                <w:b/>
                <w:bCs/>
                <w:color w:val="C00000"/>
                <w:sz w:val="19"/>
                <w:szCs w:val="19"/>
              </w:rPr>
              <w:t xml:space="preserve">20 — CRITICAL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MITIGATE: MFA, EDR, App Whitelisting</w:t>
            </w:r>
          </w:p>
        </w:tc>
      </w:tr>
      <w:tr>
        <w:tc>
          <w:tcPr>
            <w:tcW w:type="dxa" w:w="12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EISP-RISK-002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Lateral Movement from Unidentified Assets</w:t>
            </w:r>
          </w:p>
        </w:tc>
        <w:tc>
          <w:tcPr>
            <w:tcW w:type="dxa" w:w="1200"/>
            <w:tcBorders>
              <w:top w:val="single" w:color="CCCCCC" w:sz="1"/>
              <w:left w:val="single" w:color="CCCCCC" w:sz="1"/>
              <w:bottom w:val="single" w:color="CCCCCC" w:sz="1"/>
              <w:right w:val="single" w:color="CCCCCC" w:sz="1"/>
            </w:tcBorders>
            <w:shd w:fill="FFF0D0" w:val="clear"/>
            <w:tcMar>
              <w:top w:type="dxa" w:w="70"/>
              <w:left w:type="dxa" w:w="120"/>
              <w:bottom w:type="dxa" w:w="70"/>
              <w:right w:type="dxa" w:w="120"/>
            </w:tcMar>
          </w:tcPr>
          <w:p>
            <w:r>
              <w:rPr>
                <w:rFonts w:ascii="Arial" w:cs="Arial" w:eastAsia="Arial" w:hAnsi="Arial"/>
                <w:b w:val="false"/>
                <w:bCs w:val="false"/>
                <w:color w:val="000000"/>
                <w:sz w:val="19"/>
                <w:szCs w:val="19"/>
              </w:rPr>
              <w:t xml:space="preserve">3 — MEDIUM</w:t>
            </w:r>
          </w:p>
        </w:tc>
        <w:tc>
          <w:tcPr>
            <w:tcW w:type="dxa" w:w="1200"/>
            <w:tcBorders>
              <w:top w:val="single" w:color="CCCCCC" w:sz="1"/>
              <w:left w:val="single" w:color="CCCCCC" w:sz="1"/>
              <w:bottom w:val="single" w:color="CCCCCC" w:sz="1"/>
              <w:right w:val="single" w:color="CCCCCC" w:sz="1"/>
            </w:tcBorders>
            <w:shd w:fill="FFE0D0" w:val="clear"/>
            <w:tcMar>
              <w:top w:type="dxa" w:w="70"/>
              <w:left w:type="dxa" w:w="120"/>
              <w:bottom w:type="dxa" w:w="70"/>
              <w:right w:type="dxa" w:w="120"/>
            </w:tcMar>
          </w:tcPr>
          <w:p>
            <w:r>
              <w:rPr>
                <w:rFonts w:ascii="Arial" w:cs="Arial" w:eastAsia="Arial" w:hAnsi="Arial"/>
                <w:b w:val="false"/>
                <w:bCs w:val="false"/>
                <w:color w:val="000000"/>
                <w:sz w:val="19"/>
                <w:szCs w:val="19"/>
              </w:rPr>
              <w:t xml:space="preserve">5 — VERY HIGH</w:t>
            </w:r>
          </w:p>
        </w:tc>
        <w:tc>
          <w:tcPr>
            <w:tcW w:type="dxa" w:w="1200"/>
            <w:tcBorders>
              <w:top w:val="single" w:color="CCCCCC" w:sz="1"/>
              <w:left w:val="single" w:color="CCCCCC" w:sz="1"/>
              <w:bottom w:val="single" w:color="CCCCCC" w:sz="1"/>
              <w:right w:val="single" w:color="CCCCCC" w:sz="1"/>
            </w:tcBorders>
            <w:shd w:fill="FFE8D0" w:val="clear"/>
            <w:tcMar>
              <w:top w:type="dxa" w:w="70"/>
              <w:left w:type="dxa" w:w="120"/>
              <w:bottom w:type="dxa" w:w="70"/>
              <w:right w:type="dxa" w:w="120"/>
            </w:tcMar>
          </w:tcPr>
          <w:p>
            <w:r>
              <w:rPr>
                <w:rFonts w:ascii="Arial" w:cs="Arial" w:eastAsia="Arial" w:hAnsi="Arial"/>
                <w:b/>
                <w:bCs/>
                <w:color w:val="B05800"/>
                <w:sz w:val="19"/>
                <w:szCs w:val="19"/>
              </w:rPr>
              <w:t xml:space="preserve">15 — HIGH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MITIGATE: VLAN Segmentation, IDS</w:t>
            </w:r>
          </w:p>
        </w:tc>
      </w:tr>
      <w:tr>
        <w:tc>
          <w:tcPr>
            <w:tcW w:type="dxa" w:w="12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EISP-RISK-003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Golden SAML / OAuth Token Theft (APT29 TTP)</w:t>
            </w:r>
          </w:p>
        </w:tc>
        <w:tc>
          <w:tcPr>
            <w:tcW w:type="dxa" w:w="1200"/>
            <w:tcBorders>
              <w:top w:val="single" w:color="CCCCCC" w:sz="1"/>
              <w:left w:val="single" w:color="CCCCCC" w:sz="1"/>
              <w:bottom w:val="single" w:color="CCCCCC" w:sz="1"/>
              <w:right w:val="single" w:color="CCCCCC" w:sz="1"/>
            </w:tcBorders>
            <w:shd w:fill="FFF0D0" w:val="clear"/>
            <w:tcMar>
              <w:top w:type="dxa" w:w="70"/>
              <w:left w:type="dxa" w:w="120"/>
              <w:bottom w:type="dxa" w:w="70"/>
              <w:right w:type="dxa" w:w="120"/>
            </w:tcMar>
          </w:tcPr>
          <w:p>
            <w:r>
              <w:rPr>
                <w:rFonts w:ascii="Arial" w:cs="Arial" w:eastAsia="Arial" w:hAnsi="Arial"/>
                <w:b w:val="false"/>
                <w:bCs w:val="false"/>
                <w:color w:val="000000"/>
                <w:sz w:val="19"/>
                <w:szCs w:val="19"/>
              </w:rPr>
              <w:t xml:space="preserve">2 — LOW</w:t>
            </w:r>
          </w:p>
        </w:tc>
        <w:tc>
          <w:tcPr>
            <w:tcW w:type="dxa" w:w="1200"/>
            <w:tcBorders>
              <w:top w:val="single" w:color="CCCCCC" w:sz="1"/>
              <w:left w:val="single" w:color="CCCCCC" w:sz="1"/>
              <w:bottom w:val="single" w:color="CCCCCC" w:sz="1"/>
              <w:right w:val="single" w:color="CCCCCC" w:sz="1"/>
            </w:tcBorders>
            <w:shd w:fill="FFE0D0" w:val="clear"/>
            <w:tcMar>
              <w:top w:type="dxa" w:w="70"/>
              <w:left w:type="dxa" w:w="120"/>
              <w:bottom w:type="dxa" w:w="70"/>
              <w:right w:type="dxa" w:w="120"/>
            </w:tcMar>
          </w:tcPr>
          <w:p>
            <w:r>
              <w:rPr>
                <w:rFonts w:ascii="Arial" w:cs="Arial" w:eastAsia="Arial" w:hAnsi="Arial"/>
                <w:b w:val="false"/>
                <w:bCs w:val="false"/>
                <w:color w:val="000000"/>
                <w:sz w:val="19"/>
                <w:szCs w:val="19"/>
              </w:rPr>
              <w:t xml:space="preserve">5 — VERY HIGH</w:t>
            </w:r>
          </w:p>
        </w:tc>
        <w:tc>
          <w:tcPr>
            <w:tcW w:type="dxa" w:w="12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10 — MEDIUM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MITIGATE: Token binding, short TTL, MFA</w:t>
            </w:r>
          </w:p>
        </w:tc>
      </w:tr>
      <w:tr>
        <w:tc>
          <w:tcPr>
            <w:tcW w:type="dxa" w:w="12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EISP-RISK-004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Supply Chain Compromise (SolarWinds-style)</w:t>
            </w:r>
          </w:p>
        </w:tc>
        <w:tc>
          <w:tcPr>
            <w:tcW w:type="dxa" w:w="1200"/>
            <w:tcBorders>
              <w:top w:val="single" w:color="CCCCCC" w:sz="1"/>
              <w:left w:val="single" w:color="CCCCCC" w:sz="1"/>
              <w:bottom w:val="single" w:color="CCCCCC" w:sz="1"/>
              <w:right w:val="single" w:color="CCCCCC" w:sz="1"/>
            </w:tcBorders>
            <w:shd w:fill="FFF0D0" w:val="clear"/>
            <w:tcMar>
              <w:top w:type="dxa" w:w="70"/>
              <w:left w:type="dxa" w:w="120"/>
              <w:bottom w:type="dxa" w:w="70"/>
              <w:right w:type="dxa" w:w="120"/>
            </w:tcMar>
          </w:tcPr>
          <w:p>
            <w:r>
              <w:rPr>
                <w:rFonts w:ascii="Arial" w:cs="Arial" w:eastAsia="Arial" w:hAnsi="Arial"/>
                <w:b w:val="false"/>
                <w:bCs w:val="false"/>
                <w:color w:val="000000"/>
                <w:sz w:val="19"/>
                <w:szCs w:val="19"/>
              </w:rPr>
              <w:t xml:space="preserve">1 — VERY LOW</w:t>
            </w:r>
          </w:p>
        </w:tc>
        <w:tc>
          <w:tcPr>
            <w:tcW w:type="dxa" w:w="1200"/>
            <w:tcBorders>
              <w:top w:val="single" w:color="CCCCCC" w:sz="1"/>
              <w:left w:val="single" w:color="CCCCCC" w:sz="1"/>
              <w:bottom w:val="single" w:color="CCCCCC" w:sz="1"/>
              <w:right w:val="single" w:color="CCCCCC" w:sz="1"/>
            </w:tcBorders>
            <w:shd w:fill="FFE0D0" w:val="clear"/>
            <w:tcMar>
              <w:top w:type="dxa" w:w="70"/>
              <w:left w:type="dxa" w:w="120"/>
              <w:bottom w:type="dxa" w:w="70"/>
              <w:right w:type="dxa" w:w="120"/>
            </w:tcMar>
          </w:tcPr>
          <w:p>
            <w:r>
              <w:rPr>
                <w:rFonts w:ascii="Arial" w:cs="Arial" w:eastAsia="Arial" w:hAnsi="Arial"/>
                <w:b w:val="false"/>
                <w:bCs w:val="false"/>
                <w:color w:val="000000"/>
                <w:sz w:val="19"/>
                <w:szCs w:val="19"/>
              </w:rPr>
              <w:t xml:space="preserve">5 — VERY HIGH</w:t>
            </w:r>
          </w:p>
        </w:tc>
        <w:tc>
          <w:tcPr>
            <w:tcW w:type="dxa" w:w="12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5 — 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MONITOR: Hash verification on updates, vendor risk assessment</w:t>
            </w:r>
          </w:p>
        </w:tc>
      </w:tr>
      <w:tr>
        <w:tc>
          <w:tcPr>
            <w:tcW w:type="dxa" w:w="12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EISP-RISK-005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mDNS Network Enumeration</w:t>
            </w:r>
          </w:p>
        </w:tc>
        <w:tc>
          <w:tcPr>
            <w:tcW w:type="dxa" w:w="1200"/>
            <w:tcBorders>
              <w:top w:val="single" w:color="CCCCCC" w:sz="1"/>
              <w:left w:val="single" w:color="CCCCCC" w:sz="1"/>
              <w:bottom w:val="single" w:color="CCCCCC" w:sz="1"/>
              <w:right w:val="single" w:color="CCCCCC" w:sz="1"/>
            </w:tcBorders>
            <w:shd w:fill="FFF0D0" w:val="clear"/>
            <w:tcMar>
              <w:top w:type="dxa" w:w="70"/>
              <w:left w:type="dxa" w:w="120"/>
              <w:bottom w:type="dxa" w:w="70"/>
              <w:right w:type="dxa" w:w="120"/>
            </w:tcMar>
          </w:tcPr>
          <w:p>
            <w:r>
              <w:rPr>
                <w:rFonts w:ascii="Arial" w:cs="Arial" w:eastAsia="Arial" w:hAnsi="Arial"/>
                <w:b w:val="false"/>
                <w:bCs w:val="false"/>
                <w:color w:val="000000"/>
                <w:sz w:val="19"/>
                <w:szCs w:val="19"/>
              </w:rPr>
              <w:t xml:space="preserve">3 — MEDIUM</w:t>
            </w:r>
          </w:p>
        </w:tc>
        <w:tc>
          <w:tcPr>
            <w:tcW w:type="dxa" w:w="1200"/>
            <w:tcBorders>
              <w:top w:val="single" w:color="CCCCCC" w:sz="1"/>
              <w:left w:val="single" w:color="CCCCCC" w:sz="1"/>
              <w:bottom w:val="single" w:color="CCCCCC" w:sz="1"/>
              <w:right w:val="single" w:color="CCCCCC" w:sz="1"/>
            </w:tcBorders>
            <w:shd w:fill="FFE0D0" w:val="clear"/>
            <w:tcMar>
              <w:top w:type="dxa" w:w="70"/>
              <w:left w:type="dxa" w:w="120"/>
              <w:bottom w:type="dxa" w:w="70"/>
              <w:right w:type="dxa" w:w="120"/>
            </w:tcMar>
          </w:tcPr>
          <w:p>
            <w:r>
              <w:rPr>
                <w:rFonts w:ascii="Arial" w:cs="Arial" w:eastAsia="Arial" w:hAnsi="Arial"/>
                <w:b w:val="false"/>
                <w:bCs w:val="false"/>
                <w:color w:val="000000"/>
                <w:sz w:val="19"/>
                <w:szCs w:val="19"/>
              </w:rPr>
              <w:t xml:space="preserve">2 — LOW</w:t>
            </w:r>
          </w:p>
        </w:tc>
        <w:tc>
          <w:tcPr>
            <w:tcW w:type="dxa" w:w="12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6 — 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ACCEPT: Disable on servers; Accept on endpoints with monitoring</w:t>
            </w:r>
          </w:p>
        </w:tc>
      </w:tr>
    </w:tbl>
    <w:p>
      <w:pPr>
        <w:spacing w:after="80" w:before="80"/>
      </w:pPr>
      <w:r>
        <w:t xml:space="preserve"/>
      </w:r>
    </w:p>
    <w:p>
      <w:pPr>
        <w:pStyle w:val="Heading1"/>
        <w:pBdr>
          <w:bottom w:val="single" w:color="8B4513" w:sz="6" w:space="1"/>
        </w:pBdr>
        <w:spacing w:after="180" w:before="360"/>
      </w:pPr>
      <w:r>
        <w:rPr>
          <w:rFonts w:ascii="Arial" w:cs="Arial" w:eastAsia="Arial" w:hAnsi="Arial"/>
          <w:b/>
          <w:bCs/>
          <w:color w:val="8B4513"/>
          <w:sz w:val="32"/>
          <w:szCs w:val="32"/>
        </w:rPr>
        <w:t xml:space="preserve">6. Risk Monitoring Procedure</w:t>
      </w:r>
    </w:p>
    <w:p>
      <w:pPr>
        <w:pStyle w:val="Heading2"/>
        <w:spacing w:after="120" w:before="240"/>
      </w:pPr>
      <w:r>
        <w:rPr>
          <w:rFonts w:ascii="Arial" w:cs="Arial" w:eastAsia="Arial" w:hAnsi="Arial"/>
          <w:b/>
          <w:bCs/>
          <w:color w:val="8B4513"/>
          <w:sz w:val="26"/>
          <w:szCs w:val="26"/>
        </w:rPr>
        <w:t xml:space="preserve">6.1 Purpose &amp; Scope</w:t>
      </w:r>
    </w:p>
    <w:p>
      <w:pPr>
        <w:spacing w:after="100" w:before="60"/>
      </w:pPr>
      <w:r>
        <w:rPr>
          <w:rFonts w:ascii="Arial" w:cs="Arial" w:eastAsia="Arial" w:hAnsi="Arial"/>
          <w:sz w:val="22"/>
          <w:szCs w:val="22"/>
        </w:rPr>
        <w:t xml:space="preserve">This Risk Monitoring Procedure (EISP-RMP-001) defines how identified risks are tracked, measured, and reported on an ongoing basis. It ensures that risk treatment actions are implemented effectively and that emerging risks are captured promptly.</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6.2 Monitoring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2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276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Review SIEM alerts for IoCs matching known risks (EISP-RISK-001 hash/domain indicators)</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Security Analyst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Alert triage report</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Weekly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Review EDR/AV detection events for credential access and process injection alerts</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Security Analyst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Threat hunting summary</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Nmap re-scan of 10.11.2.0/24 to detect new/changed hosts (EISP-RISK-002)</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Security Analyst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Asset delta report</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Review Okta audit logs for anomalous authentication patterns (unusual IPs, failed MFA)</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IAM Engineer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Authentication anomaly report</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OpenCTI IoC feed review — check for new indicators matching EISP asset hashes/IPs</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Threat Intel Analyst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Intelligence update report</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Quarterly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Full risk re-assessment — update likelihood/impact scores, add new risks</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Risk Manager / CISO</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Updated Risk Register</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Quarterly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Penetration test simulation — re-run Nmap scans, test control effectiveness</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Security Engineer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Pen test findings report</w:t>
            </w:r>
          </w:p>
        </w:tc>
      </w:tr>
      <w:tr>
        <w:tc>
          <w:tcPr>
            <w:tcW w:type="dxa" w:w="1800"/>
            <w:tcBorders>
              <w:top w:val="single" w:color="CCCCCC" w:sz="1"/>
              <w:left w:val="single" w:color="CCCCCC" w:sz="1"/>
              <w:bottom w:val="single" w:color="CCCCCC" w:sz="1"/>
              <w:right w:val="single" w:color="CCCCCC" w:sz="1"/>
            </w:tcBorders>
            <w:shd w:fill="FFF8F0" w:val="clear"/>
            <w:tcMar>
              <w:top w:type="dxa" w:w="70"/>
              <w:left w:type="dxa" w:w="120"/>
              <w:bottom w:type="dxa" w:w="70"/>
              <w:right w:type="dxa" w:w="120"/>
            </w:tcMar>
          </w:tcPr>
          <w:p>
            <w:r>
              <w:rPr>
                <w:rFonts w:ascii="Arial" w:cs="Arial" w:eastAsia="Arial" w:hAnsi="Arial"/>
                <w:b/>
                <w:bCs/>
                <w:color w:val="000000"/>
                <w:sz w:val="19"/>
                <w:szCs w:val="19"/>
              </w:rPr>
              <w:t xml:space="preserve">Annually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Comprehensive security audit — review all EISP-RISK items against implemented controls</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Arial" w:cs="Arial" w:eastAsia="Arial" w:hAnsi="Arial"/>
                <w:b w:val="false"/>
                <w:bCs w:val="false"/>
                <w:color w:val="000000"/>
                <w:sz w:val="19"/>
                <w:szCs w:val="19"/>
              </w:rPr>
              <w:t xml:space="preserve">External/Internal Auditor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Audit report</w:t>
            </w:r>
          </w:p>
        </w:tc>
      </w:tr>
    </w:tbl>
    <w:p>
      <w:pPr>
        <w:spacing w:after="80" w:before="80"/>
      </w:pPr>
      <w:r>
        <w:t xml:space="preserve"/>
      </w:r>
    </w:p>
    <w:p>
      <w:pPr>
        <w:pStyle w:val="Heading2"/>
        <w:spacing w:after="120" w:before="240"/>
      </w:pPr>
      <w:r>
        <w:rPr>
          <w:rFonts w:ascii="Arial" w:cs="Arial" w:eastAsia="Arial" w:hAnsi="Arial"/>
          <w:b/>
          <w:bCs/>
          <w:color w:val="8B4513"/>
          <w:sz w:val="26"/>
          <w:szCs w:val="26"/>
        </w:rPr>
        <w:t xml:space="preserve">6.3 Risk Status Tracking</w:t>
      </w:r>
    </w:p>
    <w:p>
      <w:pPr>
        <w:spacing w:after="100" w:before="60"/>
      </w:pPr>
      <w:r>
        <w:rPr>
          <w:rFonts w:ascii="Arial" w:cs="Arial" w:eastAsia="Arial" w:hAnsi="Arial"/>
          <w:sz w:val="22"/>
          <w:szCs w:val="22"/>
        </w:rPr>
        <w:t xml:space="preserve">Each risk in the register will be tracked using the following status workflow:</w:t>
      </w:r>
    </w:p>
    <w:p>
      <w:pPr>
        <w:pStyle w:val="ListParagraph"/>
        <w:numPr>
          <w:ilvl w:val="0"/>
          <w:numId w:val="2"/>
        </w:numPr>
        <w:spacing w:after="40" w:before="40"/>
      </w:pPr>
      <w:r>
        <w:rPr>
          <w:rFonts w:ascii="Arial" w:cs="Arial" w:eastAsia="Arial" w:hAnsi="Arial"/>
          <w:sz w:val="22"/>
          <w:szCs w:val="22"/>
        </w:rPr>
        <w:t xml:space="preserve">OPEN: Risk identified, no treatment implemented</w:t>
      </w:r>
    </w:p>
    <w:p>
      <w:pPr>
        <w:pStyle w:val="ListParagraph"/>
        <w:numPr>
          <w:ilvl w:val="0"/>
          <w:numId w:val="2"/>
        </w:numPr>
        <w:spacing w:after="40" w:before="40"/>
      </w:pPr>
      <w:r>
        <w:rPr>
          <w:rFonts w:ascii="Arial" w:cs="Arial" w:eastAsia="Arial" w:hAnsi="Arial"/>
          <w:sz w:val="22"/>
          <w:szCs w:val="22"/>
        </w:rPr>
        <w:t xml:space="preserve">IN PROGRESS: Treatment recommendations being implemented</w:t>
      </w:r>
    </w:p>
    <w:p>
      <w:pPr>
        <w:pStyle w:val="ListParagraph"/>
        <w:numPr>
          <w:ilvl w:val="0"/>
          <w:numId w:val="2"/>
        </w:numPr>
        <w:spacing w:after="40" w:before="40"/>
      </w:pPr>
      <w:r>
        <w:rPr>
          <w:rFonts w:ascii="Arial" w:cs="Arial" w:eastAsia="Arial" w:hAnsi="Arial"/>
          <w:sz w:val="22"/>
          <w:szCs w:val="22"/>
        </w:rPr>
        <w:t xml:space="preserve">MITIGATED: Controls implemented, risk score reduced — pending verification</w:t>
      </w:r>
    </w:p>
    <w:p>
      <w:pPr>
        <w:pStyle w:val="ListParagraph"/>
        <w:numPr>
          <w:ilvl w:val="0"/>
          <w:numId w:val="2"/>
        </w:numPr>
        <w:spacing w:after="40" w:before="40"/>
      </w:pPr>
      <w:r>
        <w:rPr>
          <w:rFonts w:ascii="Arial" w:cs="Arial" w:eastAsia="Arial" w:hAnsi="Arial"/>
          <w:sz w:val="22"/>
          <w:szCs w:val="22"/>
        </w:rPr>
        <w:t xml:space="preserve">ACCEPTED: Risk acknowledged and accepted by management with documented justification</w:t>
      </w:r>
    </w:p>
    <w:p>
      <w:pPr>
        <w:pStyle w:val="ListParagraph"/>
        <w:numPr>
          <w:ilvl w:val="0"/>
          <w:numId w:val="2"/>
        </w:numPr>
        <w:spacing w:after="40" w:before="40"/>
      </w:pPr>
      <w:r>
        <w:rPr>
          <w:rFonts w:ascii="Arial" w:cs="Arial" w:eastAsia="Arial" w:hAnsi="Arial"/>
          <w:sz w:val="22"/>
          <w:szCs w:val="22"/>
        </w:rPr>
        <w:t xml:space="preserve">CLOSED: Risk no longer applicable (e.g., asset decommissioned, threat vector eliminated)</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6.4 Escalation Procedure</w:t>
      </w:r>
    </w:p>
    <w:p>
      <w:pPr>
        <w:pStyle w:val="ListParagraph"/>
        <w:numPr>
          <w:ilvl w:val="0"/>
          <w:numId w:val="3"/>
        </w:numPr>
        <w:spacing w:after="40" w:before="40"/>
      </w:pPr>
      <w:r>
        <w:rPr>
          <w:rFonts w:ascii="Arial" w:cs="Arial" w:eastAsia="Arial" w:hAnsi="Arial"/>
          <w:sz w:val="22"/>
          <w:szCs w:val="22"/>
        </w:rPr>
        <w:t xml:space="preserve">Any new CRITICAL risk (score 20-25) identified must be escalated to the project supervisor within 24 hours with documented risk statement and recommended controls.</w:t>
      </w:r>
    </w:p>
    <w:p>
      <w:pPr>
        <w:pStyle w:val="ListParagraph"/>
        <w:numPr>
          <w:ilvl w:val="0"/>
          <w:numId w:val="3"/>
        </w:numPr>
        <w:spacing w:after="40" w:before="40"/>
      </w:pPr>
      <w:r>
        <w:rPr>
          <w:rFonts w:ascii="Arial" w:cs="Arial" w:eastAsia="Arial" w:hAnsi="Arial"/>
          <w:sz w:val="22"/>
          <w:szCs w:val="22"/>
        </w:rPr>
        <w:t xml:space="preserve">Any HIGH risk (score 13-19) not mitigated within 30 days requires escalation to project oversight committee.</w:t>
      </w:r>
    </w:p>
    <w:p>
      <w:pPr>
        <w:pStyle w:val="ListParagraph"/>
        <w:numPr>
          <w:ilvl w:val="0"/>
          <w:numId w:val="3"/>
        </w:numPr>
        <w:spacing w:after="40" w:before="40"/>
      </w:pPr>
      <w:r>
        <w:rPr>
          <w:rFonts w:ascii="Arial" w:cs="Arial" w:eastAsia="Arial" w:hAnsi="Arial"/>
          <w:sz w:val="22"/>
          <w:szCs w:val="22"/>
        </w:rPr>
        <w:t xml:space="preserve">Any active security incident (a risk that has materialized) triggers immediate escalation to the Incident Response Plan (EISP-IRP-001).</w:t>
      </w:r>
    </w:p>
    <w:p>
      <w:pPr>
        <w:pStyle w:val="ListParagraph"/>
        <w:numPr>
          <w:ilvl w:val="0"/>
          <w:numId w:val="3"/>
        </w:numPr>
        <w:spacing w:after="40" w:before="40"/>
      </w:pPr>
      <w:r>
        <w:rPr>
          <w:rFonts w:ascii="Arial" w:cs="Arial" w:eastAsia="Arial" w:hAnsi="Arial"/>
          <w:sz w:val="22"/>
          <w:szCs w:val="22"/>
        </w:rPr>
        <w:t xml:space="preserve">Risk re-assessments that show increasing risk scores (treatment not effective) require root cause analysis before proceeding with alternative treatments.</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6.5 KPIs for Risk Management Effectiveness</w:t>
      </w:r>
    </w:p>
    <w:p>
      <w:pPr>
        <w:pStyle w:val="ListParagraph"/>
        <w:numPr>
          <w:ilvl w:val="0"/>
          <w:numId w:val="2"/>
        </w:numPr>
        <w:spacing w:after="40" w:before="40"/>
      </w:pPr>
      <w:r>
        <w:rPr>
          <w:rFonts w:ascii="Arial" w:cs="Arial" w:eastAsia="Arial" w:hAnsi="Arial"/>
          <w:sz w:val="22"/>
          <w:szCs w:val="22"/>
        </w:rPr>
        <w:t xml:space="preserve">Mean Time to Mitigate (MTTM): Target &lt; 30 days for CRITICAL risks from identification to verified mitigation</w:t>
      </w:r>
    </w:p>
    <w:p>
      <w:pPr>
        <w:pStyle w:val="ListParagraph"/>
        <w:numPr>
          <w:ilvl w:val="0"/>
          <w:numId w:val="2"/>
        </w:numPr>
        <w:spacing w:after="40" w:before="40"/>
      </w:pPr>
      <w:r>
        <w:rPr>
          <w:rFonts w:ascii="Arial" w:cs="Arial" w:eastAsia="Arial" w:hAnsi="Arial"/>
          <w:sz w:val="22"/>
          <w:szCs w:val="22"/>
        </w:rPr>
        <w:t xml:space="preserve">Risk Score Reduction: Each treated risk should show minimum 40% score reduction after control implementation</w:t>
      </w:r>
    </w:p>
    <w:p>
      <w:pPr>
        <w:pStyle w:val="ListParagraph"/>
        <w:numPr>
          <w:ilvl w:val="0"/>
          <w:numId w:val="2"/>
        </w:numPr>
        <w:spacing w:after="40" w:before="40"/>
      </w:pPr>
      <w:r>
        <w:rPr>
          <w:rFonts w:ascii="Arial" w:cs="Arial" w:eastAsia="Arial" w:hAnsi="Arial"/>
          <w:sz w:val="22"/>
          <w:szCs w:val="22"/>
        </w:rPr>
        <w:t xml:space="preserve">IoC Hit Rate: Percentage of known IoCs generating alerts in SIEM — target &gt;80% detection coverage</w:t>
      </w:r>
    </w:p>
    <w:p>
      <w:pPr>
        <w:pStyle w:val="ListParagraph"/>
        <w:numPr>
          <w:ilvl w:val="0"/>
          <w:numId w:val="2"/>
        </w:numPr>
        <w:spacing w:after="40" w:before="40"/>
      </w:pPr>
      <w:r>
        <w:rPr>
          <w:rFonts w:ascii="Arial" w:cs="Arial" w:eastAsia="Arial" w:hAnsi="Arial"/>
          <w:sz w:val="22"/>
          <w:szCs w:val="22"/>
        </w:rPr>
        <w:t xml:space="preserve">Vulnerability Scan Coverage: Target 100% of known assets scanned monthly</w:t>
      </w:r>
    </w:p>
    <w:p>
      <w:pPr>
        <w:pStyle w:val="ListParagraph"/>
        <w:numPr>
          <w:ilvl w:val="0"/>
          <w:numId w:val="2"/>
        </w:numPr>
        <w:spacing w:after="40" w:before="40"/>
      </w:pPr>
      <w:r>
        <w:rPr>
          <w:rFonts w:ascii="Arial" w:cs="Arial" w:eastAsia="Arial" w:hAnsi="Arial"/>
          <w:sz w:val="22"/>
          <w:szCs w:val="22"/>
        </w:rPr>
        <w:t xml:space="preserve">Unidentified Asset Rate: Target 0 unidentified assets on EISP network segments</w:t>
      </w:r>
    </w:p>
    <w:p>
      <w:pPr>
        <w:spacing w:after="80" w:before="80"/>
      </w:pPr>
      <w:r>
        <w:t xml:space="preserve"/>
      </w:r>
    </w:p>
    <w:p>
      <w:pPr>
        <w:pStyle w:val="Heading1"/>
        <w:pBdr>
          <w:bottom w:val="single" w:color="8B4513" w:sz="6" w:space="1"/>
        </w:pBdr>
        <w:spacing w:after="180" w:before="360"/>
      </w:pPr>
      <w:r>
        <w:rPr>
          <w:rFonts w:ascii="Arial" w:cs="Arial" w:eastAsia="Arial" w:hAnsi="Arial"/>
          <w:b/>
          <w:bCs/>
          <w:color w:val="8B4513"/>
          <w:sz w:val="32"/>
          <w:szCs w:val="32"/>
        </w:rPr>
        <w:t xml:space="preserve">7. Conclusions</w:t>
      </w:r>
    </w:p>
    <w:p>
      <w:pPr>
        <w:spacing w:after="100" w:before="60"/>
      </w:pPr>
      <w:r>
        <w:rPr>
          <w:rFonts w:ascii="Arial" w:cs="Arial" w:eastAsia="Arial" w:hAnsi="Arial"/>
          <w:sz w:val="22"/>
          <w:szCs w:val="22"/>
        </w:rPr>
        <w:t xml:space="preserve">This risk management report identified two critical risks from EISP assessment activities: credential theft via malware (EISP-RISK-001, score 20 — CRITICAL) and unauthorized lateral movement via unidentified assets (EISP-RISK-002, score 15 — HIGH). Treatment recommendations including MFA implementation, EDR deployment, VLAN segmentation, and Cisco device hardening are documented with specific, actionable mitigation steps. The Risk Monitoring Procedure (EISP-RMP-001) establishes a structured cadence from weekly SIEM review to annual audit, ensuring continuous risk visibility throughout the EISP project lifecycle.</w:t>
      </w:r>
    </w:p>
    <w:p>
      <w:pPr>
        <w:spacing w:after="80" w:before="80"/>
      </w:pPr>
      <w:r>
        <w:t xml:space="preserve"/>
      </w:r>
    </w:p>
    <w:p>
      <w:pPr>
        <w:pStyle w:val="Heading2"/>
        <w:spacing w:after="120" w:before="240"/>
      </w:pPr>
      <w:r>
        <w:rPr>
          <w:rFonts w:ascii="Arial" w:cs="Arial" w:eastAsia="Arial" w:hAnsi="Arial"/>
          <w:b/>
          <w:bCs/>
          <w:color w:val="8B4513"/>
          <w:sz w:val="26"/>
          <w:szCs w:val="26"/>
        </w:rPr>
        <w:t xml:space="preserve">7.1 References</w:t>
      </w:r>
    </w:p>
    <w:p>
      <w:pPr>
        <w:pStyle w:val="ListParagraph"/>
        <w:numPr>
          <w:ilvl w:val="0"/>
          <w:numId w:val="2"/>
        </w:numPr>
        <w:spacing w:after="40" w:before="40"/>
      </w:pPr>
      <w:r>
        <w:rPr>
          <w:rFonts w:ascii="Arial" w:cs="Arial" w:eastAsia="Arial" w:hAnsi="Arial"/>
          <w:sz w:val="22"/>
          <w:szCs w:val="22"/>
        </w:rPr>
        <w:t xml:space="preserve">NIST SP 800-30 Rev 1: Guide for Conducting Risk Assessments</w:t>
      </w:r>
    </w:p>
    <w:p>
      <w:pPr>
        <w:pStyle w:val="ListParagraph"/>
        <w:numPr>
          <w:ilvl w:val="0"/>
          <w:numId w:val="2"/>
        </w:numPr>
        <w:spacing w:after="40" w:before="40"/>
      </w:pPr>
      <w:r>
        <w:rPr>
          <w:rFonts w:ascii="Arial" w:cs="Arial" w:eastAsia="Arial" w:hAnsi="Arial"/>
          <w:sz w:val="22"/>
          <w:szCs w:val="22"/>
        </w:rPr>
        <w:t xml:space="preserve">NIST SP 800-53 Rev 5: Security and Privacy Controls</w:t>
      </w:r>
    </w:p>
    <w:p>
      <w:pPr>
        <w:pStyle w:val="ListParagraph"/>
        <w:numPr>
          <w:ilvl w:val="0"/>
          <w:numId w:val="2"/>
        </w:numPr>
        <w:spacing w:after="40" w:before="40"/>
      </w:pPr>
      <w:r>
        <w:rPr>
          <w:rFonts w:ascii="Arial" w:cs="Arial" w:eastAsia="Arial" w:hAnsi="Arial"/>
          <w:sz w:val="22"/>
          <w:szCs w:val="22"/>
        </w:rPr>
        <w:t xml:space="preserve">ISO/IEC 27005:2022: Information Security Risk Management</w:t>
      </w:r>
    </w:p>
    <w:p>
      <w:pPr>
        <w:pStyle w:val="ListParagraph"/>
        <w:numPr>
          <w:ilvl w:val="0"/>
          <w:numId w:val="2"/>
        </w:numPr>
        <w:spacing w:after="40" w:before="40"/>
      </w:pPr>
      <w:r>
        <w:rPr>
          <w:rFonts w:ascii="Arial" w:cs="Arial" w:eastAsia="Arial" w:hAnsi="Arial"/>
          <w:sz w:val="22"/>
          <w:szCs w:val="22"/>
        </w:rPr>
        <w:t xml:space="preserve">CVSS v3.1 Severity Ratings: https://www.first.org/cvss</w:t>
      </w:r>
    </w:p>
    <w:p>
      <w:pPr>
        <w:pStyle w:val="ListParagraph"/>
        <w:numPr>
          <w:ilvl w:val="0"/>
          <w:numId w:val="2"/>
        </w:numPr>
        <w:spacing w:after="40" w:before="40"/>
      </w:pPr>
      <w:r>
        <w:rPr>
          <w:rFonts w:ascii="Arial" w:cs="Arial" w:eastAsia="Arial" w:hAnsi="Arial"/>
          <w:sz w:val="22"/>
          <w:szCs w:val="22"/>
        </w:rPr>
        <w:t xml:space="preserve">EISP-VA-002: Vulnerability Assessment Report (this project)</w:t>
      </w:r>
    </w:p>
    <w:p>
      <w:pPr>
        <w:pStyle w:val="ListParagraph"/>
        <w:numPr>
          <w:ilvl w:val="0"/>
          <w:numId w:val="2"/>
        </w:numPr>
        <w:spacing w:after="40" w:before="40"/>
      </w:pPr>
      <w:r>
        <w:rPr>
          <w:rFonts w:ascii="Arial" w:cs="Arial" w:eastAsia="Arial" w:hAnsi="Arial"/>
          <w:sz w:val="22"/>
          <w:szCs w:val="22"/>
        </w:rPr>
        <w:t xml:space="preserve">EISP-CTA-001: Cyber Threat Analysis Report (this project)</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451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B451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2026-04-21T16:22:04.537Z</dcterms:created>
  <dcterms:modified xsi:type="dcterms:W3CDTF">2026-04-21T16:22:04.537Z</dcterms:modified>
</cp:coreProperties>
</file>

<file path=docProps/custom.xml><?xml version="1.0" encoding="utf-8"?>
<Properties xmlns="http://schemas.openxmlformats.org/officeDocument/2006/custom-properties" xmlns:vt="http://schemas.openxmlformats.org/officeDocument/2006/docPropsVTypes"/>
</file>