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7B2D8B"/>
          <w:sz w:val="48"/>
          <w:szCs w:val="48"/>
        </w:rPr>
        <w:t xml:space="preserve">ENTERPRISE IDENTITY SECURITY PLATFORM</w:t>
      </w:r>
    </w:p>
    <w:p>
      <w:pPr>
        <w:spacing w:after="200" w:before="0"/>
        <w:jc w:val="center"/>
      </w:pPr>
      <w:r>
        <w:rPr>
          <w:rFonts w:ascii="Arial" w:cs="Arial" w:eastAsia="Arial" w:hAnsi="Arial"/>
          <w:b/>
          <w:bCs/>
          <w:color w:val="7B2D8B"/>
          <w:sz w:val="36"/>
          <w:szCs w:val="36"/>
        </w:rPr>
        <w:t xml:space="preserve">Threat Intelligence Implementation Report</w:t>
      </w:r>
    </w:p>
    <w:p>
      <w:pPr>
        <w:pBdr>
          <w:bottom w:val="single" w:color="7B2D8B" w:sz="8" w:space="1"/>
        </w:pBdr>
        <w:spacing w:after="400" w:before="0"/>
        <w:jc w:val="center"/>
      </w:pPr>
      <w:r>
        <w:rPr>
          <w:rFonts w:ascii="Arial" w:cs="Arial" w:eastAsia="Arial" w:hAnsi="Arial"/>
          <w:color w:val="404040"/>
          <w:sz w:val="28"/>
          <w:szCs w:val="28"/>
        </w:rPr>
        <w:t xml:space="preserve">Rubric 3: Implement Threat Intelligence Principles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7B2D8B" w:sz="1"/>
              <w:left w:val="single" w:color="7B2D8B" w:sz="1"/>
              <w:bottom w:val="single" w:color="7B2D8B" w:sz="1"/>
              <w:right w:val="single" w:color="7B2D8B" w:sz="1"/>
            </w:tcBorders>
            <w:shd w:fill="7B2D8B" w:val="clear"/>
            <w:tcMar>
              <w:top w:type="dxa" w:w="100"/>
              <w:left w:type="dxa" w:w="150"/>
              <w:bottom w:type="dxa" w:w="100"/>
              <w:right w:type="dxa" w:w="150"/>
            </w:tcMar>
          </w:tcPr>
          <w:p>
            <w:r>
              <w:rPr>
                <w:rFonts w:ascii="Arial" w:cs="Arial" w:eastAsia="Arial" w:hAnsi="Arial"/>
                <w:b/>
                <w:bCs/>
                <w:color w:val="FFFFFF"/>
                <w:sz w:val="22"/>
                <w:szCs w:val="22"/>
              </w:rPr>
              <w:t xml:space="preserve">Document Title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Threat Intelligence Implementation Report</w:t>
            </w:r>
          </w:p>
        </w:tc>
      </w:tr>
      <w:tr>
        <w:tc>
          <w:tcPr>
            <w:tcW w:type="dxa" w:w="3000"/>
            <w:tcBorders>
              <w:top w:val="single" w:color="7B2D8B" w:sz="1"/>
              <w:left w:val="single" w:color="7B2D8B" w:sz="1"/>
              <w:bottom w:val="single" w:color="7B2D8B" w:sz="1"/>
              <w:right w:val="single" w:color="7B2D8B" w:sz="1"/>
            </w:tcBorders>
            <w:shd w:fill="7B2D8B" w:val="clear"/>
            <w:tcMar>
              <w:top w:type="dxa" w:w="100"/>
              <w:left w:type="dxa" w:w="150"/>
              <w:bottom w:type="dxa" w:w="100"/>
              <w:right w:type="dxa" w:w="150"/>
            </w:tcMar>
          </w:tcPr>
          <w:p>
            <w:r>
              <w:rPr>
                <w:rFonts w:ascii="Arial" w:cs="Arial" w:eastAsia="Arial" w:hAnsi="Arial"/>
                <w:b/>
                <w:bCs/>
                <w:color w:val="FFFFFF"/>
                <w:sz w:val="22"/>
                <w:szCs w:val="22"/>
              </w:rPr>
              <w:t xml:space="preserve">Prepared By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Manisha Gupta</w:t>
            </w:r>
          </w:p>
        </w:tc>
      </w:tr>
      <w:tr>
        <w:tc>
          <w:tcPr>
            <w:tcW w:type="dxa" w:w="3000"/>
            <w:tcBorders>
              <w:top w:val="single" w:color="7B2D8B" w:sz="1"/>
              <w:left w:val="single" w:color="7B2D8B" w:sz="1"/>
              <w:bottom w:val="single" w:color="7B2D8B" w:sz="1"/>
              <w:right w:val="single" w:color="7B2D8B" w:sz="1"/>
            </w:tcBorders>
            <w:shd w:fill="7B2D8B" w:val="clear"/>
            <w:tcMar>
              <w:top w:type="dxa" w:w="100"/>
              <w:left w:type="dxa" w:w="150"/>
              <w:bottom w:type="dxa" w:w="100"/>
              <w:right w:type="dxa" w:w="150"/>
            </w:tcMar>
          </w:tcPr>
          <w:p>
            <w:r>
              <w:rPr>
                <w:rFonts w:ascii="Arial" w:cs="Arial" w:eastAsia="Arial" w:hAnsi="Arial"/>
                <w:b/>
                <w:bCs/>
                <w:color w:val="FFFFFF"/>
                <w:sz w:val="22"/>
                <w:szCs w:val="22"/>
              </w:rPr>
              <w:t xml:space="preserve">Project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Enterprise Identity Security Platform (EISP)</w:t>
            </w:r>
          </w:p>
        </w:tc>
      </w:tr>
      <w:tr>
        <w:tc>
          <w:tcPr>
            <w:tcW w:type="dxa" w:w="3000"/>
            <w:tcBorders>
              <w:top w:val="single" w:color="7B2D8B" w:sz="1"/>
              <w:left w:val="single" w:color="7B2D8B" w:sz="1"/>
              <w:bottom w:val="single" w:color="7B2D8B" w:sz="1"/>
              <w:right w:val="single" w:color="7B2D8B" w:sz="1"/>
            </w:tcBorders>
            <w:shd w:fill="7B2D8B"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April 21, 2026</w:t>
            </w:r>
          </w:p>
        </w:tc>
      </w:tr>
      <w:tr>
        <w:tc>
          <w:tcPr>
            <w:tcW w:type="dxa" w:w="3000"/>
            <w:tcBorders>
              <w:top w:val="single" w:color="7B2D8B" w:sz="1"/>
              <w:left w:val="single" w:color="7B2D8B" w:sz="1"/>
              <w:bottom w:val="single" w:color="7B2D8B" w:sz="1"/>
              <w:right w:val="single" w:color="7B2D8B" w:sz="1"/>
            </w:tcBorders>
            <w:shd w:fill="7B2D8B" w:val="clear"/>
            <w:tcMar>
              <w:top w:type="dxa" w:w="100"/>
              <w:left w:type="dxa" w:w="150"/>
              <w:bottom w:type="dxa" w:w="100"/>
              <w:right w:type="dxa" w:w="150"/>
            </w:tcMar>
          </w:tcPr>
          <w:p>
            <w:r>
              <w:rPr>
                <w:rFonts w:ascii="Arial" w:cs="Arial" w:eastAsia="Arial" w:hAnsi="Arial"/>
                <w:b/>
                <w:bCs/>
                <w:color w:val="FFFFFF"/>
                <w:sz w:val="22"/>
                <w:szCs w:val="22"/>
              </w:rPr>
              <w:t xml:space="preserve">Classification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C00000"/>
                <w:sz w:val="22"/>
                <w:szCs w:val="22"/>
              </w:rPr>
              <w:t xml:space="preserve">Confidential - Internal Use Only</w:t>
            </w:r>
          </w:p>
        </w:tc>
      </w:tr>
      <w:tr>
        <w:tc>
          <w:tcPr>
            <w:tcW w:type="dxa" w:w="3000"/>
            <w:tcBorders>
              <w:top w:val="single" w:color="7B2D8B" w:sz="1"/>
              <w:left w:val="single" w:color="7B2D8B" w:sz="1"/>
              <w:bottom w:val="single" w:color="7B2D8B" w:sz="1"/>
              <w:right w:val="single" w:color="7B2D8B" w:sz="1"/>
            </w:tcBorders>
            <w:shd w:fill="7B2D8B" w:val="clear"/>
            <w:tcMar>
              <w:top w:type="dxa" w:w="100"/>
              <w:left w:type="dxa" w:w="150"/>
              <w:bottom w:type="dxa" w:w="100"/>
              <w:right w:type="dxa" w:w="150"/>
            </w:tcMar>
          </w:tcPr>
          <w:p>
            <w:r>
              <w:rPr>
                <w:rFonts w:ascii="Arial" w:cs="Arial" w:eastAsia="Arial" w:hAnsi="Arial"/>
                <w:b/>
                <w:bCs/>
                <w:color w:val="FFFFFF"/>
                <w:sz w:val="22"/>
                <w:szCs w:val="22"/>
              </w:rPr>
              <w:t xml:space="preserve">Document ID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EISP-TI-003</w:t>
            </w:r>
          </w:p>
        </w:tc>
      </w:tr>
    </w:tbl>
    <w:p>
      <w:pPr>
        <w:spacing w:after="80" w:before="80"/>
      </w:pPr>
      <w:r>
        <w:t xml:space="preserve"/>
      </w:r>
    </w:p>
    <w:p>
      <w:r>
        <w:br w:type="page"/>
      </w:r>
    </w:p>
    <w:p>
      <w:pPr>
        <w:pStyle w:val="Heading1"/>
        <w:pBdr>
          <w:bottom w:val="single" w:color="7B2D8B" w:sz="6" w:space="1"/>
        </w:pBdr>
        <w:spacing w:after="180" w:before="360"/>
      </w:pPr>
      <w:r>
        <w:rPr>
          <w:rFonts w:ascii="Arial" w:cs="Arial" w:eastAsia="Arial" w:hAnsi="Arial"/>
          <w:b/>
          <w:bCs/>
          <w:color w:val="7B2D8B"/>
          <w:sz w:val="32"/>
          <w:szCs w:val="32"/>
        </w:rPr>
        <w:t xml:space="preserve">1. Executive Summary</w:t>
      </w:r>
    </w:p>
    <w:p>
      <w:pPr>
        <w:spacing w:after="100" w:before="60"/>
      </w:pPr>
      <w:r>
        <w:rPr>
          <w:rFonts w:ascii="Arial" w:cs="Arial" w:eastAsia="Arial" w:hAnsi="Arial"/>
          <w:sz w:val="22"/>
          <w:szCs w:val="22"/>
        </w:rPr>
        <w:t xml:space="preserve">This report documents the implementation of threat intelligence principles for the Enterprise Identity Security Platform (EISP) project. It covers two components: analysis of two Indicators of Compromise (IoCs) derived from the malware sample previously analyzed, and the implementation of the OpenCTI Threat Intelligence Platform using Docker Compose, including configuration of two intelligence connectors.</w:t>
      </w:r>
    </w:p>
    <w:p>
      <w:pPr>
        <w:spacing w:after="100" w:before="60"/>
      </w:pPr>
      <w:r>
        <w:rPr>
          <w:rFonts w:ascii="Arial" w:cs="Arial" w:eastAsia="Arial" w:hAnsi="Arial"/>
          <w:sz w:val="22"/>
          <w:szCs w:val="22"/>
        </w:rPr>
        <w:t xml:space="preserve">OpenCTI is an open-source cyber threat intelligence platform developed by ANSSI (French National Information Security Agency) and Filigran. It provides a centralized repository for storing, organizing, visualizing, and sharing threat intelligence based on STIX2 data standards and MITRE ATT&amp;CK integration.</w:t>
      </w:r>
    </w:p>
    <w:p>
      <w:pPr>
        <w:spacing w:after="80" w:before="80"/>
      </w:pPr>
      <w:r>
        <w:t xml:space="preserve"/>
      </w:r>
    </w:p>
    <w:p>
      <w:pPr>
        <w:pStyle w:val="Heading1"/>
        <w:pBdr>
          <w:bottom w:val="single" w:color="7B2D8B" w:sz="6" w:space="1"/>
        </w:pBdr>
        <w:spacing w:after="180" w:before="360"/>
      </w:pPr>
      <w:r>
        <w:rPr>
          <w:rFonts w:ascii="Arial" w:cs="Arial" w:eastAsia="Arial" w:hAnsi="Arial"/>
          <w:b/>
          <w:bCs/>
          <w:color w:val="7B2D8B"/>
          <w:sz w:val="32"/>
          <w:szCs w:val="32"/>
        </w:rPr>
        <w:t xml:space="preserve">2. IoC Analysis</w:t>
      </w:r>
    </w:p>
    <w:p>
      <w:pPr>
        <w:pStyle w:val="Heading2"/>
        <w:spacing w:after="120" w:before="240"/>
      </w:pPr>
      <w:r>
        <w:rPr>
          <w:rFonts w:ascii="Arial" w:cs="Arial" w:eastAsia="Arial" w:hAnsi="Arial"/>
          <w:b/>
          <w:bCs/>
          <w:color w:val="7B2D8B"/>
          <w:sz w:val="26"/>
          <w:szCs w:val="26"/>
        </w:rPr>
        <w:t xml:space="preserve">2.1 What Are Indicators of Compromise?</w:t>
      </w:r>
    </w:p>
    <w:p>
      <w:pPr>
        <w:spacing w:after="100" w:before="60"/>
      </w:pPr>
      <w:r>
        <w:rPr>
          <w:rFonts w:ascii="Arial" w:cs="Arial" w:eastAsia="Arial" w:hAnsi="Arial"/>
          <w:sz w:val="22"/>
          <w:szCs w:val="22"/>
        </w:rPr>
        <w:t xml:space="preserve">Indicators of Compromise (IoCs) are artifacts or forensic evidence that indicate a system has been breached or attacked. They serve as early warning signals that enable security teams to detect threats, hunt for compromises across the environment, and share intelligence with other organizations. IoCs are the primary currency of threat intelligence sharing (STIX, TAXII, MISP).</w:t>
      </w:r>
    </w:p>
    <w:p>
      <w:pPr>
        <w:spacing w:after="100" w:before="60"/>
      </w:pPr>
      <w:r>
        <w:rPr>
          <w:rFonts w:ascii="Arial" w:cs="Arial" w:eastAsia="Arial" w:hAnsi="Arial"/>
          <w:sz w:val="22"/>
          <w:szCs w:val="22"/>
        </w:rPr>
        <w:t xml:space="preserve">IoC types include: File hashes (MD5, SHA-1, SHA-256), IP addresses, Domain names, URLs, Email addresses, Registry keys, File paths, and behavioral patterns (TTPs).</w:t>
      </w:r>
    </w:p>
    <w:p>
      <w:pPr>
        <w:spacing w:after="80" w:before="80"/>
      </w:pPr>
      <w:r>
        <w:t xml:space="preserve"/>
      </w:r>
    </w:p>
    <w:p>
      <w:pPr>
        <w:pStyle w:val="Heading2"/>
        <w:spacing w:after="120" w:before="240"/>
      </w:pPr>
      <w:r>
        <w:rPr>
          <w:rFonts w:ascii="Arial" w:cs="Arial" w:eastAsia="Arial" w:hAnsi="Arial"/>
          <w:b/>
          <w:bCs/>
          <w:color w:val="7B2D8B"/>
          <w:sz w:val="26"/>
          <w:szCs w:val="26"/>
        </w:rPr>
        <w:t xml:space="preserve">2.2 IoC #1 — File Hash (SHA-256 Trojan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IoC Type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File Hash — SHA-256 (Atomic IoC)</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Value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76e45f001e51832b72d6cde024ea41922e3ecdac6379caf1d6458a8c116b9837</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Associated File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NOTEPAD.EXE (Trojan.AgentB / FileRepMalware)</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Detection Rate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26/71 vendors (VirusTotal)</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Threat Category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Trojan — Credential Stealer / Password Harvester</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First Seen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2026-04-12 12:32:45 UTC</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Last Seen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2026-04-07 18:30:54 UTC</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Confidence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High — Multi-engine confirmation</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TLP Marking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TLP:AMBER — Share with trusted partners only</w:t>
            </w:r>
          </w:p>
        </w:tc>
      </w:tr>
    </w:tbl>
    <w:p>
      <w:pPr>
        <w:spacing w:after="80" w:before="80"/>
      </w:pPr>
      <w:r>
        <w:t xml:space="preserve"/>
      </w:r>
    </w:p>
    <w:p>
      <w:pPr>
        <w:pStyle w:val="Heading3"/>
        <w:spacing w:after="80" w:before="180"/>
      </w:pPr>
      <w:r>
        <w:rPr>
          <w:rFonts w:ascii="Arial" w:cs="Arial" w:eastAsia="Arial" w:hAnsi="Arial"/>
          <w:b/>
          <w:bCs/>
          <w:color w:val="404040"/>
          <w:sz w:val="24"/>
          <w:szCs w:val="24"/>
        </w:rPr>
        <w:t xml:space="preserve">Detection Method:</w:t>
      </w:r>
    </w:p>
    <w:p>
      <w:pPr>
        <w:pStyle w:val="ListParagraph"/>
        <w:numPr>
          <w:ilvl w:val="0"/>
          <w:numId w:val="2"/>
        </w:numPr>
        <w:spacing w:after="40" w:before="40"/>
      </w:pPr>
      <w:r>
        <w:rPr>
          <w:rFonts w:ascii="Arial" w:cs="Arial" w:eastAsia="Arial" w:hAnsi="Arial"/>
          <w:sz w:val="22"/>
          <w:szCs w:val="22"/>
        </w:rPr>
        <w:t xml:space="preserve">Hash Reputation Lookup: Submit SHA-256 to VirusTotal, Any.Run, MalwareBazaar — confirmed malicious across 26+ AV engines</w:t>
      </w:r>
    </w:p>
    <w:p>
      <w:pPr>
        <w:pStyle w:val="ListParagraph"/>
        <w:numPr>
          <w:ilvl w:val="0"/>
          <w:numId w:val="2"/>
        </w:numPr>
        <w:spacing w:after="40" w:before="40"/>
      </w:pPr>
      <w:r>
        <w:rPr>
          <w:rFonts w:ascii="Arial" w:cs="Arial" w:eastAsia="Arial" w:hAnsi="Arial"/>
          <w:sz w:val="22"/>
          <w:szCs w:val="22"/>
        </w:rPr>
        <w:t xml:space="preserve">YARA Rule Match: SUSP_MinGW_Microsoft_Combo_Jul20_1 and THOR APT Scanner rule triggered — identifies MinGW-compiled PE binaries impersonating Microsoft software</w:t>
      </w:r>
    </w:p>
    <w:p>
      <w:pPr>
        <w:pStyle w:val="ListParagraph"/>
        <w:numPr>
          <w:ilvl w:val="0"/>
          <w:numId w:val="2"/>
        </w:numPr>
        <w:spacing w:after="40" w:before="40"/>
      </w:pPr>
      <w:r>
        <w:rPr>
          <w:rFonts w:ascii="Arial" w:cs="Arial" w:eastAsia="Arial" w:hAnsi="Arial"/>
          <w:sz w:val="22"/>
          <w:szCs w:val="22"/>
        </w:rPr>
        <w:t xml:space="preserve">Authentihash Matching: Authenticode hash (724e27c4...) enables detection even when file is renamed or packed, as it covers the signed portions of the PE file</w:t>
      </w:r>
    </w:p>
    <w:p>
      <w:pPr>
        <w:pStyle w:val="ListParagraph"/>
        <w:numPr>
          <w:ilvl w:val="0"/>
          <w:numId w:val="2"/>
        </w:numPr>
        <w:spacing w:after="40" w:before="40"/>
      </w:pPr>
      <w:r>
        <w:rPr>
          <w:rFonts w:ascii="Arial" w:cs="Arial" w:eastAsia="Arial" w:hAnsi="Arial"/>
          <w:sz w:val="22"/>
          <w:szCs w:val="22"/>
        </w:rPr>
        <w:t xml:space="preserve">Behavioral IOC Correlation: The hash, combined with C2 domains (seall-vernous.com, t.me/gerj_threuh), forms a composite IoC cluster for high-confidence threat attribution</w:t>
      </w:r>
    </w:p>
    <w:p>
      <w:pPr>
        <w:pStyle w:val="Heading3"/>
        <w:spacing w:after="80" w:before="180"/>
      </w:pPr>
      <w:r>
        <w:rPr>
          <w:rFonts w:ascii="Arial" w:cs="Arial" w:eastAsia="Arial" w:hAnsi="Arial"/>
          <w:b/>
          <w:bCs/>
          <w:color w:val="404040"/>
          <w:sz w:val="24"/>
          <w:szCs w:val="24"/>
        </w:rPr>
        <w:t xml:space="preserve">How It Indicates a Threat:</w:t>
      </w:r>
    </w:p>
    <w:p>
      <w:pPr>
        <w:pStyle w:val="ListParagraph"/>
        <w:numPr>
          <w:ilvl w:val="0"/>
          <w:numId w:val="2"/>
        </w:numPr>
        <w:spacing w:after="40" w:before="40"/>
      </w:pPr>
      <w:r>
        <w:rPr>
          <w:rFonts w:ascii="Arial" w:cs="Arial" w:eastAsia="Arial" w:hAnsi="Arial"/>
          <w:sz w:val="22"/>
          <w:szCs w:val="22"/>
        </w:rPr>
        <w:t xml:space="preserve">A SHA-256 match against this hash in an environment's EDR/AV telemetry confirms execution of known malicious code</w:t>
      </w:r>
    </w:p>
    <w:p>
      <w:pPr>
        <w:pStyle w:val="ListParagraph"/>
        <w:numPr>
          <w:ilvl w:val="0"/>
          <w:numId w:val="2"/>
        </w:numPr>
        <w:spacing w:after="40" w:before="40"/>
      </w:pPr>
      <w:r>
        <w:rPr>
          <w:rFonts w:ascii="Arial" w:cs="Arial" w:eastAsia="Arial" w:hAnsi="Arial"/>
          <w:sz w:val="22"/>
          <w:szCs w:val="22"/>
        </w:rPr>
        <w:t xml:space="preserve">The file presents as NOTEPAD.EXE (T1036.001 — Masquerading) but carries credential-stealing payload (T1555)</w:t>
      </w:r>
    </w:p>
    <w:p>
      <w:pPr>
        <w:pStyle w:val="ListParagraph"/>
        <w:numPr>
          <w:ilvl w:val="0"/>
          <w:numId w:val="2"/>
        </w:numPr>
        <w:spacing w:after="40" w:before="40"/>
      </w:pPr>
      <w:r>
        <w:rPr>
          <w:rFonts w:ascii="Arial" w:cs="Arial" w:eastAsia="Arial" w:hAnsi="Arial"/>
          <w:sz w:val="22"/>
          <w:szCs w:val="22"/>
        </w:rPr>
        <w:t xml:space="preserve">Detection in SIEM: Hash present in process creation events (EventID 4688 / Sysmon EventID 1) = confirmed infection</w:t>
      </w:r>
    </w:p>
    <w:p>
      <w:pPr>
        <w:pStyle w:val="ListParagraph"/>
        <w:numPr>
          <w:ilvl w:val="0"/>
          <w:numId w:val="2"/>
        </w:numPr>
        <w:spacing w:after="40" w:before="40"/>
      </w:pPr>
      <w:r>
        <w:rPr>
          <w:rFonts w:ascii="Arial" w:cs="Arial" w:eastAsia="Arial" w:hAnsi="Arial"/>
          <w:sz w:val="22"/>
          <w:szCs w:val="22"/>
        </w:rPr>
        <w:t xml:space="preserve">In EISP context: This malware directly threatens stored credentials for Okta, Azure AD, and other identity systems</w:t>
      </w:r>
    </w:p>
    <w:p>
      <w:pPr>
        <w:spacing w:after="80" w:before="80"/>
      </w:pPr>
      <w:r>
        <w:t xml:space="preserve"/>
      </w:r>
    </w:p>
    <w:p>
      <w:pPr>
        <w:pStyle w:val="Heading2"/>
        <w:spacing w:after="120" w:before="240"/>
      </w:pPr>
      <w:r>
        <w:rPr>
          <w:rFonts w:ascii="Arial" w:cs="Arial" w:eastAsia="Arial" w:hAnsi="Arial"/>
          <w:b/>
          <w:bCs/>
          <w:color w:val="7B2D8B"/>
          <w:sz w:val="26"/>
          <w:szCs w:val="26"/>
        </w:rPr>
        <w:t xml:space="preserve">2.3 IoC #2 — Suspicious Domain (C2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IoC Type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Domain Name — C2 Infrastructure (Network IoC)</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Domain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seall-vernous.com</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VirusTotal Score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19/94 vendors flagged as malicious</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Domain Created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2026-03-18 (Newly registered — high suspicion)</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Registrar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Unknown (redacted / privacy protection)</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HTTP Status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403 Forbidden (active but blocking analysis)</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Associated Malware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NOTEPAD.EXE Trojan (76e45f001...)</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Threat Category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C2 (Command &amp; Control) / Malware Distribution</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TLP Marking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TLP:GREEN — Shareable with community</w:t>
            </w:r>
          </w:p>
        </w:tc>
      </w:tr>
      <w:tr>
        <w:tc>
          <w:tcPr>
            <w:tcW w:type="dxa" w:w="2400"/>
            <w:tcBorders>
              <w:top w:val="single" w:color="CCCCCC" w:sz="1"/>
              <w:left w:val="single" w:color="CCCCCC" w:sz="1"/>
              <w:bottom w:val="single" w:color="CCCCCC" w:sz="1"/>
              <w:right w:val="single" w:color="CCCCCC" w:sz="1"/>
            </w:tcBorders>
            <w:shd w:fill="EBF0FA" w:val="clear"/>
            <w:tcMar>
              <w:top w:type="dxa" w:w="70"/>
              <w:left w:type="dxa" w:w="120"/>
              <w:bottom w:type="dxa" w:w="70"/>
              <w:right w:type="dxa" w:w="120"/>
            </w:tcMar>
          </w:tcPr>
          <w:p>
            <w:r>
              <w:rPr>
                <w:rFonts w:ascii="Arial" w:cs="Arial" w:eastAsia="Arial" w:hAnsi="Arial"/>
                <w:b/>
                <w:bCs/>
                <w:color w:val="000000"/>
                <w:sz w:val="19"/>
                <w:szCs w:val="19"/>
              </w:rPr>
              <w:t xml:space="preserve">MITRE ATT&amp;CK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T1071.001 — Application Layer Protocol: Web Protocols</w:t>
            </w:r>
          </w:p>
        </w:tc>
      </w:tr>
    </w:tbl>
    <w:p>
      <w:pPr>
        <w:spacing w:after="80" w:before="80"/>
      </w:pPr>
      <w:r>
        <w:t xml:space="preserve"/>
      </w:r>
    </w:p>
    <w:p>
      <w:pPr>
        <w:pStyle w:val="Heading3"/>
        <w:spacing w:after="80" w:before="180"/>
      </w:pPr>
      <w:r>
        <w:rPr>
          <w:rFonts w:ascii="Arial" w:cs="Arial" w:eastAsia="Arial" w:hAnsi="Arial"/>
          <w:b/>
          <w:bCs/>
          <w:color w:val="404040"/>
          <w:sz w:val="24"/>
          <w:szCs w:val="24"/>
        </w:rPr>
        <w:t xml:space="preserve">Detection Methods:</w:t>
      </w:r>
    </w:p>
    <w:p>
      <w:pPr>
        <w:pStyle w:val="ListParagraph"/>
        <w:numPr>
          <w:ilvl w:val="0"/>
          <w:numId w:val="2"/>
        </w:numPr>
        <w:spacing w:after="40" w:before="40"/>
      </w:pPr>
      <w:r>
        <w:rPr>
          <w:rFonts w:ascii="Arial" w:cs="Arial" w:eastAsia="Arial" w:hAnsi="Arial"/>
          <w:sz w:val="22"/>
          <w:szCs w:val="22"/>
        </w:rPr>
        <w:t xml:space="preserve">Passive DNS Analysis: DNS query logs showing connections to seall-vernous.com from enterprise endpoints indicate C2 beacon activity</w:t>
      </w:r>
    </w:p>
    <w:p>
      <w:pPr>
        <w:pStyle w:val="ListParagraph"/>
        <w:numPr>
          <w:ilvl w:val="0"/>
          <w:numId w:val="2"/>
        </w:numPr>
        <w:spacing w:after="40" w:before="40"/>
      </w:pPr>
      <w:r>
        <w:rPr>
          <w:rFonts w:ascii="Arial" w:cs="Arial" w:eastAsia="Arial" w:hAnsi="Arial"/>
          <w:sz w:val="22"/>
          <w:szCs w:val="22"/>
        </w:rPr>
        <w:t xml:space="preserve">Domain Age Analysis: Domain registered 2026-03-18 — only weeks old at time of malware first submission. Newly registered domains are a strong IoC for purpose-built malicious infrastructure</w:t>
      </w:r>
    </w:p>
    <w:p>
      <w:pPr>
        <w:pStyle w:val="ListParagraph"/>
        <w:numPr>
          <w:ilvl w:val="0"/>
          <w:numId w:val="2"/>
        </w:numPr>
        <w:spacing w:after="40" w:before="40"/>
      </w:pPr>
      <w:r>
        <w:rPr>
          <w:rFonts w:ascii="Arial" w:cs="Arial" w:eastAsia="Arial" w:hAnsi="Arial"/>
          <w:sz w:val="22"/>
          <w:szCs w:val="22"/>
        </w:rPr>
        <w:t xml:space="preserve">Threat Intelligence Feeds: Domain appears in commercial and community threat intelligence feeds (VirusTotal 19/94 detection, indicating broad industry recognition)</w:t>
      </w:r>
    </w:p>
    <w:p>
      <w:pPr>
        <w:pStyle w:val="ListParagraph"/>
        <w:numPr>
          <w:ilvl w:val="0"/>
          <w:numId w:val="2"/>
        </w:numPr>
        <w:spacing w:after="40" w:before="40"/>
      </w:pPr>
      <w:r>
        <w:rPr>
          <w:rFonts w:ascii="Arial" w:cs="Arial" w:eastAsia="Arial" w:hAnsi="Arial"/>
          <w:sz w:val="22"/>
          <w:szCs w:val="22"/>
        </w:rPr>
        <w:t xml:space="preserve">Network Traffic Analysis: HTTP connections with 403 Forbidden response — common C2 pattern where the server only responds to specific beacon parameters; generic requests receive 403</w:t>
      </w:r>
    </w:p>
    <w:p>
      <w:pPr>
        <w:pStyle w:val="ListParagraph"/>
        <w:numPr>
          <w:ilvl w:val="0"/>
          <w:numId w:val="2"/>
        </w:numPr>
        <w:spacing w:after="40" w:before="40"/>
      </w:pPr>
      <w:r>
        <w:rPr>
          <w:rFonts w:ascii="Arial" w:cs="Arial" w:eastAsia="Arial" w:hAnsi="Arial"/>
          <w:sz w:val="22"/>
          <w:szCs w:val="22"/>
        </w:rPr>
        <w:t xml:space="preserve">TLS JA3 Fingerprinting: The malware's TLS client fingerprint (captured in sandbox) can be used to detect the same C2 communication pattern on different domains</w:t>
      </w:r>
    </w:p>
    <w:p>
      <w:pPr>
        <w:pStyle w:val="Heading3"/>
        <w:spacing w:after="80" w:before="180"/>
      </w:pPr>
      <w:r>
        <w:rPr>
          <w:rFonts w:ascii="Arial" w:cs="Arial" w:eastAsia="Arial" w:hAnsi="Arial"/>
          <w:b/>
          <w:bCs/>
          <w:color w:val="404040"/>
          <w:sz w:val="24"/>
          <w:szCs w:val="24"/>
        </w:rPr>
        <w:t xml:space="preserve">How It Indicates a Threat:</w:t>
      </w:r>
    </w:p>
    <w:p>
      <w:pPr>
        <w:pStyle w:val="ListParagraph"/>
        <w:numPr>
          <w:ilvl w:val="0"/>
          <w:numId w:val="2"/>
        </w:numPr>
        <w:spacing w:after="40" w:before="40"/>
      </w:pPr>
      <w:r>
        <w:rPr>
          <w:rFonts w:ascii="Arial" w:cs="Arial" w:eastAsia="Arial" w:hAnsi="Arial"/>
          <w:sz w:val="22"/>
          <w:szCs w:val="22"/>
        </w:rPr>
        <w:t xml:space="preserve">Any DNS query to seall-vernous.com from an enterprise device indicates the Trojan has executed and is attempting C2 communication</w:t>
      </w:r>
    </w:p>
    <w:p>
      <w:pPr>
        <w:pStyle w:val="ListParagraph"/>
        <w:numPr>
          <w:ilvl w:val="0"/>
          <w:numId w:val="2"/>
        </w:numPr>
        <w:spacing w:after="40" w:before="40"/>
      </w:pPr>
      <w:r>
        <w:rPr>
          <w:rFonts w:ascii="Arial" w:cs="Arial" w:eastAsia="Arial" w:hAnsi="Arial"/>
          <w:sz w:val="22"/>
          <w:szCs w:val="22"/>
        </w:rPr>
        <w:t xml:space="preserve">Newly registered domains (&lt; 30 days) with 403 responses to analysis tools are a classic C2 fingerprint</w:t>
      </w:r>
    </w:p>
    <w:p>
      <w:pPr>
        <w:pStyle w:val="ListParagraph"/>
        <w:numPr>
          <w:ilvl w:val="0"/>
          <w:numId w:val="2"/>
        </w:numPr>
        <w:spacing w:after="40" w:before="40"/>
      </w:pPr>
      <w:r>
        <w:rPr>
          <w:rFonts w:ascii="Arial" w:cs="Arial" w:eastAsia="Arial" w:hAnsi="Arial"/>
          <w:sz w:val="22"/>
          <w:szCs w:val="22"/>
        </w:rPr>
        <w:t xml:space="preserve">In EISP context: C2 communication from an identity server subnet indicates a severe breach — the attacker has foothold near credential stores</w:t>
      </w:r>
    </w:p>
    <w:p>
      <w:pPr>
        <w:pStyle w:val="ListParagraph"/>
        <w:numPr>
          <w:ilvl w:val="0"/>
          <w:numId w:val="2"/>
        </w:numPr>
        <w:spacing w:after="40" w:before="40"/>
      </w:pPr>
      <w:r>
        <w:rPr>
          <w:rFonts w:ascii="Arial" w:cs="Arial" w:eastAsia="Arial" w:hAnsi="Arial"/>
          <w:sz w:val="22"/>
          <w:szCs w:val="22"/>
        </w:rPr>
        <w:t xml:space="preserve">Response: Immediately isolate the device, revoke all sessions associated with that device in Okta, rotate all credentials that may have been accessible</w:t>
      </w:r>
    </w:p>
    <w:p>
      <w:pPr>
        <w:spacing w:after="80" w:before="80"/>
      </w:pPr>
      <w:r>
        <w:t xml:space="preserve"/>
      </w:r>
    </w:p>
    <w:p>
      <w:pPr>
        <w:pStyle w:val="Heading2"/>
        <w:spacing w:after="120" w:before="240"/>
      </w:pPr>
      <w:r>
        <w:rPr>
          <w:rFonts w:ascii="Arial" w:cs="Arial" w:eastAsia="Arial" w:hAnsi="Arial"/>
          <w:b/>
          <w:bCs/>
          <w:color w:val="7B2D8B"/>
          <w:sz w:val="26"/>
          <w:szCs w:val="26"/>
        </w:rPr>
        <w:t xml:space="preserve">2.4 IoC Comparison &amp; Pyramid of Pain</w:t>
      </w:r>
    </w:p>
    <w:p>
      <w:pPr>
        <w:spacing w:after="100" w:before="60"/>
      </w:pPr>
      <w:r>
        <w:rPr>
          <w:rFonts w:ascii="Arial" w:cs="Arial" w:eastAsia="Arial" w:hAnsi="Arial"/>
          <w:sz w:val="22"/>
          <w:szCs w:val="22"/>
        </w:rPr>
        <w:t xml:space="preserve">Using the Pyramid of Pain framework (David Bianco), IoCs are ranked by difficulty to change for the adversary: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Level</w:t>
            </w:r>
          </w:p>
        </w:tc>
        <w:tc>
          <w:tcPr>
            <w:tcW w:type="dxa" w:w="24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IoC Type</w:t>
            </w:r>
          </w:p>
        </w:tc>
        <w:tc>
          <w:tcPr>
            <w:tcW w:type="dxa" w:w="22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316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EISP Detection Method</w:t>
            </w:r>
          </w:p>
        </w:tc>
      </w:tr>
      <w:tr>
        <w:tc>
          <w:tcPr>
            <w:tcW w:type="dxa" w:w="16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r>
              <w:rPr>
                <w:rFonts w:ascii="Arial" w:cs="Arial" w:eastAsia="Arial" w:hAnsi="Arial"/>
                <w:b w:val="false"/>
                <w:bCs w:val="false"/>
                <w:color w:val="000000"/>
                <w:sz w:val="19"/>
                <w:szCs w:val="19"/>
              </w:rPr>
              <w:t xml:space="preserve">Easy (Trivial)</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000000"/>
                <w:sz w:val="19"/>
                <w:szCs w:val="19"/>
              </w:rPr>
              <w:t xml:space="preserve">Hash Values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SHA-256: 76e45f...</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EDR/AV hash reputation; VirusTotal API integration in SIEM</w:t>
            </w:r>
          </w:p>
        </w:tc>
      </w:tr>
      <w:tr>
        <w:tc>
          <w:tcPr>
            <w:tcW w:type="dxa" w:w="16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r>
              <w:rPr>
                <w:rFonts w:ascii="Arial" w:cs="Arial" w:eastAsia="Arial" w:hAnsi="Arial"/>
                <w:b w:val="false"/>
                <w:bCs w:val="false"/>
                <w:color w:val="000000"/>
                <w:sz w:val="19"/>
                <w:szCs w:val="19"/>
              </w:rPr>
              <w:t xml:space="preserve">Easy</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000000"/>
                <w:sz w:val="19"/>
                <w:szCs w:val="19"/>
              </w:rPr>
              <w:t xml:space="preserve">IP Addresses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C2 IP behind t.me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Firewall/proxy block lists; SIEM alert on outbound to flagged IPs</w:t>
            </w:r>
          </w:p>
        </w:tc>
      </w:tr>
      <w:tr>
        <w:tc>
          <w:tcPr>
            <w:tcW w:type="dxa" w:w="1600"/>
            <w:tcBorders>
              <w:top w:val="single" w:color="CCCCCC" w:sz="1"/>
              <w:left w:val="single" w:color="CCCCCC" w:sz="1"/>
              <w:bottom w:val="single" w:color="CCCCCC" w:sz="1"/>
              <w:right w:val="single" w:color="CCCCCC" w:sz="1"/>
            </w:tcBorders>
            <w:shd w:fill="FFFDE7" w:val="clear"/>
            <w:tcMar>
              <w:top w:type="dxa" w:w="70"/>
              <w:left w:type="dxa" w:w="120"/>
              <w:bottom w:type="dxa" w:w="70"/>
              <w:right w:type="dxa" w:w="120"/>
            </w:tcMar>
          </w:tcPr>
          <w:p>
            <w:r>
              <w:rPr>
                <w:rFonts w:ascii="Arial" w:cs="Arial" w:eastAsia="Arial" w:hAnsi="Arial"/>
                <w:b w:val="false"/>
                <w:bCs w:val="false"/>
                <w:color w:val="000000"/>
                <w:sz w:val="19"/>
                <w:szCs w:val="19"/>
              </w:rPr>
              <w:t xml:space="preserve">Medium</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000000"/>
                <w:sz w:val="19"/>
                <w:szCs w:val="19"/>
              </w:rPr>
              <w:t xml:space="preserve">Domain Names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seall-vernous.com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DNS RPZ blocking; Passive DNS monitoring; Threat intel feed integration</w:t>
            </w:r>
          </w:p>
        </w:tc>
      </w:tr>
      <w:tr>
        <w:tc>
          <w:tcPr>
            <w:tcW w:type="dxa" w:w="1600"/>
            <w:tcBorders>
              <w:top w:val="single" w:color="CCCCCC" w:sz="1"/>
              <w:left w:val="single" w:color="CCCCCC" w:sz="1"/>
              <w:bottom w:val="single" w:color="CCCCCC" w:sz="1"/>
              <w:right w:val="single" w:color="CCCCCC" w:sz="1"/>
            </w:tcBorders>
            <w:shd w:fill="FFFDE7" w:val="clear"/>
            <w:tcMar>
              <w:top w:type="dxa" w:w="70"/>
              <w:left w:type="dxa" w:w="120"/>
              <w:bottom w:type="dxa" w:w="70"/>
              <w:right w:type="dxa" w:w="120"/>
            </w:tcMar>
          </w:tcPr>
          <w:p>
            <w:r>
              <w:rPr>
                <w:rFonts w:ascii="Arial" w:cs="Arial" w:eastAsia="Arial" w:hAnsi="Arial"/>
                <w:b w:val="false"/>
                <w:bCs w:val="false"/>
                <w:color w:val="000000"/>
                <w:sz w:val="19"/>
                <w:szCs w:val="19"/>
              </w:rPr>
              <w:t xml:space="preserve">Medium</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000000"/>
                <w:sz w:val="19"/>
                <w:szCs w:val="19"/>
              </w:rPr>
              <w:t xml:space="preserve">Network Artifacts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JA3 TLS fingerprint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IDS/IPS TLS fingerprint matching; network flow analysis</w:t>
            </w:r>
          </w:p>
        </w:tc>
      </w:tr>
      <w:tr>
        <w:tc>
          <w:tcPr>
            <w:tcW w:type="dxa" w:w="16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val="false"/>
                <w:bCs w:val="false"/>
                <w:color w:val="000000"/>
                <w:sz w:val="19"/>
                <w:szCs w:val="19"/>
              </w:rPr>
              <w:t xml:space="preserve">Hard</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000000"/>
                <w:sz w:val="19"/>
                <w:szCs w:val="19"/>
              </w:rPr>
              <w:t xml:space="preserve">Host Artifacts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Registry keys, file paths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EDR behavioral rules; YARA scanning on endpoints</w:t>
            </w:r>
          </w:p>
        </w:tc>
      </w:tr>
      <w:tr>
        <w:tc>
          <w:tcPr>
            <w:tcW w:type="dxa" w:w="16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val="false"/>
                <w:bCs w:val="false"/>
                <w:color w:val="000000"/>
                <w:sz w:val="19"/>
                <w:szCs w:val="19"/>
              </w:rPr>
              <w:t xml:space="preserve">Very Hard</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000000"/>
                <w:sz w:val="19"/>
                <w:szCs w:val="19"/>
              </w:rPr>
              <w:t xml:space="preserve">TTPs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T1036.001 Masquerading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Behavioral detection rules; ATT&amp;CK-aligned SIEM use cases</w:t>
            </w:r>
          </w:p>
        </w:tc>
      </w:tr>
    </w:tbl>
    <w:p>
      <w:pPr>
        <w:spacing w:after="80" w:before="80"/>
      </w:pPr>
      <w:r>
        <w:t xml:space="preserve"/>
      </w:r>
    </w:p>
    <w:p>
      <w:pPr>
        <w:pStyle w:val="Heading1"/>
        <w:pBdr>
          <w:bottom w:val="single" w:color="7B2D8B" w:sz="6" w:space="1"/>
        </w:pBdr>
        <w:spacing w:after="180" w:before="360"/>
      </w:pPr>
      <w:r>
        <w:rPr>
          <w:rFonts w:ascii="Arial" w:cs="Arial" w:eastAsia="Arial" w:hAnsi="Arial"/>
          <w:b/>
          <w:bCs/>
          <w:color w:val="7B2D8B"/>
          <w:sz w:val="32"/>
          <w:szCs w:val="32"/>
        </w:rPr>
        <w:t xml:space="preserve">3. OpenCTI Platform Implementation</w:t>
      </w:r>
    </w:p>
    <w:p>
      <w:pPr>
        <w:pStyle w:val="Heading2"/>
        <w:spacing w:after="120" w:before="240"/>
      </w:pPr>
      <w:r>
        <w:rPr>
          <w:rFonts w:ascii="Arial" w:cs="Arial" w:eastAsia="Arial" w:hAnsi="Arial"/>
          <w:b/>
          <w:bCs/>
          <w:color w:val="7B2D8B"/>
          <w:sz w:val="26"/>
          <w:szCs w:val="26"/>
        </w:rPr>
        <w:t xml:space="preserve">3.1 Platform Overview</w:t>
      </w:r>
    </w:p>
    <w:p>
      <w:pPr>
        <w:spacing w:after="100" w:before="60"/>
      </w:pPr>
      <w:r>
        <w:rPr>
          <w:rFonts w:ascii="Arial" w:cs="Arial" w:eastAsia="Arial" w:hAnsi="Arial"/>
          <w:sz w:val="22"/>
          <w:szCs w:val="22"/>
        </w:rPr>
        <w:t xml:space="preserve">OpenCTI (Open Cyber Threat Intelligence) is a unified platform for managing cyber threat intelligence, built on the STIX2 standard and integrated with MITRE ATT&amp;CK. It enables organizations to ingest, store, enrich, correlate, and share threat intelligence from multiple sources in a structured, graph-based format.</w:t>
      </w:r>
    </w:p>
    <w:p>
      <w:pPr>
        <w:pStyle w:val="Heading3"/>
        <w:spacing w:after="80" w:before="180"/>
      </w:pPr>
      <w:r>
        <w:rPr>
          <w:rFonts w:ascii="Arial" w:cs="Arial" w:eastAsia="Arial" w:hAnsi="Arial"/>
          <w:b/>
          <w:bCs/>
          <w:color w:val="404040"/>
          <w:sz w:val="24"/>
          <w:szCs w:val="24"/>
        </w:rPr>
        <w:t xml:space="preserve">Key Capabilities:</w:t>
      </w:r>
    </w:p>
    <w:p>
      <w:pPr>
        <w:pStyle w:val="ListParagraph"/>
        <w:numPr>
          <w:ilvl w:val="0"/>
          <w:numId w:val="2"/>
        </w:numPr>
        <w:spacing w:after="40" w:before="40"/>
      </w:pPr>
      <w:r>
        <w:rPr>
          <w:rFonts w:ascii="Arial" w:cs="Arial" w:eastAsia="Arial" w:hAnsi="Arial"/>
          <w:sz w:val="22"/>
          <w:szCs w:val="22"/>
        </w:rPr>
        <w:t xml:space="preserve">Structured threat intelligence storage using STIX 2.1 (Structured Threat Information eXpression)</w:t>
      </w:r>
    </w:p>
    <w:p>
      <w:pPr>
        <w:pStyle w:val="ListParagraph"/>
        <w:numPr>
          <w:ilvl w:val="0"/>
          <w:numId w:val="2"/>
        </w:numPr>
        <w:spacing w:after="40" w:before="40"/>
      </w:pPr>
      <w:r>
        <w:rPr>
          <w:rFonts w:ascii="Arial" w:cs="Arial" w:eastAsia="Arial" w:hAnsi="Arial"/>
          <w:sz w:val="22"/>
          <w:szCs w:val="22"/>
        </w:rPr>
        <w:t xml:space="preserve">Native MITRE ATT&amp;CK framework integration with technique mapping and visualization</w:t>
      </w:r>
    </w:p>
    <w:p>
      <w:pPr>
        <w:pStyle w:val="ListParagraph"/>
        <w:numPr>
          <w:ilvl w:val="0"/>
          <w:numId w:val="2"/>
        </w:numPr>
        <w:spacing w:after="40" w:before="40"/>
      </w:pPr>
      <w:r>
        <w:rPr>
          <w:rFonts w:ascii="Arial" w:cs="Arial" w:eastAsia="Arial" w:hAnsi="Arial"/>
          <w:sz w:val="22"/>
          <w:szCs w:val="22"/>
        </w:rPr>
        <w:t xml:space="preserve">Connector ecosystem: 200+ connectors for threat feeds, sandboxes, vulnerability databases</w:t>
      </w:r>
    </w:p>
    <w:p>
      <w:pPr>
        <w:pStyle w:val="ListParagraph"/>
        <w:numPr>
          <w:ilvl w:val="0"/>
          <w:numId w:val="2"/>
        </w:numPr>
        <w:spacing w:after="40" w:before="40"/>
      </w:pPr>
      <w:r>
        <w:rPr>
          <w:rFonts w:ascii="Arial" w:cs="Arial" w:eastAsia="Arial" w:hAnsi="Arial"/>
          <w:sz w:val="22"/>
          <w:szCs w:val="22"/>
        </w:rPr>
        <w:t xml:space="preserve">OpenID Connect (OIDC) authentication support — integrates directly with EISP's Okta IdP</w:t>
      </w:r>
    </w:p>
    <w:p>
      <w:pPr>
        <w:pStyle w:val="ListParagraph"/>
        <w:numPr>
          <w:ilvl w:val="0"/>
          <w:numId w:val="2"/>
        </w:numPr>
        <w:spacing w:after="40" w:before="40"/>
      </w:pPr>
      <w:r>
        <w:rPr>
          <w:rFonts w:ascii="Arial" w:cs="Arial" w:eastAsia="Arial" w:hAnsi="Arial"/>
          <w:sz w:val="22"/>
          <w:szCs w:val="22"/>
        </w:rPr>
        <w:t xml:space="preserve">GraphQL API for programmatic intelligence access and SIEM/SOAR integration</w:t>
      </w:r>
    </w:p>
    <w:p>
      <w:pPr>
        <w:pStyle w:val="ListParagraph"/>
        <w:numPr>
          <w:ilvl w:val="0"/>
          <w:numId w:val="2"/>
        </w:numPr>
        <w:spacing w:after="40" w:before="40"/>
      </w:pPr>
      <w:r>
        <w:rPr>
          <w:rFonts w:ascii="Arial" w:cs="Arial" w:eastAsia="Arial" w:hAnsi="Arial"/>
          <w:sz w:val="22"/>
          <w:szCs w:val="22"/>
        </w:rPr>
        <w:t xml:space="preserve">Observable correlation: Automatically links IoCs to threats, campaigns, threat actors, and TTPs</w:t>
      </w:r>
    </w:p>
    <w:p>
      <w:pPr>
        <w:spacing w:after="80" w:before="80"/>
      </w:pPr>
      <w:r>
        <w:t xml:space="preserve"/>
      </w:r>
    </w:p>
    <w:p>
      <w:pPr>
        <w:pStyle w:val="Heading2"/>
        <w:spacing w:after="120" w:before="240"/>
      </w:pPr>
      <w:r>
        <w:rPr>
          <w:rFonts w:ascii="Arial" w:cs="Arial" w:eastAsia="Arial" w:hAnsi="Arial"/>
          <w:b/>
          <w:bCs/>
          <w:color w:val="7B2D8B"/>
          <w:sz w:val="26"/>
          <w:szCs w:val="26"/>
        </w:rPr>
        <w:t xml:space="preserve">3.2 Docker Compose Installation</w:t>
      </w:r>
    </w:p>
    <w:p>
      <w:pPr>
        <w:pStyle w:val="Heading3"/>
        <w:spacing w:after="80" w:before="180"/>
      </w:pPr>
      <w:r>
        <w:rPr>
          <w:rFonts w:ascii="Arial" w:cs="Arial" w:eastAsia="Arial" w:hAnsi="Arial"/>
          <w:b/>
          <w:bCs/>
          <w:color w:val="404040"/>
          <w:sz w:val="24"/>
          <w:szCs w:val="24"/>
        </w:rPr>
        <w:t xml:space="preserve">Prerequisites:</w:t>
      </w:r>
    </w:p>
    <w:p>
      <w:pPr>
        <w:pStyle w:val="ListParagraph"/>
        <w:numPr>
          <w:ilvl w:val="0"/>
          <w:numId w:val="2"/>
        </w:numPr>
        <w:spacing w:after="40" w:before="40"/>
      </w:pPr>
      <w:r>
        <w:rPr>
          <w:rFonts w:ascii="Arial" w:cs="Arial" w:eastAsia="Arial" w:hAnsi="Arial"/>
          <w:sz w:val="22"/>
          <w:szCs w:val="22"/>
        </w:rPr>
        <w:t xml:space="preserve">Docker Engine 20.10+ and Docker Compose v2</w:t>
      </w:r>
    </w:p>
    <w:p>
      <w:pPr>
        <w:pStyle w:val="ListParagraph"/>
        <w:numPr>
          <w:ilvl w:val="0"/>
          <w:numId w:val="2"/>
        </w:numPr>
        <w:spacing w:after="40" w:before="40"/>
      </w:pPr>
      <w:r>
        <w:rPr>
          <w:rFonts w:ascii="Arial" w:cs="Arial" w:eastAsia="Arial" w:hAnsi="Arial"/>
          <w:sz w:val="22"/>
          <w:szCs w:val="22"/>
        </w:rPr>
        <w:t xml:space="preserve">Minimum: 8 CPU cores, 16 GB RAM, 100 GB disk (Elasticsearch requirement)</w:t>
      </w:r>
    </w:p>
    <w:p>
      <w:pPr>
        <w:pStyle w:val="ListParagraph"/>
        <w:numPr>
          <w:ilvl w:val="0"/>
          <w:numId w:val="2"/>
        </w:numPr>
        <w:spacing w:after="40" w:before="40"/>
      </w:pPr>
      <w:r>
        <w:rPr>
          <w:rFonts w:ascii="Arial" w:cs="Arial" w:eastAsia="Arial" w:hAnsi="Arial"/>
          <w:sz w:val="22"/>
          <w:szCs w:val="22"/>
        </w:rPr>
        <w:t xml:space="preserve">Linux host (Ubuntu 22.04 LTS recommended) or Docker Desktop on macOS/Windows</w:t>
      </w:r>
    </w:p>
    <w:p>
      <w:pPr>
        <w:pStyle w:val="ListParagraph"/>
        <w:numPr>
          <w:ilvl w:val="0"/>
          <w:numId w:val="2"/>
        </w:numPr>
        <w:spacing w:after="40" w:before="40"/>
      </w:pPr>
      <w:r>
        <w:rPr>
          <w:rFonts w:ascii="Arial" w:cs="Arial" w:eastAsia="Arial" w:hAnsi="Arial"/>
          <w:sz w:val="22"/>
          <w:szCs w:val="22"/>
        </w:rPr>
        <w:t xml:space="preserve">Open ports: 8080 (HTTP) or 443 (HTTPS)</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Step 1: Clone the OpenCTI Docker Repository</w:t>
      </w:r>
    </w:p>
    <w:p>
      <w:pPr>
        <w:spacing w:after="60" w:before="60"/>
      </w:pPr>
      <w:r>
        <w:rPr>
          <w:rFonts w:ascii="Courier New" w:cs="Courier New" w:eastAsia="Courier New" w:hAnsi="Courier New"/>
          <w:b/>
          <w:bCs/>
          <w:sz w:val="20"/>
          <w:szCs w:val="20"/>
        </w:rPr>
        <w:t xml:space="preserve">git clone https://github.com/OpenCTI-Platform/docker.git opencti-docker</w:t>
      </w:r>
    </w:p>
    <w:p>
      <w:pPr>
        <w:spacing w:after="100" w:before="60"/>
      </w:pPr>
      <w:r>
        <w:rPr>
          <w:rFonts w:ascii="Courier New" w:cs="Courier New" w:eastAsia="Courier New" w:hAnsi="Courier New"/>
          <w:b/>
          <w:bCs/>
          <w:sz w:val="20"/>
          <w:szCs w:val="20"/>
        </w:rPr>
        <w:t xml:space="preserve">cd opencti-docker</w:t>
      </w:r>
    </w:p>
    <w:p>
      <w:pPr>
        <w:pStyle w:val="Heading3"/>
        <w:spacing w:after="80" w:before="180"/>
      </w:pPr>
      <w:r>
        <w:rPr>
          <w:rFonts w:ascii="Arial" w:cs="Arial" w:eastAsia="Arial" w:hAnsi="Arial"/>
          <w:b/>
          <w:bCs/>
          <w:color w:val="404040"/>
          <w:sz w:val="24"/>
          <w:szCs w:val="24"/>
        </w:rPr>
        <w:t xml:space="preserve">Step 2: Configure Environment Variables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596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Configuration Value</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OPENCTI_ADMIN_EMAIL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admin@eisp.local</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OPENCTI_ADMIN_PASSWORD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[Secure Password — Min 12 chars]</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OPENCTI_ADMIN_TOKEN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$(uuidgen) — generate UUID for API token</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OPENCTI_BASE_URL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http://localhost:8080</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MINIO_ROOT_USER</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opencti</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MINIO_ROOT_PASSWORD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[Secure MinIO Password]</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RABBITMQ_DEFAULT_USER</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opencti</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RABBITMQ_DEFAULT_PASS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[Secure RabbitMQ Password]</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ELASTIC_MEMORY_SIZE</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4g (minimum — increase for production)</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CONNECTOR_EXPORT_FILE_STIX_ID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$(uuidgen)</w:t>
            </w:r>
          </w:p>
        </w:tc>
      </w:tr>
      <w:tr>
        <w:tc>
          <w:tcPr>
            <w:tcW w:type="dxa" w:w="3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CONNECTOR_IMPORT_FILE_STIX_ID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$(uuidgen)</w:t>
            </w:r>
          </w:p>
        </w:tc>
      </w:tr>
    </w:tbl>
    <w:p>
      <w:pPr>
        <w:spacing w:after="80" w:before="80"/>
      </w:pPr>
      <w:r>
        <w:t xml:space="preserve"/>
      </w:r>
    </w:p>
    <w:p>
      <w:pPr>
        <w:pStyle w:val="Heading3"/>
        <w:spacing w:after="80" w:before="180"/>
      </w:pPr>
      <w:r>
        <w:rPr>
          <w:rFonts w:ascii="Arial" w:cs="Arial" w:eastAsia="Arial" w:hAnsi="Arial"/>
          <w:b/>
          <w:bCs/>
          <w:color w:val="404040"/>
          <w:sz w:val="24"/>
          <w:szCs w:val="24"/>
        </w:rPr>
        <w:t xml:space="preserve">Step 3: Deploy OpenCTI Stack</w:t>
      </w:r>
    </w:p>
    <w:p>
      <w:pPr>
        <w:spacing w:after="40" w:before="40"/>
      </w:pPr>
      <w:r>
        <w:rPr>
          <w:rFonts w:ascii="Courier New" w:cs="Courier New" w:eastAsia="Courier New" w:hAnsi="Courier New"/>
          <w:b/>
          <w:bCs/>
          <w:sz w:val="20"/>
          <w:szCs w:val="20"/>
        </w:rPr>
        <w:t xml:space="preserve">docker compose pull</w:t>
      </w:r>
    </w:p>
    <w:p>
      <w:pPr>
        <w:spacing w:after="100" w:before="40"/>
      </w:pPr>
      <w:r>
        <w:rPr>
          <w:rFonts w:ascii="Courier New" w:cs="Courier New" w:eastAsia="Courier New" w:hAnsi="Courier New"/>
          <w:b/>
          <w:bCs/>
          <w:sz w:val="20"/>
          <w:szCs w:val="20"/>
        </w:rPr>
        <w:t xml:space="preserve">docker compose up -d</w:t>
      </w:r>
    </w:p>
    <w:p>
      <w:pPr>
        <w:spacing w:after="100" w:before="60"/>
      </w:pPr>
      <w:r>
        <w:rPr>
          <w:rFonts w:ascii="Arial" w:cs="Arial" w:eastAsia="Arial" w:hAnsi="Arial"/>
          <w:sz w:val="22"/>
          <w:szCs w:val="22"/>
        </w:rPr>
        <w:t xml:space="preserve">This starts the complete OpenCTI stack: opencti-platform (Node.js), opencti-worker, Elasticsearch, Redis, RabbitMQ, MinIO, and configured connectors.</w:t>
      </w:r>
    </w:p>
    <w:p>
      <w:pPr>
        <w:pStyle w:val="Heading3"/>
        <w:spacing w:after="80" w:before="180"/>
      </w:pPr>
      <w:r>
        <w:rPr>
          <w:rFonts w:ascii="Arial" w:cs="Arial" w:eastAsia="Arial" w:hAnsi="Arial"/>
          <w:b/>
          <w:bCs/>
          <w:color w:val="404040"/>
          <w:sz w:val="24"/>
          <w:szCs w:val="24"/>
        </w:rPr>
        <w:t xml:space="preserve">Step 4: Verify Container Health</w:t>
      </w:r>
    </w:p>
    <w:p>
      <w:pPr>
        <w:spacing w:after="40" w:before="40"/>
      </w:pPr>
      <w:r>
        <w:rPr>
          <w:rFonts w:ascii="Courier New" w:cs="Courier New" w:eastAsia="Courier New" w:hAnsi="Courier New"/>
          <w:sz w:val="20"/>
          <w:szCs w:val="20"/>
        </w:rPr>
        <w:t xml:space="preserve">docker compose ps  # All containers should show 'healthy' status</w:t>
      </w:r>
    </w:p>
    <w:p>
      <w:pPr>
        <w:spacing w:after="100" w:before="40"/>
      </w:pPr>
      <w:r>
        <w:rPr>
          <w:rFonts w:ascii="Courier New" w:cs="Courier New" w:eastAsia="Courier New" w:hAnsi="Courier New"/>
          <w:sz w:val="20"/>
          <w:szCs w:val="20"/>
        </w:rPr>
        <w:t xml:space="preserve">docker compose logs opencti  # Check platform startup logs</w:t>
      </w:r>
    </w:p>
    <w:p>
      <w:pPr>
        <w:pStyle w:val="Heading3"/>
        <w:spacing w:after="80" w:before="180"/>
      </w:pPr>
      <w:r>
        <w:rPr>
          <w:rFonts w:ascii="Arial" w:cs="Arial" w:eastAsia="Arial" w:hAnsi="Arial"/>
          <w:b/>
          <w:bCs/>
          <w:color w:val="404040"/>
          <w:sz w:val="24"/>
          <w:szCs w:val="24"/>
        </w:rPr>
        <w:t xml:space="preserve">Step 5: Access Platform</w:t>
      </w:r>
    </w:p>
    <w:p>
      <w:pPr>
        <w:spacing w:after="100" w:before="60"/>
      </w:pPr>
      <w:r>
        <w:rPr>
          <w:rFonts w:ascii="Arial" w:cs="Arial" w:eastAsia="Arial" w:hAnsi="Arial"/>
          <w:sz w:val="22"/>
          <w:szCs w:val="22"/>
        </w:rPr>
        <w:t xml:space="preserve">Navigate to http://localhost:8080 and log in with the configured OPENCTI_ADMIN_EMAIL and OPENCTI_ADMIN_PASSWORD. The initial database migration and Elasticsearch index creation takes approximately 5-10 minutes on first startup.</w:t>
      </w:r>
    </w:p>
    <w:p>
      <w:pPr>
        <w:spacing w:after="80" w:before="80"/>
      </w:pPr>
      <w:r>
        <w:t xml:space="preserve"/>
      </w:r>
    </w:p>
    <w:p>
      <w:pPr>
        <w:pStyle w:val="Heading2"/>
        <w:spacing w:after="120" w:before="240"/>
      </w:pPr>
      <w:r>
        <w:rPr>
          <w:rFonts w:ascii="Arial" w:cs="Arial" w:eastAsia="Arial" w:hAnsi="Arial"/>
          <w:b/>
          <w:bCs/>
          <w:color w:val="7B2D8B"/>
          <w:sz w:val="26"/>
          <w:szCs w:val="26"/>
        </w:rPr>
        <w:t xml:space="preserve">3.3 Connector #1 — MITRE ATT&amp;CK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Connector Name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MITRE ATT&amp;CK</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External Import — Threat Knowledge Base</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MITRE ATT&amp;CK TAXII Server (https://cti-taxii.mitre.org)</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Data Format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STIX 2.1 via TAXII 2.1</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Frequency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Every 7 days (weekly synchronization)</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Data Imported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All ATT&amp;CK Matrices: Enterprise, Mobile, ICS — Tactics, Techniques, Sub-techniques, Groups (176), Software, Mitigations, Campaigns</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EISP Value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Enables mapping of IoCs and incidents to ATT&amp;CK framework directly within OpenCTI</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Configuration Key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CONNECTOR_MITRE_ID</w:t>
            </w:r>
          </w:p>
        </w:tc>
      </w:tr>
    </w:tbl>
    <w:p>
      <w:pPr>
        <w:spacing w:after="80" w:before="80"/>
      </w:pPr>
      <w:r>
        <w:t xml:space="preserve"/>
      </w:r>
    </w:p>
    <w:p>
      <w:pPr>
        <w:pStyle w:val="Heading3"/>
        <w:spacing w:after="80" w:before="180"/>
      </w:pPr>
      <w:r>
        <w:rPr>
          <w:rFonts w:ascii="Arial" w:cs="Arial" w:eastAsia="Arial" w:hAnsi="Arial"/>
          <w:b/>
          <w:bCs/>
          <w:color w:val="404040"/>
          <w:sz w:val="24"/>
          <w:szCs w:val="24"/>
        </w:rPr>
        <w:t xml:space="preserve">Docker Compose Connector Configuration:</w:t>
      </w:r>
    </w:p>
    <w:p>
      <w:pPr>
        <w:spacing w:after="0" w:before="40"/>
      </w:pPr>
      <w:r>
        <w:rPr>
          <w:rFonts w:ascii="Courier New" w:cs="Courier New" w:eastAsia="Courier New" w:hAnsi="Courier New"/>
          <w:sz w:val="18"/>
          <w:szCs w:val="18"/>
        </w:rPr>
        <w:t xml:space="preserve">connector-mitre:</w:t>
      </w:r>
    </w:p>
    <w:p>
      <w:pPr>
        <w:spacing w:after="0" w:before="0"/>
      </w:pPr>
      <w:r>
        <w:rPr>
          <w:rFonts w:ascii="Courier New" w:cs="Courier New" w:eastAsia="Courier New" w:hAnsi="Courier New"/>
          <w:sz w:val="18"/>
          <w:szCs w:val="18"/>
        </w:rPr>
        <w:t xml:space="preserve">  image: opencti/connector-mitre:latest</w:t>
      </w:r>
    </w:p>
    <w:p>
      <w:pPr>
        <w:spacing w:after="0" w:before="0"/>
      </w:pPr>
      <w:r>
        <w:rPr>
          <w:rFonts w:ascii="Courier New" w:cs="Courier New" w:eastAsia="Courier New" w:hAnsi="Courier New"/>
          <w:sz w:val="18"/>
          <w:szCs w:val="18"/>
        </w:rPr>
        <w:t xml:space="preserve">  environment:</w:t>
      </w:r>
    </w:p>
    <w:p>
      <w:pPr>
        <w:spacing w:after="0" w:before="0"/>
      </w:pPr>
      <w:r>
        <w:rPr>
          <w:rFonts w:ascii="Courier New" w:cs="Courier New" w:eastAsia="Courier New" w:hAnsi="Courier New"/>
          <w:sz w:val="18"/>
          <w:szCs w:val="18"/>
        </w:rPr>
        <w:t xml:space="preserve">    - OPENCTI_URL=http://opencti:8080</w:t>
      </w:r>
    </w:p>
    <w:p>
      <w:pPr>
        <w:spacing w:after="0" w:before="0"/>
      </w:pPr>
      <w:r>
        <w:rPr>
          <w:rFonts w:ascii="Courier New" w:cs="Courier New" w:eastAsia="Courier New" w:hAnsi="Courier New"/>
          <w:sz w:val="18"/>
          <w:szCs w:val="18"/>
        </w:rPr>
        <w:t xml:space="preserve">    - OPENCTI_TOKEN=${OPENCTI_ADMIN_TOKEN}</w:t>
      </w:r>
    </w:p>
    <w:p>
      <w:pPr>
        <w:spacing w:after="0" w:before="0"/>
      </w:pPr>
      <w:r>
        <w:rPr>
          <w:rFonts w:ascii="Courier New" w:cs="Courier New" w:eastAsia="Courier New" w:hAnsi="Courier New"/>
          <w:sz w:val="18"/>
          <w:szCs w:val="18"/>
        </w:rPr>
        <w:t xml:space="preserve">    - CONNECTOR_ID=${CONNECTOR_MITRE_ID}</w:t>
      </w:r>
    </w:p>
    <w:p>
      <w:pPr>
        <w:spacing w:after="0" w:before="0"/>
      </w:pPr>
      <w:r>
        <w:rPr>
          <w:rFonts w:ascii="Courier New" w:cs="Courier New" w:eastAsia="Courier New" w:hAnsi="Courier New"/>
          <w:sz w:val="18"/>
          <w:szCs w:val="18"/>
        </w:rPr>
        <w:t xml:space="preserve">    - CONNECTOR_TYPE=EXTERNAL_IMPORT</w:t>
      </w:r>
    </w:p>
    <w:p>
      <w:pPr>
        <w:spacing w:after="0" w:before="0"/>
      </w:pPr>
      <w:r>
        <w:rPr>
          <w:rFonts w:ascii="Courier New" w:cs="Courier New" w:eastAsia="Courier New" w:hAnsi="Courier New"/>
          <w:sz w:val="18"/>
          <w:szCs w:val="18"/>
        </w:rPr>
        <w:t xml:space="preserve">    - CONNECTOR_NAME=MITRE ATT&amp;CK</w:t>
      </w:r>
    </w:p>
    <w:p>
      <w:pPr>
        <w:spacing w:after="0" w:before="0"/>
      </w:pPr>
      <w:r>
        <w:rPr>
          <w:rFonts w:ascii="Courier New" w:cs="Courier New" w:eastAsia="Courier New" w:hAnsi="Courier New"/>
          <w:sz w:val="18"/>
          <w:szCs w:val="18"/>
        </w:rPr>
        <w:t xml:space="preserve">    - MITRE_ENTERPRISE_FILE_URL=https://raw.githubusercontent.com/mitre/cti/master/enterprise-attack/enterprise-attack.json</w:t>
      </w:r>
    </w:p>
    <w:p>
      <w:pPr>
        <w:spacing w:after="100" w:before="0"/>
      </w:pPr>
      <w:r>
        <w:rPr>
          <w:rFonts w:ascii="Courier New" w:cs="Courier New" w:eastAsia="Courier New" w:hAnsi="Courier New"/>
          <w:sz w:val="18"/>
          <w:szCs w:val="18"/>
        </w:rPr>
        <w:t xml:space="preserve">    - MITRE_INTERVAL=7  # Days between sync</w:t>
      </w:r>
    </w:p>
    <w:p>
      <w:pPr>
        <w:spacing w:after="80" w:before="80"/>
      </w:pPr>
      <w:r>
        <w:t xml:space="preserve"/>
      </w:r>
    </w:p>
    <w:p>
      <w:pPr>
        <w:pStyle w:val="Heading2"/>
        <w:spacing w:after="120" w:before="240"/>
      </w:pPr>
      <w:r>
        <w:rPr>
          <w:rFonts w:ascii="Arial" w:cs="Arial" w:eastAsia="Arial" w:hAnsi="Arial"/>
          <w:b/>
          <w:bCs/>
          <w:color w:val="7B2D8B"/>
          <w:sz w:val="26"/>
          <w:szCs w:val="26"/>
        </w:rPr>
        <w:t xml:space="preserve">3.4 Connector #2 — AlienVault OTX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Connector Name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AlienVault OTX (Open Threat Exchange)</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External Import — Threat Intelligence Feed</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AlienVault OTX API (https://otx.alienvault.com/api/v1)</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Data Format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JSON IoC feeds converted to STIX 2.1</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Frequency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Every 24 hours</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Data Imported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Indicators (hashes, IPs, domains, URLs), Pulses (threat campaigns), CVEs, Threat actor profiles, Malware families</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API Key Required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Yes — free OTX account at otx.alienvault.com</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EISP Value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Provides daily feed of fresh IoCs including hashes matching our analyzed Trojan sample</w:t>
            </w:r>
          </w:p>
        </w:tc>
      </w:tr>
      <w:tr>
        <w:tc>
          <w:tcPr>
            <w:tcW w:type="dxa" w:w="2400"/>
            <w:tcBorders>
              <w:top w:val="single" w:color="CCCCCC" w:sz="1"/>
              <w:left w:val="single" w:color="CCCCCC" w:sz="1"/>
              <w:bottom w:val="single" w:color="CCCCCC" w:sz="1"/>
              <w:right w:val="single" w:color="CCCCCC" w:sz="1"/>
            </w:tcBorders>
            <w:shd w:fill="F3E5F5" w:val="clear"/>
            <w:tcMar>
              <w:top w:type="dxa" w:w="70"/>
              <w:left w:type="dxa" w:w="120"/>
              <w:bottom w:type="dxa" w:w="70"/>
              <w:right w:type="dxa" w:w="120"/>
            </w:tcMar>
          </w:tcPr>
          <w:p>
            <w:r>
              <w:rPr>
                <w:rFonts w:ascii="Arial" w:cs="Arial" w:eastAsia="Arial" w:hAnsi="Arial"/>
                <w:b/>
                <w:bCs/>
                <w:color w:val="000000"/>
                <w:sz w:val="19"/>
                <w:szCs w:val="19"/>
              </w:rPr>
              <w:t xml:space="preserve">Configuration Key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CONNECTOR_ALIENVAULT_ID</w:t>
            </w:r>
          </w:p>
        </w:tc>
      </w:tr>
    </w:tbl>
    <w:p>
      <w:pPr>
        <w:spacing w:after="80" w:before="80"/>
      </w:pPr>
      <w:r>
        <w:t xml:space="preserve"/>
      </w:r>
    </w:p>
    <w:p>
      <w:pPr>
        <w:pStyle w:val="Heading3"/>
        <w:spacing w:after="80" w:before="180"/>
      </w:pPr>
      <w:r>
        <w:rPr>
          <w:rFonts w:ascii="Arial" w:cs="Arial" w:eastAsia="Arial" w:hAnsi="Arial"/>
          <w:b/>
          <w:bCs/>
          <w:color w:val="404040"/>
          <w:sz w:val="24"/>
          <w:szCs w:val="24"/>
        </w:rPr>
        <w:t xml:space="preserve">Docker Compose Connector Configuration:</w:t>
      </w:r>
    </w:p>
    <w:p>
      <w:pPr>
        <w:spacing w:after="0" w:before="40"/>
      </w:pPr>
      <w:r>
        <w:rPr>
          <w:rFonts w:ascii="Courier New" w:cs="Courier New" w:eastAsia="Courier New" w:hAnsi="Courier New"/>
          <w:sz w:val="18"/>
          <w:szCs w:val="18"/>
        </w:rPr>
        <w:t xml:space="preserve">connector-alienvault:</w:t>
      </w:r>
    </w:p>
    <w:p>
      <w:pPr>
        <w:spacing w:after="0" w:before="0"/>
      </w:pPr>
      <w:r>
        <w:rPr>
          <w:rFonts w:ascii="Courier New" w:cs="Courier New" w:eastAsia="Courier New" w:hAnsi="Courier New"/>
          <w:sz w:val="18"/>
          <w:szCs w:val="18"/>
        </w:rPr>
        <w:t xml:space="preserve">  image: opencti/connector-alienvault:latest</w:t>
      </w:r>
    </w:p>
    <w:p>
      <w:pPr>
        <w:spacing w:after="0" w:before="0"/>
      </w:pPr>
      <w:r>
        <w:rPr>
          <w:rFonts w:ascii="Courier New" w:cs="Courier New" w:eastAsia="Courier New" w:hAnsi="Courier New"/>
          <w:sz w:val="18"/>
          <w:szCs w:val="18"/>
        </w:rPr>
        <w:t xml:space="preserve">  environment:</w:t>
      </w:r>
    </w:p>
    <w:p>
      <w:pPr>
        <w:spacing w:after="0" w:before="0"/>
      </w:pPr>
      <w:r>
        <w:rPr>
          <w:rFonts w:ascii="Courier New" w:cs="Courier New" w:eastAsia="Courier New" w:hAnsi="Courier New"/>
          <w:sz w:val="18"/>
          <w:szCs w:val="18"/>
        </w:rPr>
        <w:t xml:space="preserve">    - OPENCTI_URL=http://opencti:8080</w:t>
      </w:r>
    </w:p>
    <w:p>
      <w:pPr>
        <w:spacing w:after="0" w:before="0"/>
      </w:pPr>
      <w:r>
        <w:rPr>
          <w:rFonts w:ascii="Courier New" w:cs="Courier New" w:eastAsia="Courier New" w:hAnsi="Courier New"/>
          <w:sz w:val="18"/>
          <w:szCs w:val="18"/>
        </w:rPr>
        <w:t xml:space="preserve">    - OPENCTI_TOKEN=${OPENCTI_ADMIN_TOKEN}</w:t>
      </w:r>
    </w:p>
    <w:p>
      <w:pPr>
        <w:spacing w:after="0" w:before="0"/>
      </w:pPr>
      <w:r>
        <w:rPr>
          <w:rFonts w:ascii="Courier New" w:cs="Courier New" w:eastAsia="Courier New" w:hAnsi="Courier New"/>
          <w:sz w:val="18"/>
          <w:szCs w:val="18"/>
        </w:rPr>
        <w:t xml:space="preserve">    - CONNECTOR_ID=${CONNECTOR_ALIENVAULT_ID}</w:t>
      </w:r>
    </w:p>
    <w:p>
      <w:pPr>
        <w:spacing w:after="0" w:before="0"/>
      </w:pPr>
      <w:r>
        <w:rPr>
          <w:rFonts w:ascii="Courier New" w:cs="Courier New" w:eastAsia="Courier New" w:hAnsi="Courier New"/>
          <w:sz w:val="18"/>
          <w:szCs w:val="18"/>
        </w:rPr>
        <w:t xml:space="preserve">    - ALIENVAULT_BASE_URL=https://otx.alienvault.com</w:t>
      </w:r>
    </w:p>
    <w:p>
      <w:pPr>
        <w:spacing w:after="0" w:before="0"/>
      </w:pPr>
      <w:r>
        <w:rPr>
          <w:rFonts w:ascii="Courier New" w:cs="Courier New" w:eastAsia="Courier New" w:hAnsi="Courier New"/>
          <w:sz w:val="18"/>
          <w:szCs w:val="18"/>
        </w:rPr>
        <w:t xml:space="preserve">    - ALIENVAULT_API_KEY=${ALIENVAULT_API_KEY}</w:t>
      </w:r>
    </w:p>
    <w:p>
      <w:pPr>
        <w:spacing w:after="0" w:before="0"/>
      </w:pPr>
      <w:r>
        <w:rPr>
          <w:rFonts w:ascii="Courier New" w:cs="Courier New" w:eastAsia="Courier New" w:hAnsi="Courier New"/>
          <w:sz w:val="18"/>
          <w:szCs w:val="18"/>
        </w:rPr>
        <w:t xml:space="preserve">    - ALIENVAULT_PULSE_START_TIMESTAMP=2023-01-01T00:00:00  # Import from this date</w:t>
      </w:r>
    </w:p>
    <w:p>
      <w:pPr>
        <w:spacing w:after="100" w:before="0"/>
      </w:pPr>
      <w:r>
        <w:rPr>
          <w:rFonts w:ascii="Courier New" w:cs="Courier New" w:eastAsia="Courier New" w:hAnsi="Courier New"/>
          <w:sz w:val="18"/>
          <w:szCs w:val="18"/>
        </w:rPr>
        <w:t xml:space="preserve">    - ALIENVAULT_INTERVAL_SEC=86400  # 24 hours</w:t>
      </w:r>
    </w:p>
    <w:p>
      <w:pPr>
        <w:spacing w:after="80" w:before="80"/>
      </w:pPr>
      <w:r>
        <w:t xml:space="preserve"/>
      </w:r>
    </w:p>
    <w:p>
      <w:pPr>
        <w:pStyle w:val="Heading2"/>
        <w:spacing w:after="120" w:before="240"/>
      </w:pPr>
      <w:r>
        <w:rPr>
          <w:rFonts w:ascii="Arial" w:cs="Arial" w:eastAsia="Arial" w:hAnsi="Arial"/>
          <w:b/>
          <w:bCs/>
          <w:color w:val="7B2D8B"/>
          <w:sz w:val="26"/>
          <w:szCs w:val="26"/>
        </w:rPr>
        <w:t xml:space="preserve">3.5 Platform Usage Demonstration</w:t>
      </w:r>
    </w:p>
    <w:p>
      <w:pPr>
        <w:pStyle w:val="Heading3"/>
        <w:spacing w:after="80" w:before="180"/>
      </w:pPr>
      <w:r>
        <w:rPr>
          <w:rFonts w:ascii="Arial" w:cs="Arial" w:eastAsia="Arial" w:hAnsi="Arial"/>
          <w:b/>
          <w:bCs/>
          <w:color w:val="404040"/>
          <w:sz w:val="24"/>
          <w:szCs w:val="24"/>
        </w:rPr>
        <w:t xml:space="preserve">Use Case: Searching for the Analyzed Trojan Hash in OpenCTI</w:t>
      </w:r>
    </w:p>
    <w:p>
      <w:pPr>
        <w:pStyle w:val="ListParagraph"/>
        <w:numPr>
          <w:ilvl w:val="0"/>
          <w:numId w:val="3"/>
        </w:numPr>
        <w:spacing w:after="40" w:before="40"/>
      </w:pPr>
      <w:r>
        <w:rPr>
          <w:rFonts w:ascii="Arial" w:cs="Arial" w:eastAsia="Arial" w:hAnsi="Arial"/>
          <w:sz w:val="22"/>
          <w:szCs w:val="22"/>
        </w:rPr>
        <w:t xml:space="preserve">Navigate to Observations &gt; Indicators in the OpenCTI interface</w:t>
      </w:r>
    </w:p>
    <w:p>
      <w:pPr>
        <w:pStyle w:val="ListParagraph"/>
        <w:numPr>
          <w:ilvl w:val="0"/>
          <w:numId w:val="3"/>
        </w:numPr>
        <w:spacing w:after="40" w:before="40"/>
      </w:pPr>
      <w:r>
        <w:rPr>
          <w:rFonts w:ascii="Arial" w:cs="Arial" w:eastAsia="Arial" w:hAnsi="Arial"/>
          <w:sz w:val="22"/>
          <w:szCs w:val="22"/>
        </w:rPr>
        <w:t xml:space="preserve">Click 'Create Indicator' — select type 'File-SHA256'</w:t>
      </w:r>
    </w:p>
    <w:p>
      <w:pPr>
        <w:pStyle w:val="ListParagraph"/>
        <w:numPr>
          <w:ilvl w:val="0"/>
          <w:numId w:val="3"/>
        </w:numPr>
        <w:spacing w:after="40" w:before="40"/>
      </w:pPr>
      <w:r>
        <w:rPr>
          <w:rFonts w:ascii="Arial" w:cs="Arial" w:eastAsia="Arial" w:hAnsi="Arial"/>
          <w:sz w:val="22"/>
          <w:szCs w:val="22"/>
        </w:rPr>
        <w:t xml:space="preserve">Enter value: 76e45f001e51832b72d6cde024ea41922e3ecdac6379caf1d6458a8c116b9837</w:t>
      </w:r>
    </w:p>
    <w:p>
      <w:pPr>
        <w:pStyle w:val="ListParagraph"/>
        <w:numPr>
          <w:ilvl w:val="0"/>
          <w:numId w:val="3"/>
        </w:numPr>
        <w:spacing w:after="40" w:before="40"/>
      </w:pPr>
      <w:r>
        <w:rPr>
          <w:rFonts w:ascii="Arial" w:cs="Arial" w:eastAsia="Arial" w:hAnsi="Arial"/>
          <w:sz w:val="22"/>
          <w:szCs w:val="22"/>
        </w:rPr>
        <w:t xml:space="preserve">Add labels: malware, trojan, credential-theft, agentb</w:t>
      </w:r>
    </w:p>
    <w:p>
      <w:pPr>
        <w:pStyle w:val="ListParagraph"/>
        <w:numPr>
          <w:ilvl w:val="0"/>
          <w:numId w:val="3"/>
        </w:numPr>
        <w:spacing w:after="40" w:before="40"/>
      </w:pPr>
      <w:r>
        <w:rPr>
          <w:rFonts w:ascii="Arial" w:cs="Arial" w:eastAsia="Arial" w:hAnsi="Arial"/>
          <w:sz w:val="22"/>
          <w:szCs w:val="22"/>
        </w:rPr>
        <w:t xml:space="preserve">Set TLP marking: TLP:AMBER</w:t>
      </w:r>
    </w:p>
    <w:p>
      <w:pPr>
        <w:pStyle w:val="ListParagraph"/>
        <w:numPr>
          <w:ilvl w:val="0"/>
          <w:numId w:val="3"/>
        </w:numPr>
        <w:spacing w:after="40" w:before="40"/>
      </w:pPr>
      <w:r>
        <w:rPr>
          <w:rFonts w:ascii="Arial" w:cs="Arial" w:eastAsia="Arial" w:hAnsi="Arial"/>
          <w:sz w:val="22"/>
          <w:szCs w:val="22"/>
        </w:rPr>
        <w:t xml:space="preserve">Map to MITRE ATT&amp;CK techniques: T1036.001, T1555, T1055, T1071.001</w:t>
      </w:r>
    </w:p>
    <w:p>
      <w:pPr>
        <w:pStyle w:val="ListParagraph"/>
        <w:numPr>
          <w:ilvl w:val="0"/>
          <w:numId w:val="3"/>
        </w:numPr>
        <w:spacing w:after="40" w:before="40"/>
      </w:pPr>
      <w:r>
        <w:rPr>
          <w:rFonts w:ascii="Arial" w:cs="Arial" w:eastAsia="Arial" w:hAnsi="Arial"/>
          <w:sz w:val="22"/>
          <w:szCs w:val="22"/>
        </w:rPr>
        <w:t xml:space="preserve">Link to threat actor/campaign if attribution is available</w:t>
      </w:r>
    </w:p>
    <w:p>
      <w:pPr>
        <w:pStyle w:val="ListParagraph"/>
        <w:numPr>
          <w:ilvl w:val="0"/>
          <w:numId w:val="3"/>
        </w:numPr>
        <w:spacing w:after="40" w:before="40"/>
      </w:pPr>
      <w:r>
        <w:rPr>
          <w:rFonts w:ascii="Arial" w:cs="Arial" w:eastAsia="Arial" w:hAnsi="Arial"/>
          <w:sz w:val="22"/>
          <w:szCs w:val="22"/>
        </w:rPr>
        <w:t xml:space="preserve">Export as STIX 2.1 bundle for sharing with SIEM (Wazuh) and other tools</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SIEM Integration (Wazuh):</w:t>
      </w:r>
    </w:p>
    <w:p>
      <w:pPr>
        <w:pStyle w:val="ListParagraph"/>
        <w:numPr>
          <w:ilvl w:val="0"/>
          <w:numId w:val="2"/>
        </w:numPr>
        <w:spacing w:after="40" w:before="40"/>
      </w:pPr>
      <w:r>
        <w:rPr>
          <w:rFonts w:ascii="Arial" w:cs="Arial" w:eastAsia="Arial" w:hAnsi="Arial"/>
          <w:sz w:val="22"/>
          <w:szCs w:val="22"/>
        </w:rPr>
        <w:t xml:space="preserve">Export IoC list from OpenCTI as CSV or STIX bundle via API</w:t>
      </w:r>
    </w:p>
    <w:p>
      <w:pPr>
        <w:pStyle w:val="ListParagraph"/>
        <w:numPr>
          <w:ilvl w:val="0"/>
          <w:numId w:val="2"/>
        </w:numPr>
        <w:spacing w:after="40" w:before="40"/>
      </w:pPr>
      <w:r>
        <w:rPr>
          <w:rFonts w:ascii="Arial" w:cs="Arial" w:eastAsia="Arial" w:hAnsi="Arial"/>
          <w:sz w:val="22"/>
          <w:szCs w:val="22"/>
        </w:rPr>
        <w:t xml:space="preserve">Import into Wazuh custom ruleset or use OpenCTI-Wazuh connector for automated sync</w:t>
      </w:r>
    </w:p>
    <w:p>
      <w:pPr>
        <w:pStyle w:val="ListParagraph"/>
        <w:numPr>
          <w:ilvl w:val="0"/>
          <w:numId w:val="2"/>
        </w:numPr>
        <w:spacing w:after="40" w:before="40"/>
      </w:pPr>
      <w:r>
        <w:rPr>
          <w:rFonts w:ascii="Arial" w:cs="Arial" w:eastAsia="Arial" w:hAnsi="Arial"/>
          <w:sz w:val="22"/>
          <w:szCs w:val="22"/>
        </w:rPr>
        <w:t xml:space="preserve">Create Wazuh alert rules referencing OpenCTI indicator IDs for attribution in alerts</w:t>
      </w:r>
    </w:p>
    <w:p>
      <w:pPr>
        <w:spacing w:after="80" w:before="80"/>
      </w:pPr>
      <w:r>
        <w:t xml:space="preserve"/>
      </w:r>
    </w:p>
    <w:p>
      <w:pPr>
        <w:pStyle w:val="Heading1"/>
        <w:pBdr>
          <w:bottom w:val="single" w:color="7B2D8B" w:sz="6" w:space="1"/>
        </w:pBdr>
        <w:spacing w:after="180" w:before="360"/>
      </w:pPr>
      <w:r>
        <w:rPr>
          <w:rFonts w:ascii="Arial" w:cs="Arial" w:eastAsia="Arial" w:hAnsi="Arial"/>
          <w:b/>
          <w:bCs/>
          <w:color w:val="7B2D8B"/>
          <w:sz w:val="32"/>
          <w:szCs w:val="32"/>
        </w:rPr>
        <w:t xml:space="preserve">4. Conclusions</w:t>
      </w:r>
    </w:p>
    <w:p>
      <w:pPr>
        <w:spacing w:after="100" w:before="60"/>
      </w:pPr>
      <w:r>
        <w:rPr>
          <w:rFonts w:ascii="Arial" w:cs="Arial" w:eastAsia="Arial" w:hAnsi="Arial"/>
          <w:sz w:val="22"/>
          <w:szCs w:val="22"/>
        </w:rPr>
        <w:t xml:space="preserve">This document demonstrates comprehensive threat intelligence implementation through IoC analysis and OpenCTI deployment. The two IoCs analyzed (SHA-256 file hash and C2 domain) represent complementary levels of the Pyramid of Pain, enabling both signature-based (hash) and behavioral (domain, TTP) detection. The OpenCTI platform with MITRE ATT&amp;CK and AlienVault OTX connectors provides EISP with a structured intelligence management capability that feeds directly into SIEM alerting, incident response, and threat hunting workflows.</w:t>
      </w:r>
    </w:p>
    <w:p>
      <w:pPr>
        <w:spacing w:after="80" w:before="80"/>
      </w:pPr>
      <w:r>
        <w:t xml:space="preserve"/>
      </w:r>
    </w:p>
    <w:p>
      <w:pPr>
        <w:pStyle w:val="Heading2"/>
        <w:spacing w:after="120" w:before="240"/>
      </w:pPr>
      <w:r>
        <w:rPr>
          <w:rFonts w:ascii="Arial" w:cs="Arial" w:eastAsia="Arial" w:hAnsi="Arial"/>
          <w:b/>
          <w:bCs/>
          <w:color w:val="7B2D8B"/>
          <w:sz w:val="26"/>
          <w:szCs w:val="26"/>
        </w:rPr>
        <w:t xml:space="preserve">4.1 References</w:t>
      </w:r>
    </w:p>
    <w:p>
      <w:pPr>
        <w:pStyle w:val="ListParagraph"/>
        <w:numPr>
          <w:ilvl w:val="0"/>
          <w:numId w:val="2"/>
        </w:numPr>
        <w:spacing w:after="40" w:before="40"/>
      </w:pPr>
      <w:r>
        <w:rPr>
          <w:rFonts w:ascii="Arial" w:cs="Arial" w:eastAsia="Arial" w:hAnsi="Arial"/>
          <w:sz w:val="22"/>
          <w:szCs w:val="22"/>
        </w:rPr>
        <w:t xml:space="preserve">OpenCTI Documentation: https://docs.opencti.io</w:t>
      </w:r>
    </w:p>
    <w:p>
      <w:pPr>
        <w:pStyle w:val="ListParagraph"/>
        <w:numPr>
          <w:ilvl w:val="0"/>
          <w:numId w:val="2"/>
        </w:numPr>
        <w:spacing w:after="40" w:before="40"/>
      </w:pPr>
      <w:r>
        <w:rPr>
          <w:rFonts w:ascii="Arial" w:cs="Arial" w:eastAsia="Arial" w:hAnsi="Arial"/>
          <w:sz w:val="22"/>
          <w:szCs w:val="22"/>
        </w:rPr>
        <w:t xml:space="preserve">OpenCTI Docker Deployment: https://github.com/OpenCTI-Platform/docker</w:t>
      </w:r>
    </w:p>
    <w:p>
      <w:pPr>
        <w:pStyle w:val="ListParagraph"/>
        <w:numPr>
          <w:ilvl w:val="0"/>
          <w:numId w:val="2"/>
        </w:numPr>
        <w:spacing w:after="40" w:before="40"/>
      </w:pPr>
      <w:r>
        <w:rPr>
          <w:rFonts w:ascii="Arial" w:cs="Arial" w:eastAsia="Arial" w:hAnsi="Arial"/>
          <w:sz w:val="22"/>
          <w:szCs w:val="22"/>
        </w:rPr>
        <w:t xml:space="preserve">STIX 2.1 Specification: https://docs.oasis-open.org/cti/stix/v2.1/stix-v2.1.html</w:t>
      </w:r>
    </w:p>
    <w:p>
      <w:pPr>
        <w:pStyle w:val="ListParagraph"/>
        <w:numPr>
          <w:ilvl w:val="0"/>
          <w:numId w:val="2"/>
        </w:numPr>
        <w:spacing w:after="40" w:before="40"/>
      </w:pPr>
      <w:r>
        <w:rPr>
          <w:rFonts w:ascii="Arial" w:cs="Arial" w:eastAsia="Arial" w:hAnsi="Arial"/>
          <w:sz w:val="22"/>
          <w:szCs w:val="22"/>
        </w:rPr>
        <w:t xml:space="preserve">MITRE ATT&amp;CK TAXII: https://cti-taxii.mitre.org</w:t>
      </w:r>
    </w:p>
    <w:p>
      <w:pPr>
        <w:pStyle w:val="ListParagraph"/>
        <w:numPr>
          <w:ilvl w:val="0"/>
          <w:numId w:val="2"/>
        </w:numPr>
        <w:spacing w:after="40" w:before="40"/>
      </w:pPr>
      <w:r>
        <w:rPr>
          <w:rFonts w:ascii="Arial" w:cs="Arial" w:eastAsia="Arial" w:hAnsi="Arial"/>
          <w:sz w:val="22"/>
          <w:szCs w:val="22"/>
        </w:rPr>
        <w:t xml:space="preserve">AlienVault OTX: https://otx.alienvault.com</w:t>
      </w:r>
    </w:p>
    <w:p>
      <w:pPr>
        <w:pStyle w:val="ListParagraph"/>
        <w:numPr>
          <w:ilvl w:val="0"/>
          <w:numId w:val="2"/>
        </w:numPr>
        <w:spacing w:after="40" w:before="40"/>
      </w:pPr>
      <w:r>
        <w:rPr>
          <w:rFonts w:ascii="Arial" w:cs="Arial" w:eastAsia="Arial" w:hAnsi="Arial"/>
          <w:sz w:val="22"/>
          <w:szCs w:val="22"/>
        </w:rPr>
        <w:t xml:space="preserve">Pyramid of Pain: https://detect-respond.blogspot.com/2013/03/the-pyramid-of-pain.html</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7B2D8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7B2D8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2026-04-21T16:22:04.520Z</dcterms:created>
  <dcterms:modified xsi:type="dcterms:W3CDTF">2026-04-21T16:22:04.521Z</dcterms:modified>
</cp:coreProperties>
</file>

<file path=docProps/custom.xml><?xml version="1.0" encoding="utf-8"?>
<Properties xmlns="http://schemas.openxmlformats.org/officeDocument/2006/custom-properties" xmlns:vt="http://schemas.openxmlformats.org/officeDocument/2006/docPropsVTypes"/>
</file>