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" w:hAnsi="Arial"/>
          <w:b w:val="1"/>
          <w:bCs w:val="1"/>
          <w:outline w:val="0"/>
          <w:color w:val="1a3a5c"/>
          <w:sz w:val="52"/>
          <w:szCs w:val="52"/>
          <w:u w:color="1a3a5c"/>
          <w:rtl w:val="0"/>
          <w:lang w:val="de-DE"/>
          <w14:textFill>
            <w14:solidFill>
              <w14:srgbClr w14:val="1A3A5C"/>
            </w14:solidFill>
          </w14:textFill>
        </w:rPr>
        <w:t>ENTERPRISE IDENTITY SECURITY PLATFORM</w:t>
      </w:r>
    </w:p>
    <w:p>
      <w:pPr>
        <w:pStyle w:val="Body"/>
        <w:bidi w:val="0"/>
      </w:pPr>
      <w:r>
        <w:rPr>
          <w:rFonts w:ascii="Arial" w:hAnsi="Arial"/>
          <w:b w:val="1"/>
          <w:bCs w:val="1"/>
          <w:outline w:val="0"/>
          <w:color w:val="2e75b6"/>
          <w:sz w:val="44"/>
          <w:szCs w:val="44"/>
          <w:u w:color="2e75b6"/>
          <w:rtl w:val="0"/>
          <w:lang w:val="en-US"/>
          <w14:textFill>
            <w14:solidFill>
              <w14:srgbClr w14:val="2E75B6"/>
            </w14:solidFill>
          </w14:textFill>
        </w:rPr>
        <w:t>Incident Response Plan</w:t>
      </w:r>
    </w:p>
    <w:p>
      <w:pPr>
        <w:pStyle w:val="Body"/>
        <w:bidi w:val="0"/>
      </w:pPr>
      <w:r>
        <w:rPr>
          <w:rFonts w:ascii="Arial" w:hAnsi="Arial"/>
          <w:b w:val="1"/>
          <w:bCs w:val="1"/>
          <w:outline w:val="0"/>
          <w:color w:val="c0392b"/>
          <w:sz w:val="32"/>
          <w:szCs w:val="32"/>
          <w:u w:color="c0392b"/>
          <w:rtl w:val="0"/>
          <w:lang w:val="en-US"/>
          <w14:textFill>
            <w14:solidFill>
              <w14:srgbClr w14:val="C0392B"/>
            </w14:solidFill>
          </w14:textFill>
        </w:rPr>
        <w:t>Credential Theft &amp; Account Compromise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600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400"/>
        <w:gridCol w:w="3600"/>
      </w:tblGrid>
      <w:tr>
        <w:tblPrEx>
          <w:shd w:val="clear" w:color="auto" w:fill="ced7e7"/>
        </w:tblPrEx>
        <w:trPr>
          <w:trHeight w:val="248" w:hRule="atLeast"/>
        </w:trPr>
        <w:tc>
          <w:tcPr>
            <w:tcW w:type="dxa" w:w="2400"/>
            <w:tcBorders>
              <w:top w:val="nil"/>
              <w:left w:val="nil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555555"/>
                <w:sz w:val="22"/>
                <w:szCs w:val="22"/>
                <w:u w:color="555555"/>
                <w:shd w:val="nil" w:color="auto" w:fill="auto"/>
                <w:rtl w:val="0"/>
                <w:lang w:val="en-US"/>
                <w14:textFill>
                  <w14:solidFill>
                    <w14:srgbClr w14:val="555555"/>
                  </w14:solidFill>
                </w14:textFill>
              </w:rPr>
              <w:t>Document ID:</w:t>
            </w:r>
          </w:p>
        </w:tc>
        <w:tc>
          <w:tcPr>
            <w:tcW w:type="dxa" w:w="3600"/>
            <w:tcBorders>
              <w:top w:val="nil"/>
              <w:left w:val="single" w:color="000000" w:sz="4" w:space="0" w:shadow="0" w:frame="0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2"/>
                <w:szCs w:val="22"/>
                <w:u w:color="000000"/>
                <w:shd w:val="nil" w:color="auto" w:fill="auto"/>
                <w:rtl w:val="0"/>
                <w:lang w:val="de-DE"/>
              </w:rPr>
              <w:t>EISP-IRP-001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2400"/>
            <w:tcBorders>
              <w:top w:val="single" w:color="000000" w:sz="4" w:space="0" w:shadow="0" w:frame="0"/>
              <w:left w:val="nil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555555"/>
                <w:sz w:val="22"/>
                <w:szCs w:val="22"/>
                <w:u w:color="555555"/>
                <w:shd w:val="nil" w:color="auto" w:fill="auto"/>
                <w:rtl w:val="0"/>
                <w:lang w:val="de-DE"/>
                <w14:textFill>
                  <w14:solidFill>
                    <w14:srgbClr w14:val="555555"/>
                  </w14:solidFill>
                </w14:textFill>
              </w:rPr>
              <w:t>Version:</w:t>
            </w:r>
          </w:p>
        </w:tc>
        <w:tc>
          <w:tcPr>
            <w:tcW w:type="dxa" w:w="3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2"/>
                <w:szCs w:val="22"/>
                <w:u w:color="000000"/>
                <w:shd w:val="nil" w:color="auto" w:fill="auto"/>
                <w:rtl w:val="0"/>
              </w:rPr>
              <w:t>1.0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2400"/>
            <w:tcBorders>
              <w:top w:val="single" w:color="000000" w:sz="4" w:space="0" w:shadow="0" w:frame="0"/>
              <w:left w:val="nil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555555"/>
                <w:sz w:val="22"/>
                <w:szCs w:val="22"/>
                <w:u w:color="555555"/>
                <w:shd w:val="nil" w:color="auto" w:fill="auto"/>
                <w:rtl w:val="0"/>
                <w:lang w:val="de-DE"/>
                <w14:textFill>
                  <w14:solidFill>
                    <w14:srgbClr w14:val="555555"/>
                  </w14:solidFill>
                </w14:textFill>
              </w:rPr>
              <w:t>Date:</w:t>
            </w:r>
          </w:p>
        </w:tc>
        <w:tc>
          <w:tcPr>
            <w:tcW w:type="dxa" w:w="3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01 April 2026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2400"/>
            <w:tcBorders>
              <w:top w:val="single" w:color="000000" w:sz="4" w:space="0" w:shadow="0" w:frame="0"/>
              <w:left w:val="nil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555555"/>
                <w:sz w:val="22"/>
                <w:szCs w:val="22"/>
                <w:u w:color="555555"/>
                <w:shd w:val="nil" w:color="auto" w:fill="auto"/>
                <w:rtl w:val="0"/>
                <w:lang w:val="en-US"/>
                <w14:textFill>
                  <w14:solidFill>
                    <w14:srgbClr w14:val="555555"/>
                  </w14:solidFill>
                </w14:textFill>
              </w:rPr>
              <w:t>Author:</w:t>
            </w:r>
          </w:p>
        </w:tc>
        <w:tc>
          <w:tcPr>
            <w:tcW w:type="dxa" w:w="3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2"/>
                <w:szCs w:val="22"/>
                <w:u w:color="000000"/>
                <w:shd w:val="nil" w:color="auto" w:fill="auto"/>
                <w:rtl w:val="0"/>
              </w:rPr>
              <w:t>Manisha Gupta</w:t>
            </w:r>
          </w:p>
        </w:tc>
      </w:tr>
      <w:tr>
        <w:tblPrEx>
          <w:shd w:val="clear" w:color="auto" w:fill="ced7e7"/>
        </w:tblPrEx>
        <w:trPr>
          <w:trHeight w:val="529" w:hRule="atLeast"/>
        </w:trPr>
        <w:tc>
          <w:tcPr>
            <w:tcW w:type="dxa" w:w="2400"/>
            <w:tcBorders>
              <w:top w:val="single" w:color="000000" w:sz="4" w:space="0" w:shadow="0" w:frame="0"/>
              <w:left w:val="nil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555555"/>
                <w:sz w:val="22"/>
                <w:szCs w:val="22"/>
                <w:u w:color="555555"/>
                <w:shd w:val="nil" w:color="auto" w:fill="auto"/>
                <w:rtl w:val="0"/>
                <w:lang w:val="it-IT"/>
                <w14:textFill>
                  <w14:solidFill>
                    <w14:srgbClr w14:val="555555"/>
                  </w14:solidFill>
                </w14:textFill>
              </w:rPr>
              <w:t>Classification:</w:t>
            </w:r>
          </w:p>
        </w:tc>
        <w:tc>
          <w:tcPr>
            <w:tcW w:type="dxa" w:w="3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c0392b"/>
                <w:sz w:val="22"/>
                <w:szCs w:val="22"/>
                <w:u w:color="c0392b"/>
                <w:shd w:val="nil" w:color="auto" w:fill="auto"/>
                <w:rtl w:val="0"/>
                <w:lang w:val="en-US"/>
                <w14:textFill>
                  <w14:solidFill>
                    <w14:srgbClr w14:val="C0392B"/>
                  </w14:solidFill>
                </w14:textFill>
              </w:rPr>
              <w:t xml:space="preserve">CONFIDENTIAL 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c0392b"/>
                <w:sz w:val="22"/>
                <w:szCs w:val="22"/>
                <w:u w:color="c0392b"/>
                <w:shd w:val="nil" w:color="auto" w:fill="auto"/>
                <w:rtl w:val="0"/>
                <w:lang w:val="en-US"/>
                <w14:textFill>
                  <w14:solidFill>
                    <w14:srgbClr w14:val="C0392B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b w:val="1"/>
                <w:bCs w:val="1"/>
                <w:outline w:val="0"/>
                <w:color w:val="c0392b"/>
                <w:sz w:val="22"/>
                <w:szCs w:val="22"/>
                <w:u w:color="c0392b"/>
                <w:shd w:val="nil" w:color="auto" w:fill="auto"/>
                <w:rtl w:val="0"/>
                <w:lang w:val="en-US"/>
                <w14:textFill>
                  <w14:solidFill>
                    <w14:srgbClr w14:val="C0392B"/>
                  </w14:solidFill>
                </w14:textFill>
              </w:rPr>
              <w:t>INTERNAL USE ONLY</w:t>
            </w:r>
          </w:p>
        </w:tc>
      </w:tr>
      <w:tr>
        <w:tblPrEx>
          <w:shd w:val="clear" w:color="auto" w:fill="ced7e7"/>
        </w:tblPrEx>
        <w:trPr>
          <w:trHeight w:val="534" w:hRule="atLeast"/>
        </w:trPr>
        <w:tc>
          <w:tcPr>
            <w:tcW w:type="dxa" w:w="2400"/>
            <w:tcBorders>
              <w:top w:val="single" w:color="000000" w:sz="4" w:space="0" w:shadow="0" w:frame="0"/>
              <w:left w:val="nil"/>
              <w:bottom w:val="nil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555555"/>
                <w:sz w:val="22"/>
                <w:szCs w:val="22"/>
                <w:u w:color="555555"/>
                <w:shd w:val="nil" w:color="auto" w:fill="auto"/>
                <w:rtl w:val="0"/>
                <w:lang w:val="en-US"/>
                <w14:textFill>
                  <w14:solidFill>
                    <w14:srgbClr w14:val="555555"/>
                  </w14:solidFill>
                </w14:textFill>
              </w:rPr>
              <w:t>Framework:</w:t>
            </w:r>
          </w:p>
        </w:tc>
        <w:tc>
          <w:tcPr>
            <w:tcW w:type="dxa" w:w="3600"/>
            <w:tcBorders>
              <w:top w:val="single" w:color="000000" w:sz="4" w:space="0" w:shadow="0" w:frame="0"/>
              <w:left w:val="single" w:color="000000" w:sz="4" w:space="0" w:shadow="0" w:frame="0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2"/>
                <w:szCs w:val="22"/>
                <w:u w:color="000000"/>
                <w:shd w:val="nil" w:color="auto" w:fill="auto"/>
                <w:rtl w:val="0"/>
              </w:rPr>
              <w:t>NIST SP 800-61 Rev.2 / MITRE ATT&amp;CK</w:t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"/>
      </w:pPr>
      <w:r>
        <w:rPr>
          <w:rtl w:val="0"/>
          <w:lang w:val="en-US"/>
        </w:rPr>
        <w:t>1. Document Control</w:t>
      </w:r>
    </w:p>
    <w:p>
      <w:pPr>
        <w:pStyle w:val="Heading 2"/>
      </w:pPr>
      <w:r>
        <w:rPr>
          <w:rtl w:val="0"/>
          <w:lang w:val="de-DE"/>
        </w:rPr>
        <w:t>1.1 Version History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300"/>
        <w:gridCol w:w="1600"/>
        <w:gridCol w:w="4260"/>
        <w:gridCol w:w="2200"/>
      </w:tblGrid>
      <w:tr>
        <w:tblPrEx>
          <w:shd w:val="clear" w:color="auto" w:fill="ced7e7"/>
        </w:tblPrEx>
        <w:trPr>
          <w:trHeight w:val="220" w:hRule="atLeast"/>
        </w:trPr>
        <w:tc>
          <w:tcPr>
            <w:tcW w:type="dxa" w:w="1300"/>
            <w:tcBorders>
              <w:top w:val="single" w:color="2e75b6" w:sz="4" w:space="0" w:shadow="0" w:frame="0"/>
              <w:left w:val="single" w:color="2e75b6" w:sz="4" w:space="0" w:shadow="0" w:frame="0"/>
              <w:bottom w:val="single" w:color="cccccc" w:sz="1" w:space="0" w:shadow="0" w:frame="0"/>
              <w:right w:val="single" w:color="2e75b6" w:sz="4" w:space="0" w:shadow="0" w:frame="0"/>
            </w:tcBorders>
            <w:shd w:val="clear" w:color="auto" w:fill="1a3a5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de-DE"/>
                <w14:textFill>
                  <w14:solidFill>
                    <w14:srgbClr w14:val="FFFFFF"/>
                  </w14:solidFill>
                </w14:textFill>
              </w:rPr>
              <w:t>Version</w:t>
            </w:r>
          </w:p>
        </w:tc>
        <w:tc>
          <w:tcPr>
            <w:tcW w:type="dxa" w:w="1600"/>
            <w:tcBorders>
              <w:top w:val="single" w:color="2e75b6" w:sz="4" w:space="0" w:shadow="0" w:frame="0"/>
              <w:left w:val="single" w:color="2e75b6" w:sz="4" w:space="0" w:shadow="0" w:frame="0"/>
              <w:bottom w:val="single" w:color="cccccc" w:sz="1" w:space="0" w:shadow="0" w:frame="0"/>
              <w:right w:val="single" w:color="2e75b6" w:sz="4" w:space="0" w:shadow="0" w:frame="0"/>
            </w:tcBorders>
            <w:shd w:val="clear" w:color="auto" w:fill="1a3a5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de-DE"/>
                <w14:textFill>
                  <w14:solidFill>
                    <w14:srgbClr w14:val="FFFFFF"/>
                  </w14:solidFill>
                </w14:textFill>
              </w:rPr>
              <w:t>Date</w:t>
            </w:r>
          </w:p>
        </w:tc>
        <w:tc>
          <w:tcPr>
            <w:tcW w:type="dxa" w:w="4260"/>
            <w:tcBorders>
              <w:top w:val="single" w:color="2e75b6" w:sz="4" w:space="0" w:shadow="0" w:frame="0"/>
              <w:left w:val="single" w:color="2e75b6" w:sz="4" w:space="0" w:shadow="0" w:frame="0"/>
              <w:bottom w:val="single" w:color="cccccc" w:sz="1" w:space="0" w:shadow="0" w:frame="0"/>
              <w:right w:val="single" w:color="2e75b6" w:sz="4" w:space="0" w:shadow="0" w:frame="0"/>
            </w:tcBorders>
            <w:shd w:val="clear" w:color="auto" w:fill="1a3a5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fr-FR"/>
                <w14:textFill>
                  <w14:solidFill>
                    <w14:srgbClr w14:val="FFFFFF"/>
                  </w14:solidFill>
                </w14:textFill>
              </w:rPr>
              <w:t>Description</w:t>
            </w:r>
          </w:p>
        </w:tc>
        <w:tc>
          <w:tcPr>
            <w:tcW w:type="dxa" w:w="2200"/>
            <w:tcBorders>
              <w:top w:val="single" w:color="2e75b6" w:sz="4" w:space="0" w:shadow="0" w:frame="0"/>
              <w:left w:val="single" w:color="2e75b6" w:sz="4" w:space="0" w:shadow="0" w:frame="0"/>
              <w:bottom w:val="single" w:color="cccccc" w:sz="1" w:space="0" w:shadow="0" w:frame="0"/>
              <w:right w:val="single" w:color="2e75b6" w:sz="4" w:space="0" w:shadow="0" w:frame="0"/>
            </w:tcBorders>
            <w:shd w:val="clear" w:color="auto" w:fill="1a3a5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Author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13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1.0</w:t>
            </w:r>
          </w:p>
        </w:tc>
        <w:tc>
          <w:tcPr>
            <w:tcW w:type="dxa" w:w="16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01 Apr 2026</w:t>
            </w:r>
          </w:p>
        </w:tc>
        <w:tc>
          <w:tcPr>
            <w:tcW w:type="dxa" w:w="42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Initial Incident Response Plan for Credential Theft / Account Compromise</w:t>
            </w:r>
          </w:p>
        </w:tc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Manisha Gupta</w:t>
            </w:r>
          </w:p>
        </w:tc>
      </w:tr>
    </w:tbl>
    <w:p>
      <w:pPr>
        <w:pStyle w:val="Heading 2"/>
        <w:widowControl w:val="0"/>
      </w:pPr>
    </w:p>
    <w:p>
      <w:pPr>
        <w:pStyle w:val="Heading 2"/>
        <w:widowControl w:val="0"/>
      </w:pPr>
    </w:p>
    <w:p>
      <w:pPr>
        <w:pStyle w:val="Heading 2"/>
      </w:pPr>
      <w:r>
        <w:rPr>
          <w:rtl w:val="0"/>
          <w:lang w:val="en-US"/>
        </w:rPr>
        <w:t>1.2 Document Approval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120"/>
        <w:gridCol w:w="3120"/>
        <w:gridCol w:w="3120"/>
      </w:tblGrid>
      <w:tr>
        <w:tblPrEx>
          <w:shd w:val="clear" w:color="auto" w:fill="ced7e7"/>
        </w:tblPrEx>
        <w:trPr>
          <w:trHeight w:val="220" w:hRule="atLeast"/>
        </w:trPr>
        <w:tc>
          <w:tcPr>
            <w:tcW w:type="dxa" w:w="3120"/>
            <w:tcBorders>
              <w:top w:val="single" w:color="2e75b6" w:sz="4" w:space="0" w:shadow="0" w:frame="0"/>
              <w:left w:val="single" w:color="2e75b6" w:sz="4" w:space="0" w:shadow="0" w:frame="0"/>
              <w:bottom w:val="single" w:color="cccccc" w:sz="1" w:space="0" w:shadow="0" w:frame="0"/>
              <w:right w:val="single" w:color="2e75b6" w:sz="4" w:space="0" w:shadow="0" w:frame="0"/>
            </w:tcBorders>
            <w:shd w:val="clear" w:color="auto" w:fill="1a3a5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Role</w:t>
            </w:r>
          </w:p>
        </w:tc>
        <w:tc>
          <w:tcPr>
            <w:tcW w:type="dxa" w:w="3120"/>
            <w:tcBorders>
              <w:top w:val="single" w:color="2e75b6" w:sz="4" w:space="0" w:shadow="0" w:frame="0"/>
              <w:left w:val="single" w:color="2e75b6" w:sz="4" w:space="0" w:shadow="0" w:frame="0"/>
              <w:bottom w:val="single" w:color="cccccc" w:sz="1" w:space="0" w:shadow="0" w:frame="0"/>
              <w:right w:val="single" w:color="2e75b6" w:sz="4" w:space="0" w:shadow="0" w:frame="0"/>
            </w:tcBorders>
            <w:shd w:val="clear" w:color="auto" w:fill="1a3a5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de-DE"/>
                <w14:textFill>
                  <w14:solidFill>
                    <w14:srgbClr w14:val="FFFFFF"/>
                  </w14:solidFill>
                </w14:textFill>
              </w:rPr>
              <w:t>Name</w:t>
            </w:r>
          </w:p>
        </w:tc>
        <w:tc>
          <w:tcPr>
            <w:tcW w:type="dxa" w:w="3120"/>
            <w:tcBorders>
              <w:top w:val="single" w:color="2e75b6" w:sz="4" w:space="0" w:shadow="0" w:frame="0"/>
              <w:left w:val="single" w:color="2e75b6" w:sz="4" w:space="0" w:shadow="0" w:frame="0"/>
              <w:bottom w:val="single" w:color="cccccc" w:sz="1" w:space="0" w:shadow="0" w:frame="0"/>
              <w:right w:val="single" w:color="2e75b6" w:sz="4" w:space="0" w:shadow="0" w:frame="0"/>
            </w:tcBorders>
            <w:shd w:val="clear" w:color="auto" w:fill="1a3a5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de-DE"/>
                <w14:textFill>
                  <w14:solidFill>
                    <w14:srgbClr w14:val="FFFFFF"/>
                  </w14:solidFill>
                </w14:textFill>
              </w:rPr>
              <w:t>Date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312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Author / IAM Engineer</w:t>
            </w:r>
          </w:p>
        </w:tc>
        <w:tc>
          <w:tcPr>
            <w:tcW w:type="dxa" w:w="312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Manisha Gupta</w:t>
            </w:r>
          </w:p>
        </w:tc>
        <w:tc>
          <w:tcPr>
            <w:tcW w:type="dxa" w:w="312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01 Apr 2026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312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Security Lead</w:t>
            </w:r>
          </w:p>
        </w:tc>
        <w:tc>
          <w:tcPr>
            <w:tcW w:type="dxa" w:w="312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[Reviewer Name]</w:t>
            </w:r>
          </w:p>
        </w:tc>
        <w:tc>
          <w:tcPr>
            <w:tcW w:type="dxa" w:w="312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de-DE"/>
              </w:rPr>
              <w:t>[Date]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312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Project Manager</w:t>
            </w:r>
          </w:p>
        </w:tc>
        <w:tc>
          <w:tcPr>
            <w:tcW w:type="dxa" w:w="312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[Approver Name]</w:t>
            </w:r>
          </w:p>
        </w:tc>
        <w:tc>
          <w:tcPr>
            <w:tcW w:type="dxa" w:w="312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de-DE"/>
              </w:rPr>
              <w:t>[Date]</w:t>
            </w:r>
          </w:p>
        </w:tc>
      </w:tr>
    </w:tbl>
    <w:p>
      <w:pPr>
        <w:pStyle w:val="Heading 2"/>
        <w:widowControl w:val="0"/>
      </w:pPr>
    </w:p>
    <w:p>
      <w:pPr>
        <w:pStyle w:val="Heading 2"/>
        <w:widowControl w:val="0"/>
      </w:pPr>
    </w:p>
    <w:p>
      <w:pPr>
        <w:pStyle w:val="Heading 2"/>
      </w:pPr>
      <w:r>
        <w:rPr>
          <w:rtl w:val="0"/>
          <w:lang w:val="en-US"/>
        </w:rPr>
        <w:t>1.3 Related Documents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680"/>
        <w:gridCol w:w="4680"/>
      </w:tblGrid>
      <w:tr>
        <w:tblPrEx>
          <w:shd w:val="clear" w:color="auto" w:fill="ced7e7"/>
        </w:tblPrEx>
        <w:trPr>
          <w:trHeight w:val="220" w:hRule="atLeast"/>
        </w:trPr>
        <w:tc>
          <w:tcPr>
            <w:tcW w:type="dxa" w:w="4680"/>
            <w:tcBorders>
              <w:top w:val="single" w:color="2e75b6" w:sz="4" w:space="0" w:shadow="0" w:frame="0"/>
              <w:left w:val="single" w:color="2e75b6" w:sz="4" w:space="0" w:shadow="0" w:frame="0"/>
              <w:bottom w:val="single" w:color="cccccc" w:sz="1" w:space="0" w:shadow="0" w:frame="0"/>
              <w:right w:val="single" w:color="2e75b6" w:sz="4" w:space="0" w:shadow="0" w:frame="0"/>
            </w:tcBorders>
            <w:shd w:val="clear" w:color="auto" w:fill="1a3a5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Document</w:t>
            </w:r>
          </w:p>
        </w:tc>
        <w:tc>
          <w:tcPr>
            <w:tcW w:type="dxa" w:w="4680"/>
            <w:tcBorders>
              <w:top w:val="single" w:color="2e75b6" w:sz="4" w:space="0" w:shadow="0" w:frame="0"/>
              <w:left w:val="single" w:color="2e75b6" w:sz="4" w:space="0" w:shadow="0" w:frame="0"/>
              <w:bottom w:val="single" w:color="cccccc" w:sz="1" w:space="0" w:shadow="0" w:frame="0"/>
              <w:right w:val="single" w:color="2e75b6" w:sz="4" w:space="0" w:shadow="0" w:frame="0"/>
            </w:tcBorders>
            <w:shd w:val="clear" w:color="auto" w:fill="1a3a5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Reference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468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EISP Design Document v1.1</w:t>
            </w:r>
          </w:p>
        </w:tc>
        <w:tc>
          <w:tcPr>
            <w:tcW w:type="dxa" w:w="468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Manisha_Gupta_EISP_Design_Document_v1.1.docx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468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12-Week Project Plan</w:t>
            </w:r>
          </w:p>
        </w:tc>
        <w:tc>
          <w:tcPr>
            <w:tcW w:type="dxa" w:w="468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EISP_12Week_ProjectPlan_Monday.xlsx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468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NIST SP 800-61 Rev.2</w:t>
            </w:r>
          </w:p>
        </w:tc>
        <w:tc>
          <w:tcPr>
            <w:tcW w:type="dxa" w:w="468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Computer Security Incident Handling Guide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468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MITRE ATT&amp;CK Framework</w:t>
            </w:r>
          </w:p>
        </w:tc>
        <w:tc>
          <w:tcPr>
            <w:tcW w:type="dxa" w:w="468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https://attack.mitre.org</w:t>
            </w:r>
          </w:p>
        </w:tc>
      </w:tr>
    </w:tbl>
    <w:p>
      <w:pPr>
        <w:pStyle w:val="Heading 2"/>
        <w:widowControl w:val="0"/>
      </w:pPr>
    </w:p>
    <w:p>
      <w:pPr>
        <w:pStyle w:val="Heading 2"/>
        <w:widowControl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br w:type="page"/>
      </w:r>
    </w:p>
    <w:p>
      <w:pPr>
        <w:pStyle w:val="Heading"/>
      </w:pPr>
      <w:r>
        <w:rPr>
          <w:rtl w:val="0"/>
          <w:lang w:val="en-US"/>
        </w:rPr>
        <w:t>2. Purpose &amp; Scope</w:t>
      </w:r>
    </w:p>
    <w:p>
      <w:pPr>
        <w:pStyle w:val="Heading 2"/>
      </w:pPr>
      <w:r>
        <w:rPr>
          <w:rtl w:val="0"/>
          <w:lang w:val="en-US"/>
        </w:rPr>
        <w:t>2.1 Purpose</w:t>
      </w:r>
    </w:p>
    <w:p>
      <w:pPr>
        <w:pStyle w:val="Heading 2"/>
      </w:pP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This Incident Response Plan (IRP) defines the structured procedures for detecting, containing, eradicating, and recovering from a Credential Theft or Account Compromise incident within the Enterprise Identity Security Platform (EISP). It provides clear, actionable steps to minimize damage, preserve evidence, restore secure operations, and prevent recurrence.</w:t>
      </w:r>
    </w:p>
    <w:p>
      <w:pPr>
        <w:pStyle w:val="Heading 2"/>
      </w:pP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This document aligns with the NIST SP 800-61 Rev.2 incident handling lifecycle and incorporates MITRE ATT&amp;CK threat intelligence to contextualize attacker behaviour within the EISP environment.</w:t>
      </w:r>
    </w:p>
    <w:p>
      <w:pPr>
        <w:pStyle w:val="Heading 2"/>
      </w:pPr>
    </w:p>
    <w:p>
      <w:pPr>
        <w:pStyle w:val="Heading 2"/>
      </w:pPr>
      <w:r>
        <w:rPr>
          <w:rtl w:val="0"/>
          <w:lang w:val="it-IT"/>
        </w:rPr>
        <w:t>2.2 Scope</w:t>
      </w:r>
    </w:p>
    <w:p>
      <w:pPr>
        <w:pStyle w:val="Heading 2"/>
      </w:pP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This plan applies to all components and credential types within the EISP environment:</w:t>
      </w:r>
    </w:p>
    <w:p>
      <w:pPr>
        <w:pStyle w:val="Heading 2"/>
      </w:pP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120"/>
        <w:gridCol w:w="3120"/>
        <w:gridCol w:w="3120"/>
      </w:tblGrid>
      <w:tr>
        <w:tblPrEx>
          <w:shd w:val="clear" w:color="auto" w:fill="ced7e7"/>
        </w:tblPrEx>
        <w:trPr>
          <w:trHeight w:val="220" w:hRule="atLeast"/>
        </w:trPr>
        <w:tc>
          <w:tcPr>
            <w:tcW w:type="dxa" w:w="3120"/>
            <w:tcBorders>
              <w:top w:val="single" w:color="2e75b6" w:sz="4" w:space="0" w:shadow="0" w:frame="0"/>
              <w:left w:val="single" w:color="2e75b6" w:sz="4" w:space="0" w:shadow="0" w:frame="0"/>
              <w:bottom w:val="single" w:color="cccccc" w:sz="1" w:space="0" w:shadow="0" w:frame="0"/>
              <w:right w:val="single" w:color="2e75b6" w:sz="4" w:space="0" w:shadow="0" w:frame="0"/>
            </w:tcBorders>
            <w:shd w:val="clear" w:color="auto" w:fill="1a3a5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it-IT"/>
                <w14:textFill>
                  <w14:solidFill>
                    <w14:srgbClr w14:val="FFFFFF"/>
                  </w14:solidFill>
                </w14:textFill>
              </w:rPr>
              <w:t>Component</w:t>
            </w:r>
          </w:p>
        </w:tc>
        <w:tc>
          <w:tcPr>
            <w:tcW w:type="dxa" w:w="3120"/>
            <w:tcBorders>
              <w:top w:val="single" w:color="2e75b6" w:sz="4" w:space="0" w:shadow="0" w:frame="0"/>
              <w:left w:val="single" w:color="2e75b6" w:sz="4" w:space="0" w:shadow="0" w:frame="0"/>
              <w:bottom w:val="single" w:color="cccccc" w:sz="1" w:space="0" w:shadow="0" w:frame="0"/>
              <w:right w:val="single" w:color="2e75b6" w:sz="4" w:space="0" w:shadow="0" w:frame="0"/>
            </w:tcBorders>
            <w:shd w:val="clear" w:color="auto" w:fill="1a3a5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Credential Types</w:t>
            </w:r>
          </w:p>
        </w:tc>
        <w:tc>
          <w:tcPr>
            <w:tcW w:type="dxa" w:w="3120"/>
            <w:tcBorders>
              <w:top w:val="single" w:color="2e75b6" w:sz="4" w:space="0" w:shadow="0" w:frame="0"/>
              <w:left w:val="single" w:color="2e75b6" w:sz="4" w:space="0" w:shadow="0" w:frame="0"/>
              <w:bottom w:val="single" w:color="cccccc" w:sz="1" w:space="0" w:shadow="0" w:frame="0"/>
              <w:right w:val="single" w:color="2e75b6" w:sz="4" w:space="0" w:shadow="0" w:frame="0"/>
            </w:tcBorders>
            <w:shd w:val="clear" w:color="auto" w:fill="1a3a5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Risk if Compromised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312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de-DE"/>
              </w:rPr>
              <w:t>Microsoft Entra ID / Okta</w:t>
            </w:r>
          </w:p>
        </w:tc>
        <w:tc>
          <w:tcPr>
            <w:tcW w:type="dxa" w:w="312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User passwords, MFA tokens, SSO session tokens</w:t>
            </w:r>
          </w:p>
        </w:tc>
        <w:tc>
          <w:tcPr>
            <w:tcW w:type="dxa" w:w="312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Full identity infrastructure access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312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de-DE"/>
              </w:rPr>
              <w:t>AWS IAM</w:t>
            </w:r>
          </w:p>
        </w:tc>
        <w:tc>
          <w:tcPr>
            <w:tcW w:type="dxa" w:w="312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Access keys, IAM role credentials, console passwords</w:t>
            </w:r>
          </w:p>
        </w:tc>
        <w:tc>
          <w:tcPr>
            <w:tcW w:type="dxa" w:w="312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Cloud infrastructure takeover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312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nl-NL"/>
              </w:rPr>
              <w:t>HashiCorp Vault</w:t>
            </w:r>
          </w:p>
        </w:tc>
        <w:tc>
          <w:tcPr>
            <w:tcW w:type="dxa" w:w="312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Root token, AppRole credentials, dynamic secrets</w:t>
            </w:r>
          </w:p>
        </w:tc>
        <w:tc>
          <w:tcPr>
            <w:tcW w:type="dxa" w:w="312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Secrets store compromise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312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Service Accounts</w:t>
            </w:r>
          </w:p>
        </w:tc>
        <w:tc>
          <w:tcPr>
            <w:tcW w:type="dxa" w:w="312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API tokens, database passwords, service credentials</w:t>
            </w:r>
          </w:p>
        </w:tc>
        <w:tc>
          <w:tcPr>
            <w:tcW w:type="dxa" w:w="312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Application and data layer access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312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Admin Accounts</w:t>
            </w:r>
          </w:p>
        </w:tc>
        <w:tc>
          <w:tcPr>
            <w:tcW w:type="dxa" w:w="312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Privileged user credentials, break-glass accounts</w:t>
            </w:r>
          </w:p>
        </w:tc>
        <w:tc>
          <w:tcPr>
            <w:tcW w:type="dxa" w:w="312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Full platform administrative control</w:t>
            </w:r>
          </w:p>
        </w:tc>
      </w:tr>
    </w:tbl>
    <w:p>
      <w:pPr>
        <w:pStyle w:val="Heading 2"/>
        <w:widowControl w:val="0"/>
      </w:pPr>
    </w:p>
    <w:p>
      <w:pPr>
        <w:pStyle w:val="Heading 2"/>
        <w:widowControl w:val="0"/>
      </w:pPr>
    </w:p>
    <w:p>
      <w:pPr>
        <w:pStyle w:val="Heading 2"/>
      </w:pPr>
      <w:r>
        <w:rPr>
          <w:rtl w:val="0"/>
          <w:lang w:val="en-US"/>
        </w:rPr>
        <w:t>2.3 Out of Scope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>Physical security breaches not involving digital identity compromise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>Third-party SaaS application breaches outside the EISP boundary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>Network-layer intrusions with no identity compromise component</w:t>
      </w:r>
    </w:p>
    <w:p>
      <w:pPr>
        <w:pStyle w:val="List Paragraph"/>
        <w:spacing w:before="40" w:after="4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"/>
      </w:pPr>
      <w:r>
        <w:rPr>
          <w:rtl w:val="0"/>
          <w:lang w:val="en-US"/>
        </w:rPr>
        <w:t>3. Incident Definition</w:t>
      </w:r>
    </w:p>
    <w:p>
      <w:pPr>
        <w:pStyle w:val="Heading 2"/>
      </w:pPr>
      <w:r>
        <w:rPr>
          <w:rtl w:val="0"/>
          <w:lang w:val="en-US"/>
        </w:rPr>
        <w:t>3.1 What is Credential Theft in the EISP Context?</w:t>
      </w:r>
    </w:p>
    <w:p>
      <w:pPr>
        <w:pStyle w:val="Heading 2"/>
      </w:pP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Credential theft is the unauthorised acquisition and use of authentication credentials belonging to EISP users, services, or machine identities. In the EISP environment, this represents a critical threat because identity is the primary security perimeter under the Zero Trust architecture.</w:t>
      </w:r>
    </w:p>
    <w:p>
      <w:pPr>
        <w:pStyle w:val="Heading 2"/>
      </w:pP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An attacker with stolen credentials can bypass all network-layer controls and appear as a legitimate user, making detection and containment significantly more difficult than traditional perimeter attacks.</w:t>
      </w:r>
    </w:p>
    <w:p>
      <w:pPr>
        <w:pStyle w:val="Heading 2"/>
      </w:pPr>
    </w:p>
    <w:p>
      <w:pPr>
        <w:pStyle w:val="Heading 2"/>
      </w:pPr>
      <w:r>
        <w:rPr>
          <w:rtl w:val="0"/>
          <w:lang w:val="en-US"/>
        </w:rPr>
        <w:t xml:space="preserve">3.2 Attack Vectors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How Credentials Are Stolen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200"/>
        <w:gridCol w:w="3560"/>
        <w:gridCol w:w="1800"/>
        <w:gridCol w:w="1800"/>
      </w:tblGrid>
      <w:tr>
        <w:tblPrEx>
          <w:shd w:val="clear" w:color="auto" w:fill="ced7e7"/>
        </w:tblPrEx>
        <w:trPr>
          <w:trHeight w:val="220" w:hRule="atLeast"/>
        </w:trPr>
        <w:tc>
          <w:tcPr>
            <w:tcW w:type="dxa" w:w="2200"/>
            <w:tcBorders>
              <w:top w:val="single" w:color="2e75b6" w:sz="4" w:space="0" w:shadow="0" w:frame="0"/>
              <w:left w:val="single" w:color="2e75b6" w:sz="4" w:space="0" w:shadow="0" w:frame="0"/>
              <w:bottom w:val="single" w:color="cccccc" w:sz="1" w:space="0" w:shadow="0" w:frame="0"/>
              <w:right w:val="single" w:color="2e75b6" w:sz="4" w:space="0" w:shadow="0" w:frame="0"/>
            </w:tcBorders>
            <w:shd w:val="clear" w:color="auto" w:fill="1a3a5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it-IT"/>
                <w14:textFill>
                  <w14:solidFill>
                    <w14:srgbClr w14:val="FFFFFF"/>
                  </w14:solidFill>
                </w14:textFill>
              </w:rPr>
              <w:t>Attack Vector</w:t>
            </w:r>
          </w:p>
        </w:tc>
        <w:tc>
          <w:tcPr>
            <w:tcW w:type="dxa" w:w="3560"/>
            <w:tcBorders>
              <w:top w:val="single" w:color="2e75b6" w:sz="4" w:space="0" w:shadow="0" w:frame="0"/>
              <w:left w:val="single" w:color="2e75b6" w:sz="4" w:space="0" w:shadow="0" w:frame="0"/>
              <w:bottom w:val="single" w:color="cccccc" w:sz="1" w:space="0" w:shadow="0" w:frame="0"/>
              <w:right w:val="single" w:color="2e75b6" w:sz="4" w:space="0" w:shadow="0" w:frame="0"/>
            </w:tcBorders>
            <w:shd w:val="clear" w:color="auto" w:fill="1a3a5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fr-FR"/>
                <w14:textFill>
                  <w14:solidFill>
                    <w14:srgbClr w14:val="FFFFFF"/>
                  </w14:solidFill>
                </w14:textFill>
              </w:rPr>
              <w:t>Description</w:t>
            </w:r>
          </w:p>
        </w:tc>
        <w:tc>
          <w:tcPr>
            <w:tcW w:type="dxa" w:w="1800"/>
            <w:tcBorders>
              <w:top w:val="single" w:color="2e75b6" w:sz="4" w:space="0" w:shadow="0" w:frame="0"/>
              <w:left w:val="single" w:color="2e75b6" w:sz="4" w:space="0" w:shadow="0" w:frame="0"/>
              <w:bottom w:val="single" w:color="cccccc" w:sz="1" w:space="0" w:shadow="0" w:frame="0"/>
              <w:right w:val="single" w:color="2e75b6" w:sz="4" w:space="0" w:shadow="0" w:frame="0"/>
            </w:tcBorders>
            <w:shd w:val="clear" w:color="auto" w:fill="1a3a5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MITRE ATT&amp;CK</w:t>
            </w:r>
          </w:p>
        </w:tc>
        <w:tc>
          <w:tcPr>
            <w:tcW w:type="dxa" w:w="1800"/>
            <w:tcBorders>
              <w:top w:val="single" w:color="2e75b6" w:sz="4" w:space="0" w:shadow="0" w:frame="0"/>
              <w:left w:val="single" w:color="2e75b6" w:sz="4" w:space="0" w:shadow="0" w:frame="0"/>
              <w:bottom w:val="single" w:color="cccccc" w:sz="1" w:space="0" w:shadow="0" w:frame="0"/>
              <w:right w:val="single" w:color="2e75b6" w:sz="4" w:space="0" w:shadow="0" w:frame="0"/>
            </w:tcBorders>
            <w:shd w:val="clear" w:color="auto" w:fill="1a3a5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EISP Target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Phishing</w:t>
            </w:r>
          </w:p>
        </w:tc>
        <w:tc>
          <w:tcPr>
            <w:tcW w:type="dxa" w:w="3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Deceptive emails/pages trick users into submitting credentials</w:t>
            </w:r>
          </w:p>
        </w:tc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T1566 / T1078</w:t>
            </w:r>
          </w:p>
        </w:tc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Entra ID / Okta user accounts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Credential Stuffing</w:t>
            </w:r>
          </w:p>
        </w:tc>
        <w:tc>
          <w:tcPr>
            <w:tcW w:type="dxa" w:w="3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Automated use of breached username/password combos</w:t>
            </w:r>
          </w:p>
        </w:tc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T1110.004</w:t>
            </w:r>
          </w:p>
        </w:tc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IdP login endpoints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Brute Force</w:t>
            </w:r>
          </w:p>
        </w:tc>
        <w:tc>
          <w:tcPr>
            <w:tcW w:type="dxa" w:w="3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Systematic password guessing against login endpoints</w:t>
            </w:r>
          </w:p>
        </w:tc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T1110.001</w:t>
            </w:r>
          </w:p>
        </w:tc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Admin &amp; service accounts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MFA Fatigue</w:t>
            </w:r>
          </w:p>
        </w:tc>
        <w:tc>
          <w:tcPr>
            <w:tcW w:type="dxa" w:w="3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Repeated push notification bombing until user approves</w:t>
            </w:r>
          </w:p>
        </w:tc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T1621</w:t>
            </w:r>
          </w:p>
        </w:tc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pt-PT"/>
              </w:rPr>
              <w:t>Entra ID MFA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Token Theft</w:t>
            </w:r>
          </w:p>
        </w:tc>
        <w:tc>
          <w:tcPr>
            <w:tcW w:type="dxa" w:w="3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Stealing OAuth/SAML tokens from browser or memory</w:t>
            </w:r>
          </w:p>
        </w:tc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T1539</w:t>
            </w:r>
          </w:p>
        </w:tc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it-IT"/>
              </w:rPr>
              <w:t>SSO session tokens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Secrets Exposure</w:t>
            </w:r>
          </w:p>
        </w:tc>
        <w:tc>
          <w:tcPr>
            <w:tcW w:type="dxa" w:w="3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API keys/tokens committed to code repos or leaked in logs</w:t>
            </w:r>
          </w:p>
        </w:tc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T1552</w:t>
            </w:r>
          </w:p>
        </w:tc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Vault secrets, AWS keys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Insider Threat</w:t>
            </w:r>
          </w:p>
        </w:tc>
        <w:tc>
          <w:tcPr>
            <w:tcW w:type="dxa" w:w="3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Legitimate user misusing their own or others' credentials</w:t>
            </w:r>
          </w:p>
        </w:tc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T1078</w:t>
            </w:r>
          </w:p>
        </w:tc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All EISP components</w:t>
            </w:r>
          </w:p>
        </w:tc>
      </w:tr>
    </w:tbl>
    <w:p>
      <w:pPr>
        <w:pStyle w:val="Heading 2"/>
        <w:widowControl w:val="0"/>
      </w:pPr>
    </w:p>
    <w:p>
      <w:pPr>
        <w:pStyle w:val="Heading 2"/>
        <w:widowControl w:val="0"/>
      </w:pPr>
    </w:p>
    <w:p>
      <w:pPr>
        <w:pStyle w:val="Heading 2"/>
      </w:pPr>
      <w:r>
        <w:rPr>
          <w:rtl w:val="0"/>
          <w:lang w:val="en-US"/>
        </w:rPr>
        <w:t>3.3 Indicators of Compromise (IoCs)</w:t>
      </w:r>
    </w:p>
    <w:p>
      <w:pPr>
        <w:pStyle w:val="Heading 2"/>
      </w:pP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 following behavioural and technical signals indicate a potential credential theft incident in EISP:</w:t>
      </w:r>
    </w:p>
    <w:p>
      <w:pPr>
        <w:pStyle w:val="Heading 2"/>
      </w:pPr>
    </w:p>
    <w:p>
      <w:pPr>
        <w:pStyle w:val="Heading 3"/>
      </w:pPr>
      <w:r>
        <w:rPr>
          <w:rtl w:val="0"/>
          <w:lang w:val="en-US"/>
        </w:rPr>
        <w:t>Authentication Anomalies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>Login from a previously unseen country or IP address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>Impossible travel: same account logged in from two geographically distant locations within a short time window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>Login at unusual hours outside the user's established pattern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>Multiple failed MFA push requests followed by a successful authentication (MFA fatigue pattern)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>Successful login immediately following a spike of failed attempts</w:t>
      </w:r>
    </w:p>
    <w:p>
      <w:pPr>
        <w:pStyle w:val="List Paragraph"/>
        <w:spacing w:before="40" w:after="40"/>
      </w:pPr>
    </w:p>
    <w:p>
      <w:pPr>
        <w:pStyle w:val="Heading 3"/>
      </w:pPr>
      <w:r>
        <w:rPr>
          <w:rtl w:val="0"/>
          <w:lang w:val="en-US"/>
        </w:rPr>
        <w:t>Access Behaviour Anomalies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>Sudden access to resources the account has never accessed before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 xml:space="preserve">Privilege escalation immediately after login </w:t>
      </w:r>
      <w:r>
        <w:rPr>
          <w:rFonts w:ascii="Arial" w:hAnsi="Arial" w:hint="default"/>
          <w:sz w:val="22"/>
          <w:szCs w:val="22"/>
          <w:rtl w:val="0"/>
          <w:lang w:val="en-US"/>
        </w:rPr>
        <w:t xml:space="preserve">— </w:t>
      </w:r>
      <w:r>
        <w:rPr>
          <w:rFonts w:ascii="Arial" w:hAnsi="Arial"/>
          <w:sz w:val="22"/>
          <w:szCs w:val="22"/>
          <w:rtl w:val="0"/>
          <w:lang w:val="en-US"/>
        </w:rPr>
        <w:t>account modifying its own permissions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>Bulk download or export of data shortly after authentication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>Creation of new IAM users, roles, or API keys by the compromised account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>Disabling of logging or security monitoring services</w:t>
      </w:r>
    </w:p>
    <w:p>
      <w:pPr>
        <w:pStyle w:val="List Paragraph"/>
        <w:spacing w:before="40" w:after="40"/>
      </w:pPr>
    </w:p>
    <w:p>
      <w:pPr>
        <w:pStyle w:val="Heading 3"/>
      </w:pPr>
      <w:r>
        <w:rPr>
          <w:rtl w:val="0"/>
          <w:lang w:val="en-US"/>
        </w:rPr>
        <w:t>Machine Identity / Secrets Anomalies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>API key or Vault token used from an unexpected IP or service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>High-volume API calls from a service account inconsistent with its function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>Vault audit logs showing access to secret paths outside normal application scope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>AWS CloudTrail showing AssumeRole calls for roles not normally assumed by an identity</w:t>
      </w:r>
    </w:p>
    <w:p>
      <w:pPr>
        <w:pStyle w:val="List Paragraph"/>
        <w:spacing w:before="40" w:after="4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"/>
      </w:pPr>
      <w:r>
        <w:rPr>
          <w:rtl w:val="0"/>
          <w:lang w:val="en-US"/>
        </w:rPr>
        <w:t>4. Incident Severity Classification</w:t>
      </w:r>
    </w:p>
    <w:p>
      <w:pPr>
        <w:pStyle w:val="Heading"/>
      </w:pP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All credential theft incidents must be classified upon detection. Classification determines response time, escalation path, and notification requirements.</w:t>
      </w:r>
    </w:p>
    <w:p>
      <w:pPr>
        <w:pStyle w:val="Heading"/>
      </w:pP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200"/>
        <w:gridCol w:w="2000"/>
        <w:gridCol w:w="2760"/>
        <w:gridCol w:w="1800"/>
        <w:gridCol w:w="1600"/>
      </w:tblGrid>
      <w:tr>
        <w:tblPrEx>
          <w:shd w:val="clear" w:color="auto" w:fill="ced7e7"/>
        </w:tblPrEx>
        <w:trPr>
          <w:trHeight w:val="220" w:hRule="atLeast"/>
        </w:trPr>
        <w:tc>
          <w:tcPr>
            <w:tcW w:type="dxa" w:w="1200"/>
            <w:tcBorders>
              <w:top w:val="single" w:color="2e75b6" w:sz="4" w:space="0" w:shadow="0" w:frame="0"/>
              <w:left w:val="single" w:color="2e75b6" w:sz="4" w:space="0" w:shadow="0" w:frame="0"/>
              <w:bottom w:val="single" w:color="cccccc" w:sz="1" w:space="0" w:shadow="0" w:frame="0"/>
              <w:right w:val="single" w:color="2e75b6" w:sz="4" w:space="0" w:shadow="0" w:frame="0"/>
            </w:tcBorders>
            <w:shd w:val="clear" w:color="auto" w:fill="c0392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Severity</w:t>
            </w:r>
          </w:p>
        </w:tc>
        <w:tc>
          <w:tcPr>
            <w:tcW w:type="dxa" w:w="2000"/>
            <w:tcBorders>
              <w:top w:val="single" w:color="2e75b6" w:sz="4" w:space="0" w:shadow="0" w:frame="0"/>
              <w:left w:val="single" w:color="2e75b6" w:sz="4" w:space="0" w:shadow="0" w:frame="0"/>
              <w:bottom w:val="single" w:color="cccccc" w:sz="1" w:space="0" w:shadow="0" w:frame="0"/>
              <w:right w:val="single" w:color="2e75b6" w:sz="4" w:space="0" w:shadow="0" w:frame="0"/>
            </w:tcBorders>
            <w:shd w:val="clear" w:color="auto" w:fill="c0392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Level</w:t>
            </w:r>
          </w:p>
        </w:tc>
        <w:tc>
          <w:tcPr>
            <w:tcW w:type="dxa" w:w="2760"/>
            <w:tcBorders>
              <w:top w:val="single" w:color="2e75b6" w:sz="4" w:space="0" w:shadow="0" w:frame="0"/>
              <w:left w:val="single" w:color="2e75b6" w:sz="4" w:space="0" w:shadow="0" w:frame="0"/>
              <w:bottom w:val="single" w:color="cccccc" w:sz="1" w:space="0" w:shadow="0" w:frame="0"/>
              <w:right w:val="single" w:color="2e75b6" w:sz="4" w:space="0" w:shadow="0" w:frame="0"/>
            </w:tcBorders>
            <w:shd w:val="clear" w:color="auto" w:fill="c0392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it-IT"/>
                <w14:textFill>
                  <w14:solidFill>
                    <w14:srgbClr w14:val="FFFFFF"/>
                  </w14:solidFill>
                </w14:textFill>
              </w:rPr>
              <w:t>Criteria</w:t>
            </w:r>
          </w:p>
        </w:tc>
        <w:tc>
          <w:tcPr>
            <w:tcW w:type="dxa" w:w="1800"/>
            <w:tcBorders>
              <w:top w:val="single" w:color="2e75b6" w:sz="4" w:space="0" w:shadow="0" w:frame="0"/>
              <w:left w:val="single" w:color="2e75b6" w:sz="4" w:space="0" w:shadow="0" w:frame="0"/>
              <w:bottom w:val="single" w:color="cccccc" w:sz="1" w:space="0" w:shadow="0" w:frame="0"/>
              <w:right w:val="single" w:color="2e75b6" w:sz="4" w:space="0" w:shadow="0" w:frame="0"/>
            </w:tcBorders>
            <w:shd w:val="clear" w:color="auto" w:fill="c0392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Response Time</w:t>
            </w:r>
          </w:p>
        </w:tc>
        <w:tc>
          <w:tcPr>
            <w:tcW w:type="dxa" w:w="1600"/>
            <w:tcBorders>
              <w:top w:val="single" w:color="2e75b6" w:sz="4" w:space="0" w:shadow="0" w:frame="0"/>
              <w:left w:val="single" w:color="2e75b6" w:sz="4" w:space="0" w:shadow="0" w:frame="0"/>
              <w:bottom w:val="single" w:color="cccccc" w:sz="1" w:space="0" w:shadow="0" w:frame="0"/>
              <w:right w:val="single" w:color="2e75b6" w:sz="4" w:space="0" w:shadow="0" w:frame="0"/>
            </w:tcBorders>
            <w:shd w:val="clear" w:color="auto" w:fill="c0392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Notification</w:t>
            </w:r>
          </w:p>
        </w:tc>
      </w:tr>
      <w:tr>
        <w:tblPrEx>
          <w:shd w:val="clear" w:color="auto" w:fill="ced7e7"/>
        </w:tblPrEx>
        <w:trPr>
          <w:trHeight w:val="2535" w:hRule="atLeast"/>
        </w:trPr>
        <w:tc>
          <w:tcPr>
            <w:tcW w:type="dxa" w:w="1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ded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c0392b"/>
                <w:sz w:val="20"/>
                <w:szCs w:val="20"/>
                <w:u w:color="c0392b"/>
                <w:shd w:val="nil" w:color="auto" w:fill="auto"/>
                <w:rtl w:val="0"/>
                <w:lang w:val="da-DK"/>
                <w14:textFill>
                  <w14:solidFill>
                    <w14:srgbClr w14:val="C0392B"/>
                  </w14:solidFill>
                </w14:textFill>
              </w:rPr>
              <w:t>SEV-1</w:t>
            </w:r>
          </w:p>
        </w:tc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ded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  <w:lang w:val="it-IT"/>
              </w:rPr>
              <w:t>Critical</w:t>
            </w:r>
          </w:p>
        </w:tc>
        <w:tc>
          <w:tcPr>
            <w:tcW w:type="dxa" w:w="27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ded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Admin / privileged account compromised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Vault root token or AWS root keys exposed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Active attacker confirmed in environment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Identity provider admin console accessed</w:t>
            </w:r>
          </w:p>
        </w:tc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ded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it-IT"/>
              </w:rPr>
              <w:t>Immediate (&lt; 15 min)</w:t>
            </w:r>
          </w:p>
        </w:tc>
        <w:tc>
          <w:tcPr>
            <w:tcW w:type="dxa" w:w="16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ded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Security Lead, Project Manager, All Stakeholders</w:t>
            </w:r>
          </w:p>
        </w:tc>
      </w:tr>
      <w:tr>
        <w:tblPrEx>
          <w:shd w:val="clear" w:color="auto" w:fill="ced7e7"/>
        </w:tblPrEx>
        <w:trPr>
          <w:trHeight w:val="2272" w:hRule="atLeast"/>
        </w:trPr>
        <w:tc>
          <w:tcPr>
            <w:tcW w:type="dxa" w:w="1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debd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e67e22"/>
                <w:sz w:val="20"/>
                <w:szCs w:val="20"/>
                <w:u w:color="e67e22"/>
                <w:shd w:val="nil" w:color="auto" w:fill="auto"/>
                <w:rtl w:val="0"/>
                <w:lang w:val="da-DK"/>
                <w14:textFill>
                  <w14:solidFill>
                    <w14:srgbClr w14:val="E67E22"/>
                  </w14:solidFill>
                </w14:textFill>
              </w:rPr>
              <w:t>SEV-2</w:t>
            </w:r>
          </w:p>
        </w:tc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debd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High</w:t>
            </w:r>
          </w:p>
        </w:tc>
        <w:tc>
          <w:tcPr>
            <w:tcW w:type="dxa" w:w="27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debd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Standard user account confirmed compromised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Active session hijacking detected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API key used from unauthorised source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Lateral movement observed</w:t>
            </w:r>
          </w:p>
        </w:tc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debd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&lt; 30 minutes</w:t>
            </w:r>
          </w:p>
        </w:tc>
        <w:tc>
          <w:tcPr>
            <w:tcW w:type="dxa" w:w="16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debd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Security Lead, IAM Engineer</w:t>
            </w:r>
          </w:p>
        </w:tc>
      </w:tr>
      <w:tr>
        <w:tblPrEx>
          <w:shd w:val="clear" w:color="auto" w:fill="ced7e7"/>
        </w:tblPrEx>
        <w:trPr>
          <w:trHeight w:val="2112" w:hRule="atLeast"/>
        </w:trPr>
        <w:tc>
          <w:tcPr>
            <w:tcW w:type="dxa" w:w="1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ef9e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b7950b"/>
                <w:sz w:val="20"/>
                <w:szCs w:val="20"/>
                <w:u w:color="b7950b"/>
                <w:shd w:val="nil" w:color="auto" w:fill="auto"/>
                <w:rtl w:val="0"/>
                <w:lang w:val="da-DK"/>
                <w14:textFill>
                  <w14:solidFill>
                    <w14:srgbClr w14:val="B7950B"/>
                  </w14:solidFill>
                </w14:textFill>
              </w:rPr>
              <w:t>SEV-3</w:t>
            </w:r>
          </w:p>
        </w:tc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ef9e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</w:rPr>
              <w:t>Medium</w:t>
            </w:r>
          </w:p>
        </w:tc>
        <w:tc>
          <w:tcPr>
            <w:tcW w:type="dxa" w:w="27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ef9e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 xml:space="preserve">Credential stuffing attack in progress </w:t>
            </w: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no confirmed breach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MFA fatigue attempt detected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Suspicious login flagged but not confirmed</w:t>
            </w:r>
          </w:p>
        </w:tc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ef9e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&lt; 2 hours</w:t>
            </w:r>
          </w:p>
        </w:tc>
        <w:tc>
          <w:tcPr>
            <w:tcW w:type="dxa" w:w="16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ef9e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Security Analyst</w:t>
            </w:r>
          </w:p>
        </w:tc>
      </w:tr>
      <w:tr>
        <w:tblPrEx>
          <w:shd w:val="clear" w:color="auto" w:fill="ced7e7"/>
        </w:tblPrEx>
        <w:trPr>
          <w:trHeight w:val="1849" w:hRule="atLeast"/>
        </w:trPr>
        <w:tc>
          <w:tcPr>
            <w:tcW w:type="dxa" w:w="1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bf5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2e75b6"/>
                <w:sz w:val="20"/>
                <w:szCs w:val="20"/>
                <w:u w:color="2e75b6"/>
                <w:shd w:val="nil" w:color="auto" w:fill="auto"/>
                <w:rtl w:val="0"/>
                <w:lang w:val="da-DK"/>
                <w14:textFill>
                  <w14:solidFill>
                    <w14:srgbClr w14:val="2E75B6"/>
                  </w14:solidFill>
                </w14:textFill>
              </w:rPr>
              <w:t>SEV-4</w:t>
            </w:r>
          </w:p>
        </w:tc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bf5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Low</w:t>
            </w:r>
          </w:p>
        </w:tc>
        <w:tc>
          <w:tcPr>
            <w:tcW w:type="dxa" w:w="27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bf5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Single failed login spike, no confirmed attack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Routine alert, likely false positive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Password reset requested by user after unusual activity</w:t>
            </w:r>
          </w:p>
        </w:tc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bf5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&lt; 24 hours</w:t>
            </w:r>
          </w:p>
        </w:tc>
        <w:tc>
          <w:tcPr>
            <w:tcW w:type="dxa" w:w="16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bf5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Security Analyst (logged only)</w:t>
            </w:r>
          </w:p>
        </w:tc>
      </w:tr>
    </w:tbl>
    <w:p>
      <w:pPr>
        <w:pStyle w:val="Heading"/>
        <w:widowControl w:val="0"/>
        <w:pBdr>
          <w:top w:val="nil"/>
          <w:left w:val="nil"/>
          <w:bottom w:val="nil"/>
          <w:right w:val="nil"/>
        </w:pBdr>
      </w:pPr>
    </w:p>
    <w:p>
      <w:pPr>
        <w:pStyle w:val="Heading"/>
        <w:widowControl w:val="0"/>
        <w:pBdr>
          <w:top w:val="nil"/>
          <w:left w:val="nil"/>
          <w:bottom w:val="nil"/>
          <w:right w:val="nil"/>
        </w:pBd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br w:type="page"/>
      </w:r>
    </w:p>
    <w:p>
      <w:pPr>
        <w:pStyle w:val="Heading"/>
      </w:pPr>
      <w:r>
        <w:rPr>
          <w:rtl w:val="0"/>
          <w:lang w:val="en-US"/>
        </w:rPr>
        <w:t>5. Roles &amp; Responsibilities</w:t>
      </w:r>
    </w:p>
    <w:p>
      <w:pPr>
        <w:pStyle w:val="Heading"/>
      </w:pP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 following roles are activated when a credential theft incident is declared. All personnel must be reachable within response time windows defined in Section 4.</w:t>
      </w:r>
    </w:p>
    <w:p>
      <w:pPr>
        <w:pStyle w:val="Heading"/>
      </w:pP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200"/>
        <w:gridCol w:w="2560"/>
        <w:gridCol w:w="4600"/>
      </w:tblGrid>
      <w:tr>
        <w:tblPrEx>
          <w:shd w:val="clear" w:color="auto" w:fill="ced7e7"/>
        </w:tblPrEx>
        <w:trPr>
          <w:trHeight w:val="220" w:hRule="atLeast"/>
        </w:trPr>
        <w:tc>
          <w:tcPr>
            <w:tcW w:type="dxa" w:w="2200"/>
            <w:tcBorders>
              <w:top w:val="single" w:color="2e75b6" w:sz="4" w:space="0" w:shadow="0" w:frame="0"/>
              <w:left w:val="single" w:color="2e75b6" w:sz="4" w:space="0" w:shadow="0" w:frame="0"/>
              <w:bottom w:val="single" w:color="cccccc" w:sz="1" w:space="0" w:shadow="0" w:frame="0"/>
              <w:right w:val="single" w:color="2e75b6" w:sz="4" w:space="0" w:shadow="0" w:frame="0"/>
            </w:tcBorders>
            <w:shd w:val="clear" w:color="auto" w:fill="1a3a5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Role</w:t>
            </w:r>
          </w:p>
        </w:tc>
        <w:tc>
          <w:tcPr>
            <w:tcW w:type="dxa" w:w="2560"/>
            <w:tcBorders>
              <w:top w:val="single" w:color="2e75b6" w:sz="4" w:space="0" w:shadow="0" w:frame="0"/>
              <w:left w:val="single" w:color="2e75b6" w:sz="4" w:space="0" w:shadow="0" w:frame="0"/>
              <w:bottom w:val="single" w:color="cccccc" w:sz="1" w:space="0" w:shadow="0" w:frame="0"/>
              <w:right w:val="single" w:color="2e75b6" w:sz="4" w:space="0" w:shadow="0" w:frame="0"/>
            </w:tcBorders>
            <w:shd w:val="clear" w:color="auto" w:fill="1a3a5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Owner</w:t>
            </w:r>
          </w:p>
        </w:tc>
        <w:tc>
          <w:tcPr>
            <w:tcW w:type="dxa" w:w="4600"/>
            <w:tcBorders>
              <w:top w:val="single" w:color="2e75b6" w:sz="4" w:space="0" w:shadow="0" w:frame="0"/>
              <w:left w:val="single" w:color="2e75b6" w:sz="4" w:space="0" w:shadow="0" w:frame="0"/>
              <w:bottom w:val="single" w:color="cccccc" w:sz="1" w:space="0" w:shadow="0" w:frame="0"/>
              <w:right w:val="single" w:color="2e75b6" w:sz="4" w:space="0" w:shadow="0" w:frame="0"/>
            </w:tcBorders>
            <w:shd w:val="clear" w:color="auto" w:fill="1a3a5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Responsibilities</w:t>
            </w:r>
          </w:p>
        </w:tc>
      </w:tr>
      <w:tr>
        <w:tblPrEx>
          <w:shd w:val="clear" w:color="auto" w:fill="ced7e7"/>
        </w:tblPrEx>
        <w:trPr>
          <w:trHeight w:val="1484" w:hRule="atLeast"/>
        </w:trPr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Incident Commander</w:t>
            </w:r>
          </w:p>
        </w:tc>
        <w:tc>
          <w:tcPr>
            <w:tcW w:type="dxa" w:w="2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Security Lead</w:t>
            </w:r>
          </w:p>
        </w:tc>
        <w:tc>
          <w:tcPr>
            <w:tcW w:type="dxa" w:w="46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Declares and closes the incident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Coordinates all response activities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Final decision authority on containment actions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Leads post-incident review</w:t>
            </w:r>
          </w:p>
        </w:tc>
      </w:tr>
      <w:tr>
        <w:tblPrEx>
          <w:shd w:val="clear" w:color="auto" w:fill="ced7e7"/>
        </w:tblPrEx>
        <w:trPr>
          <w:trHeight w:val="2009" w:hRule="atLeast"/>
        </w:trPr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nl-NL"/>
              </w:rPr>
              <w:t>IAM Engineer</w:t>
            </w:r>
          </w:p>
        </w:tc>
        <w:tc>
          <w:tcPr>
            <w:tcW w:type="dxa" w:w="2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Manisha Gupta</w:t>
            </w:r>
          </w:p>
        </w:tc>
        <w:tc>
          <w:tcPr>
            <w:tcW w:type="dxa" w:w="46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Performs technical containment (account disable, token revocation)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de-DE"/>
              </w:rPr>
              <w:t>Investigates identity logs in Entra ID / Okta / AWS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Executes credential rotation and re-provisioning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Validates environment cleanliness before recovery</w:t>
            </w:r>
          </w:p>
        </w:tc>
      </w:tr>
      <w:tr>
        <w:tblPrEx>
          <w:shd w:val="clear" w:color="auto" w:fill="ced7e7"/>
        </w:tblPrEx>
        <w:trPr>
          <w:trHeight w:val="1484" w:hRule="atLeast"/>
        </w:trPr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Security Analyst</w:t>
            </w:r>
          </w:p>
        </w:tc>
        <w:tc>
          <w:tcPr>
            <w:tcW w:type="dxa" w:w="2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Security Team</w:t>
            </w:r>
          </w:p>
        </w:tc>
        <w:tc>
          <w:tcPr>
            <w:tcW w:type="dxa" w:w="46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Monitors detection alerts and triages initial signals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Collects and preserves log evidence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Conducts forensic analysis of attacker behaviour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Maps attack to MITRE ATT&amp;CK techniques</w:t>
            </w:r>
          </w:p>
        </w:tc>
      </w:tr>
      <w:tr>
        <w:tblPrEx>
          <w:shd w:val="clear" w:color="auto" w:fill="ced7e7"/>
        </w:tblPrEx>
        <w:trPr>
          <w:trHeight w:val="1849" w:hRule="atLeast"/>
        </w:trPr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nl-NL"/>
              </w:rPr>
              <w:t>DevSecOps Engineer</w:t>
            </w:r>
          </w:p>
        </w:tc>
        <w:tc>
          <w:tcPr>
            <w:tcW w:type="dxa" w:w="2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nl-NL"/>
              </w:rPr>
              <w:t>DevSecOps Team</w:t>
            </w:r>
          </w:p>
        </w:tc>
        <w:tc>
          <w:tcPr>
            <w:tcW w:type="dxa" w:w="46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Manages Vault credential rotation and secret invalidation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Handles AWS IAM key rotation and CloudTrail forensics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Validates infrastructure-as-code integrity post-incident</w:t>
            </w:r>
          </w:p>
        </w:tc>
      </w:tr>
      <w:tr>
        <w:tblPrEx>
          <w:shd w:val="clear" w:color="auto" w:fill="ced7e7"/>
        </w:tblPrEx>
        <w:trPr>
          <w:trHeight w:val="1324" w:hRule="atLeast"/>
        </w:trPr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Project Manager</w:t>
            </w:r>
          </w:p>
        </w:tc>
        <w:tc>
          <w:tcPr>
            <w:tcW w:type="dxa" w:w="2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PM</w:t>
            </w:r>
          </w:p>
        </w:tc>
        <w:tc>
          <w:tcPr>
            <w:tcW w:type="dxa" w:w="46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Manages stakeholder communications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Tracks timeline and documents decisions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Ensures post-incident action items are assigned and tracked</w:t>
            </w:r>
          </w:p>
        </w:tc>
      </w:tr>
      <w:tr>
        <w:tblPrEx>
          <w:shd w:val="clear" w:color="auto" w:fill="ced7e7"/>
        </w:tblPrEx>
        <w:trPr>
          <w:trHeight w:val="1324" w:hRule="atLeast"/>
        </w:trPr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Communications Lead</w:t>
            </w:r>
          </w:p>
        </w:tc>
        <w:tc>
          <w:tcPr>
            <w:tcW w:type="dxa" w:w="2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PM / Security Lead</w:t>
            </w:r>
          </w:p>
        </w:tc>
        <w:tc>
          <w:tcPr>
            <w:tcW w:type="dxa" w:w="46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Drafts internal and external notifications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Controls information disclosure to prevent tipping off insider threats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Handles regulatory notification if required</w:t>
            </w:r>
          </w:p>
        </w:tc>
      </w:tr>
    </w:tbl>
    <w:p>
      <w:pPr>
        <w:pStyle w:val="Heading"/>
        <w:widowControl w:val="0"/>
        <w:pBdr>
          <w:top w:val="nil"/>
          <w:left w:val="nil"/>
          <w:bottom w:val="nil"/>
          <w:right w:val="nil"/>
        </w:pBdr>
      </w:pPr>
    </w:p>
    <w:p>
      <w:pPr>
        <w:pStyle w:val="Heading"/>
        <w:widowControl w:val="0"/>
        <w:pBdr>
          <w:top w:val="nil"/>
          <w:left w:val="nil"/>
          <w:bottom w:val="nil"/>
          <w:right w:val="nil"/>
        </w:pBd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br w:type="page"/>
      </w:r>
    </w:p>
    <w:p>
      <w:pPr>
        <w:pStyle w:val="Heading"/>
      </w:pPr>
      <w:r>
        <w:rPr>
          <w:rtl w:val="0"/>
          <w:lang w:val="en-US"/>
        </w:rPr>
        <w:t xml:space="preserve">6. Phase 1 </w:t>
      </w:r>
      <w:r>
        <w:rPr>
          <w:rtl w:val="0"/>
          <w:lang w:val="en-US"/>
        </w:rPr>
        <w:t xml:space="preserve">— </w:t>
      </w:r>
      <w:r>
        <w:rPr>
          <w:rtl w:val="0"/>
          <w:lang w:val="fr-FR"/>
        </w:rPr>
        <w:t>Preparation</w:t>
      </w:r>
    </w:p>
    <w:p>
      <w:pPr>
        <w:pStyle w:val="Heading"/>
      </w:pPr>
      <w:r>
        <w:rPr>
          <w:i w:val="1"/>
          <w:iCs w:val="1"/>
          <w:outline w:val="0"/>
          <w:color w:val="555555"/>
          <w:sz w:val="22"/>
          <w:szCs w:val="22"/>
          <w:u w:color="555555"/>
          <w:rtl w:val="0"/>
          <w:lang w:val="en-US"/>
          <w14:textFill>
            <w14:solidFill>
              <w14:srgbClr w14:val="555555"/>
            </w14:solidFill>
          </w14:textFill>
        </w:rPr>
        <w:t>NIST Phase 1 | Establish capabilities before an incident occurs</w:t>
      </w:r>
    </w:p>
    <w:p>
      <w:pPr>
        <w:pStyle w:val="Heading"/>
      </w:pPr>
    </w:p>
    <w:p>
      <w:pPr>
        <w:pStyle w:val="Heading"/>
      </w:pP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Preparation activities must be completed and maintained continuously. An IR plan is only effective if the tools, access, and training are in place before an incident occurs.</w:t>
      </w:r>
    </w:p>
    <w:p>
      <w:pPr>
        <w:pStyle w:val="Heading"/>
      </w:pPr>
    </w:p>
    <w:p>
      <w:pPr>
        <w:pStyle w:val="Heading 2"/>
      </w:pPr>
      <w:r>
        <w:rPr>
          <w:rtl w:val="0"/>
          <w:lang w:val="en-US"/>
        </w:rPr>
        <w:t>6.1 Detection &amp; Monitoring Readiness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>Entra ID / Okta sign-in logs routed to centralised SIEM (Microsoft Sentinel / Splunk)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>AWS CloudTrail enabled across all regions and accounts, logs centralised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>HashiCorp Vault audit logging enabled and forwarded to SIEM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>Detection rule active for failed MFA spike (Task 12I): alert threshold = 5 failed MFA attempts within 10 minutes on a single account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>Impossible travel detection rule configured in Conditional Access policy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>Microsoft Defender for Identity deployed and connected to Entra ID</w:t>
      </w:r>
    </w:p>
    <w:p>
      <w:pPr>
        <w:pStyle w:val="List Paragraph"/>
        <w:spacing w:before="40" w:after="40"/>
      </w:pPr>
    </w:p>
    <w:p>
      <w:pPr>
        <w:pStyle w:val="Heading 2"/>
      </w:pPr>
      <w:r>
        <w:rPr>
          <w:rtl w:val="0"/>
          <w:lang w:val="en-US"/>
        </w:rPr>
        <w:t>6.2 Credential Inventory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>All human user accounts documented in Entra ID / Okta with role assignments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>All service accounts and API tokens registered in HashiCorp Vault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>AWS IAM roles and access keys inventoried; unused keys disabled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>Break-glass / emergency admin accounts documented and secured with hardware MFA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>Credential rotation schedules established: AWS keys every 90 days, Vault dynamic secrets with short TTLs</w:t>
      </w:r>
    </w:p>
    <w:p>
      <w:pPr>
        <w:pStyle w:val="List Paragraph"/>
        <w:spacing w:before="40" w:after="40"/>
      </w:pPr>
    </w:p>
    <w:p>
      <w:pPr>
        <w:pStyle w:val="Heading 2"/>
      </w:pPr>
      <w:r>
        <w:rPr>
          <w:rtl w:val="0"/>
          <w:lang w:val="en-US"/>
        </w:rPr>
        <w:t>6.3 Response Tooling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>IAM Engineer has pre-authorised access to disable accounts in Entra ID / Okta without additional approval for SEV-1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>Automated playbook configured: high-severity identity alert triggers automated account suspension (Week 11 deliverable)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>Vault CLI and AWS CLI available on secure jump host for emergency credential operations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>Evidence collection template prepared (log export format, chain of custody procedure)</w:t>
      </w:r>
    </w:p>
    <w:p>
      <w:pPr>
        <w:pStyle w:val="List Paragraph"/>
        <w:spacing w:before="40" w:after="40"/>
      </w:pPr>
    </w:p>
    <w:p>
      <w:pPr>
        <w:pStyle w:val="Heading 2"/>
      </w:pPr>
      <w:r>
        <w:rPr>
          <w:rtl w:val="0"/>
          <w:lang w:val="en-US"/>
        </w:rPr>
        <w:t>6.4 Training &amp; Awareness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>All EISP team members trained on IR plan procedures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>Tabletop exercise conducted quarterly simulating credential theft scenario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>Phishing simulation (Task 12B) used to test user awareness and detection capability</w:t>
      </w:r>
    </w:p>
    <w:p>
      <w:pPr>
        <w:pStyle w:val="List Paragraph"/>
        <w:spacing w:before="40" w:after="4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"/>
      </w:pPr>
      <w:r>
        <w:rPr>
          <w:rtl w:val="0"/>
          <w:lang w:val="en-US"/>
        </w:rPr>
        <w:t xml:space="preserve">7. Phase 2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Detection &amp; Analysis</w:t>
      </w:r>
    </w:p>
    <w:p>
      <w:pPr>
        <w:pStyle w:val="Heading"/>
      </w:pPr>
      <w:r>
        <w:rPr>
          <w:i w:val="1"/>
          <w:iCs w:val="1"/>
          <w:outline w:val="0"/>
          <w:color w:val="555555"/>
          <w:sz w:val="22"/>
          <w:szCs w:val="22"/>
          <w:u w:color="555555"/>
          <w:rtl w:val="0"/>
          <w:lang w:val="en-US"/>
          <w14:textFill>
            <w14:solidFill>
              <w14:srgbClr w14:val="555555"/>
            </w14:solidFill>
          </w14:textFill>
        </w:rPr>
        <w:t>NIST Phase 2 | Identify and confirm the incident</w:t>
      </w:r>
    </w:p>
    <w:p>
      <w:pPr>
        <w:pStyle w:val="Heading"/>
      </w:pPr>
    </w:p>
    <w:p>
      <w:pPr>
        <w:pStyle w:val="Heading 2"/>
      </w:pPr>
      <w:r>
        <w:rPr>
          <w:rtl w:val="0"/>
          <w:lang w:val="en-US"/>
        </w:rPr>
        <w:t>7.1 Detection Sources</w:t>
      </w:r>
    </w:p>
    <w:p>
      <w:pPr>
        <w:pStyle w:val="Heading 2"/>
      </w:pP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 credential theft incident may be detected through any of the following sources: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800"/>
        <w:gridCol w:w="3560"/>
        <w:gridCol w:w="3000"/>
      </w:tblGrid>
      <w:tr>
        <w:tblPrEx>
          <w:shd w:val="clear" w:color="auto" w:fill="ced7e7"/>
        </w:tblPrEx>
        <w:trPr>
          <w:trHeight w:val="220" w:hRule="atLeast"/>
        </w:trPr>
        <w:tc>
          <w:tcPr>
            <w:tcW w:type="dxa" w:w="2800"/>
            <w:tcBorders>
              <w:top w:val="single" w:color="2e75b6" w:sz="4" w:space="0" w:shadow="0" w:frame="0"/>
              <w:left w:val="single" w:color="2e75b6" w:sz="4" w:space="0" w:shadow="0" w:frame="0"/>
              <w:bottom w:val="single" w:color="cccccc" w:sz="1" w:space="0" w:shadow="0" w:frame="0"/>
              <w:right w:val="single" w:color="2e75b6" w:sz="4" w:space="0" w:shadow="0" w:frame="0"/>
            </w:tcBorders>
            <w:shd w:val="clear" w:color="auto" w:fill="1a3a5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Detection Source</w:t>
            </w:r>
          </w:p>
        </w:tc>
        <w:tc>
          <w:tcPr>
            <w:tcW w:type="dxa" w:w="3560"/>
            <w:tcBorders>
              <w:top w:val="single" w:color="2e75b6" w:sz="4" w:space="0" w:shadow="0" w:frame="0"/>
              <w:left w:val="single" w:color="2e75b6" w:sz="4" w:space="0" w:shadow="0" w:frame="0"/>
              <w:bottom w:val="single" w:color="cccccc" w:sz="1" w:space="0" w:shadow="0" w:frame="0"/>
              <w:right w:val="single" w:color="2e75b6" w:sz="4" w:space="0" w:shadow="0" w:frame="0"/>
            </w:tcBorders>
            <w:shd w:val="clear" w:color="auto" w:fill="1a3a5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de-DE"/>
                <w14:textFill>
                  <w14:solidFill>
                    <w14:srgbClr w14:val="FFFFFF"/>
                  </w14:solidFill>
                </w14:textFill>
              </w:rPr>
              <w:t>Signal</w:t>
            </w:r>
          </w:p>
        </w:tc>
        <w:tc>
          <w:tcPr>
            <w:tcW w:type="dxa" w:w="3000"/>
            <w:tcBorders>
              <w:top w:val="single" w:color="2e75b6" w:sz="4" w:space="0" w:shadow="0" w:frame="0"/>
              <w:left w:val="single" w:color="2e75b6" w:sz="4" w:space="0" w:shadow="0" w:frame="0"/>
              <w:bottom w:val="single" w:color="cccccc" w:sz="1" w:space="0" w:shadow="0" w:frame="0"/>
              <w:right w:val="single" w:color="2e75b6" w:sz="4" w:space="0" w:shadow="0" w:frame="0"/>
            </w:tcBorders>
            <w:shd w:val="clear" w:color="auto" w:fill="1a3a5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Tool / Log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2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SIEM Alert</w:t>
            </w:r>
          </w:p>
        </w:tc>
        <w:tc>
          <w:tcPr>
            <w:tcW w:type="dxa" w:w="3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Automated alert fired based on detection rule</w:t>
            </w:r>
          </w:p>
        </w:tc>
        <w:tc>
          <w:tcPr>
            <w:tcW w:type="dxa" w:w="3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it-IT"/>
              </w:rPr>
              <w:t>Microsoft Sentinel / Splunk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2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Microsoft Defender for Identity</w:t>
            </w:r>
          </w:p>
        </w:tc>
        <w:tc>
          <w:tcPr>
            <w:tcW w:type="dxa" w:w="3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Suspicious activity detected on identity</w:t>
            </w:r>
          </w:p>
        </w:tc>
        <w:tc>
          <w:tcPr>
            <w:tcW w:type="dxa" w:w="3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Defender for Identity portal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2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Entra ID / Okta Sign-in Logs</w:t>
            </w:r>
          </w:p>
        </w:tc>
        <w:tc>
          <w:tcPr>
            <w:tcW w:type="dxa" w:w="3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Impossible travel, unknown location, MFA anomaly</w:t>
            </w:r>
          </w:p>
        </w:tc>
        <w:tc>
          <w:tcPr>
            <w:tcW w:type="dxa" w:w="3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de-DE"/>
              </w:rPr>
              <w:t>Entra ID Sign-in Logs / Okta System Log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2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AWS CloudTrail</w:t>
            </w:r>
          </w:p>
        </w:tc>
        <w:tc>
          <w:tcPr>
            <w:tcW w:type="dxa" w:w="3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Unexpected AssumeRole, CreateUser, or key usage</w:t>
            </w:r>
          </w:p>
        </w:tc>
        <w:tc>
          <w:tcPr>
            <w:tcW w:type="dxa" w:w="3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AWS CloudTrail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2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Vault Audit Log</w:t>
            </w:r>
          </w:p>
        </w:tc>
        <w:tc>
          <w:tcPr>
            <w:tcW w:type="dxa" w:w="3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Unusual secret path access or token usage</w:t>
            </w:r>
          </w:p>
        </w:tc>
        <w:tc>
          <w:tcPr>
            <w:tcW w:type="dxa" w:w="3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HashiCorp Vault audit device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2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de-DE"/>
              </w:rPr>
              <w:t>User Report</w:t>
            </w:r>
          </w:p>
        </w:tc>
        <w:tc>
          <w:tcPr>
            <w:tcW w:type="dxa" w:w="3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User reports unexpected login or account lockout</w:t>
            </w:r>
          </w:p>
        </w:tc>
        <w:tc>
          <w:tcPr>
            <w:tcW w:type="dxa" w:w="3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Helpdesk / email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2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Threat Intelligence</w:t>
            </w:r>
          </w:p>
        </w:tc>
        <w:tc>
          <w:tcPr>
            <w:tcW w:type="dxa" w:w="3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EISP credentials found in breach database</w:t>
            </w:r>
          </w:p>
        </w:tc>
        <w:tc>
          <w:tcPr>
            <w:tcW w:type="dxa" w:w="3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OpenCTI / HaveIBeenPwned</w:t>
            </w:r>
          </w:p>
        </w:tc>
      </w:tr>
    </w:tbl>
    <w:p>
      <w:pPr>
        <w:pStyle w:val="Heading 2"/>
        <w:widowControl w:val="0"/>
      </w:pPr>
    </w:p>
    <w:p>
      <w:pPr>
        <w:pStyle w:val="Heading 2"/>
        <w:widowControl w:val="0"/>
      </w:pPr>
    </w:p>
    <w:p>
      <w:pPr>
        <w:pStyle w:val="Heading 2"/>
      </w:pPr>
      <w:r>
        <w:rPr>
          <w:rtl w:val="0"/>
          <w:lang w:val="en-US"/>
        </w:rPr>
        <w:t>7.2 Initial Triage Procedure</w:t>
      </w:r>
    </w:p>
    <w:p>
      <w:pPr>
        <w:pStyle w:val="Heading 2"/>
      </w:pP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Upon receiving an alert or report, the Security Analyst performs the following triage steps:</w:t>
      </w:r>
    </w:p>
    <w:p>
      <w:pPr>
        <w:pStyle w:val="List Paragraph"/>
        <w:numPr>
          <w:ilvl w:val="0"/>
          <w:numId w:val="4"/>
        </w:numPr>
        <w:spacing w:before="50" w:after="5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>Acknowledge the alert in the SIEM. Record timestamp, alert ID, and affected account name.</w:t>
      </w:r>
    </w:p>
    <w:p>
      <w:pPr>
        <w:pStyle w:val="List Paragraph"/>
        <w:numPr>
          <w:ilvl w:val="0"/>
          <w:numId w:val="4"/>
        </w:numPr>
        <w:spacing w:before="50" w:after="5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>Pull sign-in logs for the affected account from Entra ID / Okta. Review the last 24 hours of activity.</w:t>
      </w:r>
    </w:p>
    <w:p>
      <w:pPr>
        <w:pStyle w:val="List Paragraph"/>
        <w:numPr>
          <w:ilvl w:val="0"/>
          <w:numId w:val="4"/>
        </w:numPr>
        <w:spacing w:before="50" w:after="5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>Check for impossible travel: compare the current login location with the previous login location and time.</w:t>
      </w:r>
    </w:p>
    <w:p>
      <w:pPr>
        <w:pStyle w:val="List Paragraph"/>
        <w:numPr>
          <w:ilvl w:val="0"/>
          <w:numId w:val="4"/>
        </w:numPr>
        <w:spacing w:before="50" w:after="5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>Verify MFA status: was MFA completed? Was there a spike of failed MFA push requests before the successful login?</w:t>
      </w:r>
    </w:p>
    <w:p>
      <w:pPr>
        <w:pStyle w:val="List Paragraph"/>
        <w:numPr>
          <w:ilvl w:val="0"/>
          <w:numId w:val="4"/>
        </w:numPr>
        <w:spacing w:before="50" w:after="5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>Check AWS CloudTrail: search for the account name or associated IAM principal in the last 24 hours.</w:t>
      </w:r>
    </w:p>
    <w:p>
      <w:pPr>
        <w:pStyle w:val="List Paragraph"/>
        <w:numPr>
          <w:ilvl w:val="0"/>
          <w:numId w:val="4"/>
        </w:numPr>
        <w:spacing w:before="50" w:after="5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>Check Vault audit log: did any Vault tokens associated with this identity perform unusual operations?</w:t>
      </w:r>
    </w:p>
    <w:p>
      <w:pPr>
        <w:pStyle w:val="List Paragraph"/>
        <w:numPr>
          <w:ilvl w:val="0"/>
          <w:numId w:val="4"/>
        </w:numPr>
        <w:spacing w:before="50" w:after="5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>Correlate findings. Determine if the activity is a true positive or false positive.</w:t>
      </w:r>
    </w:p>
    <w:p>
      <w:pPr>
        <w:pStyle w:val="List Paragraph"/>
        <w:numPr>
          <w:ilvl w:val="0"/>
          <w:numId w:val="4"/>
        </w:numPr>
        <w:spacing w:before="50" w:after="5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>Assign severity classification per Section 4 and declare the incident formally.</w:t>
      </w:r>
    </w:p>
    <w:p>
      <w:pPr>
        <w:pStyle w:val="List Paragraph"/>
        <w:spacing w:before="50" w:after="50"/>
      </w:pPr>
    </w:p>
    <w:p>
      <w:pPr>
        <w:pStyle w:val="Heading 2"/>
      </w:pPr>
      <w:r>
        <w:rPr>
          <w:rtl w:val="0"/>
          <w:lang w:val="en-US"/>
        </w:rPr>
        <w:t>7.3 Evidence Collection &amp; Preservation</w:t>
      </w:r>
    </w:p>
    <w:p>
      <w:pPr>
        <w:pStyle w:val="Heading 2"/>
      </w:pP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All evidence must be collected before any containment actions that might alter logs: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>Export sign-in logs from Entra ID / Okta for the affected account (minimum 72-hour window)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>Export relevant AWS CloudTrail events filtered by the affected principal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>Export Vault audit log entries for affected tokens and secret paths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>Capture screenshots of SIEM alerts and Defender for Identity alerts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>Document all IoCs: IP addresses, user agents, token IDs, timestamps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>Record chain of custody: who collected evidence, when, and where it is stored</w:t>
      </w:r>
    </w:p>
    <w:p>
      <w:pPr>
        <w:pStyle w:val="List Paragraph"/>
        <w:spacing w:before="40" w:after="40"/>
      </w:pPr>
    </w:p>
    <w:p>
      <w:pPr>
        <w:pStyle w:val="Heading 2"/>
      </w:pPr>
      <w:r>
        <w:rPr>
          <w:rtl w:val="0"/>
        </w:rPr>
        <w:t>7.4 Incident Declaration</w:t>
      </w:r>
    </w:p>
    <w:p>
      <w:pPr>
        <w:pStyle w:val="Heading 2"/>
      </w:pP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 Security Analyst escalates to the Incident Commander with a completed triage summary including: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>Affected account(s) and systems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>Severity classification and justification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>Timeline of detected activity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22"/>
          <w:szCs w:val="22"/>
        </w:rPr>
      </w:pPr>
      <w:r>
        <w:rPr>
          <w:rFonts w:ascii="Arial" w:hAnsi="Arial"/>
          <w:sz w:val="22"/>
          <w:szCs w:val="22"/>
          <w:rtl w:val="0"/>
        </w:rPr>
        <w:t>Initial IoC list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>Recommended immediate action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  <w:lang w:val="en-US"/>
        </w:rPr>
        <w:t>The Incident Commander formally declares the incident, assigns a tracking ID (e.g., INC-2026-001), and activates the response team per the severity level.</w:t>
      </w:r>
    </w:p>
    <w:p>
      <w:pPr>
        <w:pStyle w:val="List Paragraph"/>
        <w:spacing w:before="40" w:after="4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"/>
      </w:pPr>
      <w:r>
        <w:rPr>
          <w:rtl w:val="0"/>
          <w:lang w:val="en-US"/>
        </w:rPr>
        <w:t xml:space="preserve">8. Phase 3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Containment</w:t>
      </w:r>
    </w:p>
    <w:p>
      <w:pPr>
        <w:pStyle w:val="Heading"/>
      </w:pPr>
      <w:r>
        <w:rPr>
          <w:i w:val="1"/>
          <w:iCs w:val="1"/>
          <w:outline w:val="0"/>
          <w:color w:val="555555"/>
          <w:sz w:val="22"/>
          <w:szCs w:val="22"/>
          <w:u w:color="555555"/>
          <w:rtl w:val="0"/>
          <w:lang w:val="en-US"/>
          <w14:textFill>
            <w14:solidFill>
              <w14:srgbClr w14:val="555555"/>
            </w14:solidFill>
          </w14:textFill>
        </w:rPr>
        <w:t xml:space="preserve">NIST Phase 3a | Stop the bleeding </w:t>
      </w:r>
      <w:r>
        <w:rPr>
          <w:i w:val="1"/>
          <w:iCs w:val="1"/>
          <w:outline w:val="0"/>
          <w:color w:val="555555"/>
          <w:sz w:val="22"/>
          <w:szCs w:val="22"/>
          <w:u w:color="555555"/>
          <w:rtl w:val="0"/>
          <w:lang w:val="en-US"/>
          <w14:textFill>
            <w14:solidFill>
              <w14:srgbClr w14:val="555555"/>
            </w14:solidFill>
          </w14:textFill>
        </w:rPr>
        <w:t xml:space="preserve">— </w:t>
      </w:r>
      <w:r>
        <w:rPr>
          <w:i w:val="1"/>
          <w:iCs w:val="1"/>
          <w:outline w:val="0"/>
          <w:color w:val="555555"/>
          <w:sz w:val="22"/>
          <w:szCs w:val="22"/>
          <w:u w:color="555555"/>
          <w:rtl w:val="0"/>
          <w:lang w:val="en-US"/>
          <w14:textFill>
            <w14:solidFill>
              <w14:srgbClr w14:val="555555"/>
            </w14:solidFill>
          </w14:textFill>
        </w:rPr>
        <w:t>prevent further damage</w:t>
      </w:r>
    </w:p>
    <w:p>
      <w:pPr>
        <w:pStyle w:val="Heading"/>
      </w:pPr>
    </w:p>
    <w:p>
      <w:pPr>
        <w:pStyle w:val="Heading 2"/>
      </w:pPr>
      <w:r>
        <w:rPr>
          <w:rtl w:val="0"/>
          <w:lang w:val="en-US"/>
        </w:rPr>
        <w:t>8.1 Immediate Containment (within 15 minutes for SEV-1 / 30 minutes for SEV-2)</w:t>
      </w:r>
    </w:p>
    <w:p>
      <w:pPr>
        <w:pStyle w:val="Heading 2"/>
      </w:pPr>
    </w:p>
    <w:p>
      <w:pPr>
        <w:pStyle w:val="Heading 3"/>
      </w:pPr>
      <w:r>
        <w:rPr>
          <w:rtl w:val="0"/>
          <w:lang w:val="en-US"/>
        </w:rPr>
        <w:t>8.1.1 Disable Compromised User Account</w:t>
      </w:r>
    </w:p>
    <w:p>
      <w:pPr>
        <w:pStyle w:val="List Paragraph"/>
        <w:numPr>
          <w:ilvl w:val="0"/>
          <w:numId w:val="6"/>
        </w:numPr>
        <w:spacing w:before="50" w:after="5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>In Entra ID: Navigate to Azure Active Directory &gt; Users &gt; select user &gt; Account Status: Disabled</w:t>
      </w:r>
    </w:p>
    <w:p>
      <w:pPr>
        <w:pStyle w:val="List Paragraph"/>
        <w:numPr>
          <w:ilvl w:val="0"/>
          <w:numId w:val="6"/>
        </w:numPr>
        <w:spacing w:before="50" w:after="5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>In Okta: Navigate to Directory &gt; People &gt; select user &gt; Deactivate</w:t>
      </w:r>
    </w:p>
    <w:p>
      <w:pPr>
        <w:pStyle w:val="List Paragraph"/>
        <w:numPr>
          <w:ilvl w:val="0"/>
          <w:numId w:val="6"/>
        </w:numPr>
        <w:spacing w:before="50" w:after="5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>Revoke all active sessions: in Entra ID, select user &gt; Revoke Sessions</w:t>
      </w:r>
    </w:p>
    <w:p>
      <w:pPr>
        <w:pStyle w:val="List Paragraph"/>
        <w:numPr>
          <w:ilvl w:val="0"/>
          <w:numId w:val="6"/>
        </w:numPr>
        <w:spacing w:before="50" w:after="5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>Document the exact time of account disable action in the incident log</w:t>
      </w:r>
    </w:p>
    <w:p>
      <w:pPr>
        <w:pStyle w:val="List Paragraph"/>
        <w:spacing w:before="50" w:after="50"/>
      </w:pPr>
    </w:p>
    <w:p>
      <w:pPr>
        <w:pStyle w:val="Heading 3"/>
      </w:pPr>
      <w:r>
        <w:rPr>
          <w:rtl w:val="0"/>
          <w:lang w:val="en-US"/>
        </w:rPr>
        <w:t>8.1.2 Revoke Active Tokens</w:t>
      </w:r>
    </w:p>
    <w:p>
      <w:pPr>
        <w:pStyle w:val="List Paragraph"/>
        <w:numPr>
          <w:ilvl w:val="0"/>
          <w:numId w:val="8"/>
        </w:numPr>
        <w:spacing w:before="50" w:after="5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>Revoke all OAuth refresh tokens and access tokens for the compromised identity in Entra ID / Okta</w:t>
      </w:r>
    </w:p>
    <w:p>
      <w:pPr>
        <w:pStyle w:val="List Paragraph"/>
        <w:numPr>
          <w:ilvl w:val="0"/>
          <w:numId w:val="8"/>
        </w:numPr>
        <w:spacing w:before="50" w:after="5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>Invalidate any active SSO sessions across all connected applications</w:t>
      </w:r>
    </w:p>
    <w:p>
      <w:pPr>
        <w:pStyle w:val="List Paragraph"/>
        <w:numPr>
          <w:ilvl w:val="0"/>
          <w:numId w:val="8"/>
        </w:numPr>
        <w:spacing w:before="50" w:after="5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>If a Vault token is suspected compromised: vault token revoke &lt;token_accessor&gt;</w:t>
      </w:r>
    </w:p>
    <w:p>
      <w:pPr>
        <w:pStyle w:val="List Paragraph"/>
        <w:numPr>
          <w:ilvl w:val="0"/>
          <w:numId w:val="8"/>
        </w:numPr>
        <w:spacing w:before="50" w:after="5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>If an AWS access key is suspected compromised: in IAM console, select key &gt; Make Inactive</w:t>
      </w:r>
    </w:p>
    <w:p>
      <w:pPr>
        <w:pStyle w:val="List Paragraph"/>
        <w:spacing w:before="50" w:after="50"/>
      </w:pPr>
    </w:p>
    <w:p>
      <w:pPr>
        <w:pStyle w:val="Heading 3"/>
      </w:pPr>
      <w:r>
        <w:rPr>
          <w:rtl w:val="0"/>
          <w:lang w:val="en-US"/>
        </w:rPr>
        <w:t>8.1.3 Block Attacker IP (if identified)</w:t>
      </w:r>
    </w:p>
    <w:p>
      <w:pPr>
        <w:pStyle w:val="List Paragraph"/>
        <w:numPr>
          <w:ilvl w:val="0"/>
          <w:numId w:val="10"/>
        </w:numPr>
        <w:spacing w:before="50" w:after="5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>Add the attacker IP to the Conditional Access Named Locations blocklist in Entra ID</w:t>
      </w:r>
    </w:p>
    <w:p>
      <w:pPr>
        <w:pStyle w:val="List Paragraph"/>
        <w:numPr>
          <w:ilvl w:val="0"/>
          <w:numId w:val="10"/>
        </w:numPr>
        <w:spacing w:before="50" w:after="5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>Add the IP to AWS WAF IP set deny list if AWS console access was involved</w:t>
      </w:r>
    </w:p>
    <w:p>
      <w:pPr>
        <w:pStyle w:val="List Paragraph"/>
        <w:numPr>
          <w:ilvl w:val="0"/>
          <w:numId w:val="10"/>
        </w:numPr>
        <w:spacing w:before="50" w:after="5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>Document the IP and associated activity in the incident evidence record</w:t>
      </w:r>
    </w:p>
    <w:p>
      <w:pPr>
        <w:pStyle w:val="List Paragraph"/>
        <w:spacing w:before="50" w:after="50"/>
      </w:pPr>
    </w:p>
    <w:p>
      <w:pPr>
        <w:pStyle w:val="Heading 2"/>
      </w:pPr>
      <w:r>
        <w:rPr>
          <w:rtl w:val="0"/>
          <w:lang w:val="en-US"/>
        </w:rPr>
        <w:t>8.2 Secondary Containment (within 2 hours)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>Audit all accounts that logged in from the same attacker IP or similar timeframe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>Check for any new accounts, IAM roles, API keys, or Vault AppRoles created by the compromised identity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>Disable or quarantine any resources (EC2 instances, Lambda functions) launched by the compromised account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>Temporarily restrict the compromised identity's RBAC role to read-only pending investigation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 xml:space="preserve">Increase alert sensitivity for related accounts </w:t>
      </w:r>
      <w:r>
        <w:rPr>
          <w:rFonts w:ascii="Arial" w:hAnsi="Arial" w:hint="default"/>
          <w:sz w:val="22"/>
          <w:szCs w:val="22"/>
          <w:rtl w:val="0"/>
          <w:lang w:val="en-US"/>
        </w:rPr>
        <w:t xml:space="preserve">— </w:t>
      </w:r>
      <w:r>
        <w:rPr>
          <w:rFonts w:ascii="Arial" w:hAnsi="Arial"/>
          <w:sz w:val="22"/>
          <w:szCs w:val="22"/>
          <w:rtl w:val="0"/>
          <w:lang w:val="en-US"/>
        </w:rPr>
        <w:t>lower thresholds for anomaly detection</w:t>
      </w:r>
    </w:p>
    <w:p>
      <w:pPr>
        <w:pStyle w:val="List Paragraph"/>
        <w:spacing w:before="40" w:after="40"/>
      </w:pPr>
    </w:p>
    <w:p>
      <w:pPr>
        <w:pStyle w:val="Heading 2"/>
      </w:pPr>
      <w:r>
        <w:rPr>
          <w:rtl w:val="0"/>
          <w:lang w:val="en-US"/>
        </w:rPr>
        <w:t>8.3 Containment Decision Matrix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120"/>
        <w:gridCol w:w="3120"/>
        <w:gridCol w:w="3120"/>
      </w:tblGrid>
      <w:tr>
        <w:tblPrEx>
          <w:shd w:val="clear" w:color="auto" w:fill="ced7e7"/>
        </w:tblPrEx>
        <w:trPr>
          <w:trHeight w:val="220" w:hRule="atLeast"/>
        </w:trPr>
        <w:tc>
          <w:tcPr>
            <w:tcW w:type="dxa" w:w="3120"/>
            <w:tcBorders>
              <w:top w:val="single" w:color="2e75b6" w:sz="4" w:space="0" w:shadow="0" w:frame="0"/>
              <w:left w:val="single" w:color="2e75b6" w:sz="4" w:space="0" w:shadow="0" w:frame="0"/>
              <w:bottom w:val="single" w:color="cccccc" w:sz="1" w:space="0" w:shadow="0" w:frame="0"/>
              <w:right w:val="single" w:color="2e75b6" w:sz="4" w:space="0" w:shadow="0" w:frame="0"/>
            </w:tcBorders>
            <w:shd w:val="clear" w:color="auto" w:fill="1a3a5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it-IT"/>
                <w14:textFill>
                  <w14:solidFill>
                    <w14:srgbClr w14:val="FFFFFF"/>
                  </w14:solidFill>
                </w14:textFill>
              </w:rPr>
              <w:t>Scenario</w:t>
            </w:r>
          </w:p>
        </w:tc>
        <w:tc>
          <w:tcPr>
            <w:tcW w:type="dxa" w:w="3120"/>
            <w:tcBorders>
              <w:top w:val="single" w:color="2e75b6" w:sz="4" w:space="0" w:shadow="0" w:frame="0"/>
              <w:left w:val="single" w:color="2e75b6" w:sz="4" w:space="0" w:shadow="0" w:frame="0"/>
              <w:bottom w:val="single" w:color="cccccc" w:sz="1" w:space="0" w:shadow="0" w:frame="0"/>
              <w:right w:val="single" w:color="2e75b6" w:sz="4" w:space="0" w:shadow="0" w:frame="0"/>
            </w:tcBorders>
            <w:shd w:val="clear" w:color="auto" w:fill="1a3a5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Containment Action</w:t>
            </w:r>
          </w:p>
        </w:tc>
        <w:tc>
          <w:tcPr>
            <w:tcW w:type="dxa" w:w="3120"/>
            <w:tcBorders>
              <w:top w:val="single" w:color="2e75b6" w:sz="4" w:space="0" w:shadow="0" w:frame="0"/>
              <w:left w:val="single" w:color="2e75b6" w:sz="4" w:space="0" w:shadow="0" w:frame="0"/>
              <w:bottom w:val="single" w:color="cccccc" w:sz="1" w:space="0" w:shadow="0" w:frame="0"/>
              <w:right w:val="single" w:color="2e75b6" w:sz="4" w:space="0" w:shadow="0" w:frame="0"/>
            </w:tcBorders>
            <w:shd w:val="clear" w:color="auto" w:fill="1a3a5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Owner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312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Compromised user account</w:t>
            </w:r>
          </w:p>
        </w:tc>
        <w:tc>
          <w:tcPr>
            <w:tcW w:type="dxa" w:w="312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Disable account + revoke sessions</w:t>
            </w:r>
          </w:p>
        </w:tc>
        <w:tc>
          <w:tcPr>
            <w:tcW w:type="dxa" w:w="312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nl-NL"/>
              </w:rPr>
              <w:t>IAM Engineer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312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Stolen AWS access key</w:t>
            </w:r>
          </w:p>
        </w:tc>
        <w:tc>
          <w:tcPr>
            <w:tcW w:type="dxa" w:w="312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Deactivate key + rotate + check CloudTrail</w:t>
            </w:r>
          </w:p>
        </w:tc>
        <w:tc>
          <w:tcPr>
            <w:tcW w:type="dxa" w:w="312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nl-NL"/>
              </w:rPr>
              <w:t>DevSecOps Engineer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312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Vault token exposed</w:t>
            </w:r>
          </w:p>
        </w:tc>
        <w:tc>
          <w:tcPr>
            <w:tcW w:type="dxa" w:w="312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Revoke token + rotate AppRole secret ID</w:t>
            </w:r>
          </w:p>
        </w:tc>
        <w:tc>
          <w:tcPr>
            <w:tcW w:type="dxa" w:w="312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nl-NL"/>
              </w:rPr>
              <w:t>DevSecOps Engineer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312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Phishing page active</w:t>
            </w:r>
          </w:p>
        </w:tc>
        <w:tc>
          <w:tcPr>
            <w:tcW w:type="dxa" w:w="312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Report and request takedown, block domain in DNS</w:t>
            </w:r>
          </w:p>
        </w:tc>
        <w:tc>
          <w:tcPr>
            <w:tcW w:type="dxa" w:w="312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Security Analyst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312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Active lateral movement</w:t>
            </w:r>
          </w:p>
        </w:tc>
        <w:tc>
          <w:tcPr>
            <w:tcW w:type="dxa" w:w="312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Isolate affected workloads; pause automation pipelines</w:t>
            </w:r>
          </w:p>
        </w:tc>
        <w:tc>
          <w:tcPr>
            <w:tcW w:type="dxa" w:w="312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Incident Commander</w:t>
            </w:r>
          </w:p>
        </w:tc>
      </w:tr>
    </w:tbl>
    <w:p>
      <w:pPr>
        <w:pStyle w:val="Heading 2"/>
        <w:widowControl w:val="0"/>
      </w:pPr>
    </w:p>
    <w:p>
      <w:pPr>
        <w:pStyle w:val="Heading 2"/>
        <w:widowControl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br w:type="page"/>
      </w:r>
    </w:p>
    <w:p>
      <w:pPr>
        <w:pStyle w:val="Heading"/>
      </w:pPr>
      <w:r>
        <w:rPr>
          <w:rtl w:val="0"/>
          <w:lang w:val="en-US"/>
        </w:rPr>
        <w:t xml:space="preserve">9. Phase 3 </w:t>
      </w:r>
      <w:r>
        <w:rPr>
          <w:rtl w:val="0"/>
          <w:lang w:val="en-US"/>
        </w:rPr>
        <w:t xml:space="preserve">— </w:t>
      </w:r>
      <w:r>
        <w:rPr>
          <w:rtl w:val="0"/>
          <w:lang w:val="fr-FR"/>
        </w:rPr>
        <w:t>Eradication</w:t>
      </w:r>
    </w:p>
    <w:p>
      <w:pPr>
        <w:pStyle w:val="Heading"/>
      </w:pPr>
      <w:r>
        <w:rPr>
          <w:i w:val="1"/>
          <w:iCs w:val="1"/>
          <w:outline w:val="0"/>
          <w:color w:val="555555"/>
          <w:sz w:val="22"/>
          <w:szCs w:val="22"/>
          <w:u w:color="555555"/>
          <w:rtl w:val="0"/>
          <w:lang w:val="en-US"/>
          <w14:textFill>
            <w14:solidFill>
              <w14:srgbClr w14:val="555555"/>
            </w14:solidFill>
          </w14:textFill>
        </w:rPr>
        <w:t>NIST Phase 3b | Remove the threat entirely from the environment</w:t>
      </w:r>
    </w:p>
    <w:p>
      <w:pPr>
        <w:pStyle w:val="Heading"/>
      </w:pPr>
    </w:p>
    <w:p>
      <w:pPr>
        <w:pStyle w:val="Heading"/>
      </w:pP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Eradication ensures the attacker has no remaining foothold in the environment. This phase begins only after containment is confirmed 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— 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 immediate threat is stopped but the environment is not yet declared clean.</w:t>
      </w:r>
    </w:p>
    <w:p>
      <w:pPr>
        <w:pStyle w:val="Heading"/>
      </w:pPr>
    </w:p>
    <w:p>
      <w:pPr>
        <w:pStyle w:val="Heading 2"/>
      </w:pPr>
      <w:r>
        <w:rPr>
          <w:rtl w:val="0"/>
          <w:lang w:val="en-US"/>
        </w:rPr>
        <w:t>9.1 Credential Rotation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>Reset the password for the compromised user account with a temporary credential requiring change on next login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>Force MFA re-registration for the compromised account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>Rotate all AWS access keys associated with the compromised identity or suspected blast radius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>Rotate all HashiCorp Vault dynamic secrets that may have been exposed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>Rotate all service account credentials that the compromised identity had access to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>Update all credentials in Vault and trigger re-issuance of dynamic secrets for downstream applications</w:t>
      </w:r>
    </w:p>
    <w:p>
      <w:pPr>
        <w:pStyle w:val="List Paragraph"/>
        <w:spacing w:before="40" w:after="40"/>
      </w:pPr>
    </w:p>
    <w:p>
      <w:pPr>
        <w:pStyle w:val="Heading 2"/>
      </w:pPr>
      <w:r>
        <w:rPr>
          <w:rtl w:val="0"/>
          <w:lang w:val="nl-NL"/>
        </w:rPr>
        <w:t>9.2 Backdoor &amp; Persistence Check</w:t>
      </w:r>
    </w:p>
    <w:p>
      <w:pPr>
        <w:pStyle w:val="Heading 2"/>
      </w:pP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Verify the attacker has not established persistence mechanisms: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>Check Entra ID / Okta for new user accounts, groups, or admin roles created after the incident timeframe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>Audit AWS IAM: look for newly created users, roles, access keys, or policies since the incident began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>Check Vault: review all AppRoles, auth methods, and policies for unauthorised additions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>Review Terraform state and IaC repository for unauthorised commits during the incident window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>Check all EISP-connected applications for new OAuth app registrations or authorised clients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>Review audit logs for any changes to RBAC roles or permission assignments</w:t>
      </w:r>
    </w:p>
    <w:p>
      <w:pPr>
        <w:pStyle w:val="List Paragraph"/>
        <w:spacing w:before="40" w:after="40"/>
      </w:pPr>
    </w:p>
    <w:p>
      <w:pPr>
        <w:pStyle w:val="Heading 2"/>
      </w:pPr>
      <w:r>
        <w:rPr>
          <w:rtl w:val="0"/>
          <w:lang w:val="en-US"/>
        </w:rPr>
        <w:t>9.3 Malware &amp; Tooling Check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>If phishing was the attack vector, check the affected user's device for credential-harvesting malware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 xml:space="preserve">Scan browser saved credentials </w:t>
      </w:r>
      <w:r>
        <w:rPr>
          <w:rFonts w:ascii="Arial" w:hAnsi="Arial" w:hint="default"/>
          <w:sz w:val="22"/>
          <w:szCs w:val="22"/>
          <w:rtl w:val="0"/>
          <w:lang w:val="en-US"/>
        </w:rPr>
        <w:t xml:space="preserve">— </w:t>
      </w:r>
      <w:r>
        <w:rPr>
          <w:rFonts w:ascii="Arial" w:hAnsi="Arial"/>
          <w:sz w:val="22"/>
          <w:szCs w:val="22"/>
          <w:rtl w:val="0"/>
          <w:lang w:val="en-US"/>
        </w:rPr>
        <w:t>advise user to clear and change all stored passwords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>Check for browser extensions installed around the time of compromise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>If insider threat is suspected, preserve forensic image of workstation before cleaning</w:t>
      </w:r>
    </w:p>
    <w:p>
      <w:pPr>
        <w:pStyle w:val="List Paragraph"/>
        <w:spacing w:before="40" w:after="40"/>
      </w:pPr>
    </w:p>
    <w:p>
      <w:pPr>
        <w:pStyle w:val="Heading 2"/>
      </w:pPr>
      <w:r>
        <w:rPr>
          <w:rtl w:val="0"/>
          <w:lang w:val="en-US"/>
        </w:rPr>
        <w:t>9.4 Attack Timeline Reconstruction</w:t>
      </w:r>
    </w:p>
    <w:p>
      <w:pPr>
        <w:pStyle w:val="Heading 2"/>
      </w:pP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Before closing eradication, reconstruct the full attack timeline:</w:t>
      </w:r>
    </w:p>
    <w:p>
      <w:pPr>
        <w:pStyle w:val="List Paragraph"/>
        <w:numPr>
          <w:ilvl w:val="0"/>
          <w:numId w:val="12"/>
        </w:numPr>
        <w:spacing w:before="50" w:after="5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>Identify the earliest possible compromise time from logs</w:t>
      </w:r>
    </w:p>
    <w:p>
      <w:pPr>
        <w:pStyle w:val="List Paragraph"/>
        <w:numPr>
          <w:ilvl w:val="0"/>
          <w:numId w:val="12"/>
        </w:numPr>
        <w:spacing w:before="50" w:after="5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>Document every system the attacker accessed using the stolen credentials</w:t>
      </w:r>
    </w:p>
    <w:p>
      <w:pPr>
        <w:pStyle w:val="List Paragraph"/>
        <w:numPr>
          <w:ilvl w:val="0"/>
          <w:numId w:val="12"/>
        </w:numPr>
        <w:spacing w:before="50" w:after="5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>Identify all data accessed, downloaded, or modified</w:t>
      </w:r>
    </w:p>
    <w:p>
      <w:pPr>
        <w:pStyle w:val="List Paragraph"/>
        <w:numPr>
          <w:ilvl w:val="0"/>
          <w:numId w:val="12"/>
        </w:numPr>
        <w:spacing w:before="50" w:after="5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>Document all changes made by the attacker (accounts created, permissions changed, resources launched)</w:t>
      </w:r>
    </w:p>
    <w:p>
      <w:pPr>
        <w:pStyle w:val="List Paragraph"/>
        <w:numPr>
          <w:ilvl w:val="0"/>
          <w:numId w:val="12"/>
        </w:numPr>
        <w:spacing w:before="50" w:after="5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>Produce a formal Attack Timeline document for the post-incident review</w:t>
      </w:r>
    </w:p>
    <w:p>
      <w:pPr>
        <w:pStyle w:val="List Paragraph"/>
        <w:spacing w:before="50" w:after="5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"/>
      </w:pPr>
      <w:r>
        <w:rPr>
          <w:rtl w:val="0"/>
          <w:lang w:val="en-US"/>
        </w:rPr>
        <w:t xml:space="preserve">10. Phase 3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Recovery</w:t>
      </w:r>
    </w:p>
    <w:p>
      <w:pPr>
        <w:pStyle w:val="Heading"/>
      </w:pPr>
      <w:r>
        <w:rPr>
          <w:i w:val="1"/>
          <w:iCs w:val="1"/>
          <w:outline w:val="0"/>
          <w:color w:val="555555"/>
          <w:sz w:val="22"/>
          <w:szCs w:val="22"/>
          <w:u w:color="555555"/>
          <w:rtl w:val="0"/>
          <w:lang w:val="en-US"/>
          <w14:textFill>
            <w14:solidFill>
              <w14:srgbClr w14:val="555555"/>
            </w14:solidFill>
          </w14:textFill>
        </w:rPr>
        <w:t>NIST Phase 3c | Safely restore normal operations</w:t>
      </w:r>
    </w:p>
    <w:p>
      <w:pPr>
        <w:pStyle w:val="Heading"/>
      </w:pPr>
    </w:p>
    <w:p>
      <w:pPr>
        <w:pStyle w:val="Heading"/>
      </w:pP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Recovery restores affected accounts and systems to normal operational state after the environment has been confirmed clean. Recovery must be gradual and verified 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— 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do not restore access until all eradication checks are complete.</w:t>
      </w:r>
    </w:p>
    <w:p>
      <w:pPr>
        <w:pStyle w:val="Heading"/>
      </w:pPr>
    </w:p>
    <w:p>
      <w:pPr>
        <w:pStyle w:val="Heading 2"/>
      </w:pPr>
      <w:r>
        <w:rPr>
          <w:rtl w:val="0"/>
          <w:lang w:val="en-US"/>
        </w:rPr>
        <w:t>10.1 Account Re-enablement Procedure</w:t>
      </w:r>
    </w:p>
    <w:p>
      <w:pPr>
        <w:pStyle w:val="List Paragraph"/>
        <w:numPr>
          <w:ilvl w:val="0"/>
          <w:numId w:val="14"/>
        </w:numPr>
        <w:spacing w:before="50" w:after="5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>Verify eradication is complete: all backdoors removed, all credentials rotated</w:t>
      </w:r>
    </w:p>
    <w:p>
      <w:pPr>
        <w:pStyle w:val="List Paragraph"/>
        <w:numPr>
          <w:ilvl w:val="0"/>
          <w:numId w:val="14"/>
        </w:numPr>
        <w:spacing w:before="50" w:after="5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>Confirm with the legitimate account owner via out-of-band communication (phone or in-person)</w:t>
      </w:r>
    </w:p>
    <w:p>
      <w:pPr>
        <w:pStyle w:val="List Paragraph"/>
        <w:numPr>
          <w:ilvl w:val="0"/>
          <w:numId w:val="14"/>
        </w:numPr>
        <w:spacing w:before="50" w:after="5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>Re-enable the account in Entra ID / Okta</w:t>
      </w:r>
    </w:p>
    <w:p>
      <w:pPr>
        <w:pStyle w:val="List Paragraph"/>
        <w:numPr>
          <w:ilvl w:val="0"/>
          <w:numId w:val="14"/>
        </w:numPr>
        <w:spacing w:before="50" w:after="5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>Issue temporary password and require reset on first login</w:t>
      </w:r>
    </w:p>
    <w:p>
      <w:pPr>
        <w:pStyle w:val="List Paragraph"/>
        <w:numPr>
          <w:ilvl w:val="0"/>
          <w:numId w:val="14"/>
        </w:numPr>
        <w:spacing w:before="50" w:after="5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>Require MFA re-enrolment using a trusted device</w:t>
      </w:r>
    </w:p>
    <w:p>
      <w:pPr>
        <w:pStyle w:val="List Paragraph"/>
        <w:numPr>
          <w:ilvl w:val="0"/>
          <w:numId w:val="14"/>
        </w:numPr>
        <w:spacing w:before="50" w:after="5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>Apply enhanced monitoring to the recovered account for 14 days post-incident</w:t>
      </w:r>
    </w:p>
    <w:p>
      <w:pPr>
        <w:pStyle w:val="List Paragraph"/>
        <w:numPr>
          <w:ilvl w:val="0"/>
          <w:numId w:val="14"/>
        </w:numPr>
        <w:spacing w:before="50" w:after="5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>Verify the account can authenticate and access only its expected resources</w:t>
      </w:r>
    </w:p>
    <w:p>
      <w:pPr>
        <w:pStyle w:val="List Paragraph"/>
        <w:spacing w:before="50" w:after="50"/>
      </w:pPr>
    </w:p>
    <w:p>
      <w:pPr>
        <w:pStyle w:val="Heading 2"/>
      </w:pPr>
      <w:r>
        <w:rPr>
          <w:rtl w:val="0"/>
          <w:lang w:val="en-US"/>
        </w:rPr>
        <w:t>10.2 Service Restoration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>Re-issue Vault dynamic secrets to affected application services once new AppRole credentials are in place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>Verify AWS IAM policies are correct and no over-permissive policies were left in place during containment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>Re-enable any automation pipelines or scheduled tasks that were paused during containment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>Confirm all EISP-connected SSO applications are functioning correctly with the restored identity</w:t>
      </w:r>
    </w:p>
    <w:p>
      <w:pPr>
        <w:pStyle w:val="List Paragraph"/>
        <w:spacing w:before="40" w:after="40"/>
      </w:pPr>
    </w:p>
    <w:p>
      <w:pPr>
        <w:pStyle w:val="Heading 2"/>
      </w:pPr>
      <w:r>
        <w:rPr>
          <w:rtl w:val="0"/>
          <w:lang w:val="en-US"/>
        </w:rPr>
        <w:t>10.3 Verification Checklist Before Declaring Recovery Complete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6960"/>
        <w:gridCol w:w="1200"/>
        <w:gridCol w:w="1200"/>
      </w:tblGrid>
      <w:tr>
        <w:tblPrEx>
          <w:shd w:val="clear" w:color="auto" w:fill="ced7e7"/>
        </w:tblPrEx>
        <w:trPr>
          <w:trHeight w:val="482" w:hRule="atLeast"/>
        </w:trPr>
        <w:tc>
          <w:tcPr>
            <w:tcW w:type="dxa" w:w="6960"/>
            <w:tcBorders>
              <w:top w:val="single" w:color="2e75b6" w:sz="4" w:space="0" w:shadow="0" w:frame="0"/>
              <w:left w:val="single" w:color="2e75b6" w:sz="4" w:space="0" w:shadow="0" w:frame="0"/>
              <w:bottom w:val="single" w:color="cccccc" w:sz="1" w:space="0" w:shadow="0" w:frame="0"/>
              <w:right w:val="single" w:color="2e75b6" w:sz="4" w:space="0" w:shadow="0" w:frame="0"/>
            </w:tcBorders>
            <w:shd w:val="clear" w:color="auto" w:fill="1a3a5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Verification Item</w:t>
            </w:r>
          </w:p>
        </w:tc>
        <w:tc>
          <w:tcPr>
            <w:tcW w:type="dxa" w:w="1200"/>
            <w:tcBorders>
              <w:top w:val="single" w:color="2e75b6" w:sz="4" w:space="0" w:shadow="0" w:frame="0"/>
              <w:left w:val="single" w:color="2e75b6" w:sz="4" w:space="0" w:shadow="0" w:frame="0"/>
              <w:bottom w:val="single" w:color="cccccc" w:sz="1" w:space="0" w:shadow="0" w:frame="0"/>
              <w:right w:val="single" w:color="2e75b6" w:sz="4" w:space="0" w:shadow="0" w:frame="0"/>
            </w:tcBorders>
            <w:shd w:val="clear" w:color="auto" w:fill="1a3a5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Verified By</w:t>
            </w:r>
          </w:p>
        </w:tc>
        <w:tc>
          <w:tcPr>
            <w:tcW w:type="dxa" w:w="1200"/>
            <w:tcBorders>
              <w:top w:val="single" w:color="2e75b6" w:sz="4" w:space="0" w:shadow="0" w:frame="0"/>
              <w:left w:val="single" w:color="2e75b6" w:sz="4" w:space="0" w:shadow="0" w:frame="0"/>
              <w:bottom w:val="single" w:color="cccccc" w:sz="1" w:space="0" w:shadow="0" w:frame="0"/>
              <w:right w:val="single" w:color="2e75b6" w:sz="4" w:space="0" w:shadow="0" w:frame="0"/>
            </w:tcBorders>
            <w:shd w:val="clear" w:color="auto" w:fill="1a3a5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nl-NL"/>
                <w14:textFill>
                  <w14:solidFill>
                    <w14:srgbClr w14:val="FFFFFF"/>
                  </w14:solidFill>
                </w14:textFill>
              </w:rPr>
              <w:t>Status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69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All compromised credentials rotated</w:t>
            </w:r>
          </w:p>
        </w:tc>
        <w:tc>
          <w:tcPr>
            <w:tcW w:type="dxa" w:w="1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nl-NL"/>
              </w:rPr>
              <w:t>IAM Engineer</w:t>
            </w:r>
          </w:p>
        </w:tc>
        <w:tc>
          <w:tcPr>
            <w:tcW w:type="dxa" w:w="1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pt-PT"/>
              </w:rPr>
              <w:t>[ ]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69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No attacker persistence mechanisms remain</w:t>
            </w:r>
          </w:p>
        </w:tc>
        <w:tc>
          <w:tcPr>
            <w:tcW w:type="dxa" w:w="1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Security Analyst</w:t>
            </w:r>
          </w:p>
        </w:tc>
        <w:tc>
          <w:tcPr>
            <w:tcW w:type="dxa" w:w="1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pt-PT"/>
              </w:rPr>
              <w:t>[ ]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69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Affected account re-enabled with new credentials</w:t>
            </w:r>
          </w:p>
        </w:tc>
        <w:tc>
          <w:tcPr>
            <w:tcW w:type="dxa" w:w="1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nl-NL"/>
              </w:rPr>
              <w:t>IAM Engineer</w:t>
            </w:r>
          </w:p>
        </w:tc>
        <w:tc>
          <w:tcPr>
            <w:tcW w:type="dxa" w:w="1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pt-PT"/>
              </w:rPr>
              <w:t>[ ]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69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MFA re-enrolled on trusted device</w:t>
            </w:r>
          </w:p>
        </w:tc>
        <w:tc>
          <w:tcPr>
            <w:tcW w:type="dxa" w:w="1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nl-NL"/>
              </w:rPr>
              <w:t>IAM Engineer</w:t>
            </w:r>
          </w:p>
        </w:tc>
        <w:tc>
          <w:tcPr>
            <w:tcW w:type="dxa" w:w="1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pt-PT"/>
              </w:rPr>
              <w:t>[ ]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69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Enhanced monitoring applied to recovered account</w:t>
            </w:r>
          </w:p>
        </w:tc>
        <w:tc>
          <w:tcPr>
            <w:tcW w:type="dxa" w:w="1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Security Analyst</w:t>
            </w:r>
          </w:p>
        </w:tc>
        <w:tc>
          <w:tcPr>
            <w:tcW w:type="dxa" w:w="1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pt-PT"/>
              </w:rPr>
              <w:t>[ ]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69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All downstream services re-verified and operational</w:t>
            </w:r>
          </w:p>
        </w:tc>
        <w:tc>
          <w:tcPr>
            <w:tcW w:type="dxa" w:w="1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nl-NL"/>
              </w:rPr>
              <w:t>DevSecOps</w:t>
            </w:r>
          </w:p>
        </w:tc>
        <w:tc>
          <w:tcPr>
            <w:tcW w:type="dxa" w:w="1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pt-PT"/>
              </w:rPr>
              <w:t>[ ]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69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Attack timeline document completed</w:t>
            </w:r>
          </w:p>
        </w:tc>
        <w:tc>
          <w:tcPr>
            <w:tcW w:type="dxa" w:w="1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Security Analyst</w:t>
            </w:r>
          </w:p>
        </w:tc>
        <w:tc>
          <w:tcPr>
            <w:tcW w:type="dxa" w:w="1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pt-PT"/>
              </w:rPr>
              <w:t>[ ]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69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Incident Commander signs off on recovery</w:t>
            </w:r>
          </w:p>
        </w:tc>
        <w:tc>
          <w:tcPr>
            <w:tcW w:type="dxa" w:w="1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IC</w:t>
            </w:r>
          </w:p>
        </w:tc>
        <w:tc>
          <w:tcPr>
            <w:tcW w:type="dxa" w:w="1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pt-PT"/>
              </w:rPr>
              <w:t>[ ]</w:t>
            </w:r>
          </w:p>
        </w:tc>
      </w:tr>
    </w:tbl>
    <w:p>
      <w:pPr>
        <w:pStyle w:val="Heading 2"/>
        <w:widowControl w:val="0"/>
      </w:pPr>
    </w:p>
    <w:p>
      <w:pPr>
        <w:pStyle w:val="Heading 2"/>
        <w:widowControl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br w:type="page"/>
      </w:r>
    </w:p>
    <w:p>
      <w:pPr>
        <w:pStyle w:val="Heading"/>
      </w:pPr>
      <w:r>
        <w:rPr>
          <w:rtl w:val="0"/>
          <w:lang w:val="en-US"/>
        </w:rPr>
        <w:t xml:space="preserve">11. Phase 4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Post-Incident Activity</w:t>
      </w:r>
    </w:p>
    <w:p>
      <w:pPr>
        <w:pStyle w:val="Heading"/>
      </w:pPr>
      <w:r>
        <w:rPr>
          <w:i w:val="1"/>
          <w:iCs w:val="1"/>
          <w:outline w:val="0"/>
          <w:color w:val="555555"/>
          <w:sz w:val="22"/>
          <w:szCs w:val="22"/>
          <w:u w:color="555555"/>
          <w:rtl w:val="0"/>
          <w:lang w:val="en-US"/>
          <w14:textFill>
            <w14:solidFill>
              <w14:srgbClr w14:val="555555"/>
            </w14:solidFill>
          </w14:textFill>
        </w:rPr>
        <w:t>NIST Phase 4 | Learn and improve</w:t>
      </w:r>
    </w:p>
    <w:p>
      <w:pPr>
        <w:pStyle w:val="Heading"/>
      </w:pPr>
    </w:p>
    <w:p>
      <w:pPr>
        <w:pStyle w:val="Heading 2"/>
      </w:pPr>
      <w:r>
        <w:rPr>
          <w:rtl w:val="0"/>
          <w:lang w:val="en-US"/>
        </w:rPr>
        <w:t>11.1 Post-Incident Review Meeting</w:t>
      </w:r>
    </w:p>
    <w:p>
      <w:pPr>
        <w:pStyle w:val="Heading 2"/>
      </w:pP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 post-incident review (PIR) must be held within 5 business days of incident closure. All response team members attend. The Incident Commander chairs the meeting.</w:t>
      </w:r>
    </w:p>
    <w:p>
      <w:pPr>
        <w:pStyle w:val="Heading 2"/>
      </w:pPr>
    </w:p>
    <w:p>
      <w:pPr>
        <w:pStyle w:val="Heading 3"/>
      </w:pPr>
      <w:r>
        <w:rPr>
          <w:rtl w:val="0"/>
          <w:lang w:val="de-DE"/>
        </w:rPr>
        <w:t>PIR Agenda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 xml:space="preserve">Incident timeline walkthrough </w:t>
      </w:r>
      <w:r>
        <w:rPr>
          <w:rFonts w:ascii="Arial" w:hAnsi="Arial" w:hint="default"/>
          <w:sz w:val="22"/>
          <w:szCs w:val="22"/>
          <w:rtl w:val="0"/>
          <w:lang w:val="en-US"/>
        </w:rPr>
        <w:t xml:space="preserve">— </w:t>
      </w:r>
      <w:r>
        <w:rPr>
          <w:rFonts w:ascii="Arial" w:hAnsi="Arial"/>
          <w:sz w:val="22"/>
          <w:szCs w:val="22"/>
          <w:rtl w:val="0"/>
          <w:lang w:val="en-US"/>
        </w:rPr>
        <w:t>what happened, when, how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 xml:space="preserve">Detection effectiveness </w:t>
      </w:r>
      <w:r>
        <w:rPr>
          <w:rFonts w:ascii="Arial" w:hAnsi="Arial" w:hint="default"/>
          <w:sz w:val="22"/>
          <w:szCs w:val="22"/>
          <w:rtl w:val="0"/>
          <w:lang w:val="en-US"/>
        </w:rPr>
        <w:t xml:space="preserve">— </w:t>
      </w:r>
      <w:r>
        <w:rPr>
          <w:rFonts w:ascii="Arial" w:hAnsi="Arial"/>
          <w:sz w:val="22"/>
          <w:szCs w:val="22"/>
          <w:rtl w:val="0"/>
          <w:lang w:val="en-US"/>
        </w:rPr>
        <w:t>how was the incident detected? Could it have been detected sooner?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 xml:space="preserve">Response effectiveness </w:t>
      </w:r>
      <w:r>
        <w:rPr>
          <w:rFonts w:ascii="Arial" w:hAnsi="Arial" w:hint="default"/>
          <w:sz w:val="22"/>
          <w:szCs w:val="22"/>
          <w:rtl w:val="0"/>
          <w:lang w:val="en-US"/>
        </w:rPr>
        <w:t xml:space="preserve">— </w:t>
      </w:r>
      <w:r>
        <w:rPr>
          <w:rFonts w:ascii="Arial" w:hAnsi="Arial"/>
          <w:sz w:val="22"/>
          <w:szCs w:val="22"/>
          <w:rtl w:val="0"/>
          <w:lang w:val="en-US"/>
        </w:rPr>
        <w:t>were procedures followed? Were there delays? Why?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 xml:space="preserve">Gaps identified </w:t>
      </w:r>
      <w:r>
        <w:rPr>
          <w:rFonts w:ascii="Arial" w:hAnsi="Arial" w:hint="default"/>
          <w:sz w:val="22"/>
          <w:szCs w:val="22"/>
          <w:rtl w:val="0"/>
          <w:lang w:val="en-US"/>
        </w:rPr>
        <w:t xml:space="preserve">— </w:t>
      </w:r>
      <w:r>
        <w:rPr>
          <w:rFonts w:ascii="Arial" w:hAnsi="Arial"/>
          <w:sz w:val="22"/>
          <w:szCs w:val="22"/>
          <w:rtl w:val="0"/>
          <w:lang w:val="en-US"/>
        </w:rPr>
        <w:t>what tools, processes, or training were missing?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 xml:space="preserve">Action items </w:t>
      </w:r>
      <w:r>
        <w:rPr>
          <w:rFonts w:ascii="Arial" w:hAnsi="Arial" w:hint="default"/>
          <w:sz w:val="22"/>
          <w:szCs w:val="22"/>
          <w:rtl w:val="0"/>
          <w:lang w:val="en-US"/>
        </w:rPr>
        <w:t xml:space="preserve">— </w:t>
      </w:r>
      <w:r>
        <w:rPr>
          <w:rFonts w:ascii="Arial" w:hAnsi="Arial"/>
          <w:sz w:val="22"/>
          <w:szCs w:val="22"/>
          <w:rtl w:val="0"/>
          <w:lang w:val="en-US"/>
        </w:rPr>
        <w:t>specific improvements with owners and deadlines</w:t>
      </w:r>
    </w:p>
    <w:p>
      <w:pPr>
        <w:pStyle w:val="List Paragraph"/>
        <w:spacing w:before="40" w:after="40"/>
      </w:pPr>
    </w:p>
    <w:p>
      <w:pPr>
        <w:pStyle w:val="Heading 2"/>
      </w:pPr>
      <w:r>
        <w:rPr>
          <w:rtl w:val="0"/>
          <w:lang w:val="en-US"/>
        </w:rPr>
        <w:t>11.2 Lessons Learned Template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000"/>
        <w:gridCol w:w="6360"/>
      </w:tblGrid>
      <w:tr>
        <w:tblPrEx>
          <w:shd w:val="clear" w:color="auto" w:fill="ced7e7"/>
        </w:tblPrEx>
        <w:trPr>
          <w:trHeight w:val="220" w:hRule="atLeast"/>
        </w:trPr>
        <w:tc>
          <w:tcPr>
            <w:tcW w:type="dxa" w:w="3000"/>
            <w:tcBorders>
              <w:top w:val="single" w:color="2e75b6" w:sz="4" w:space="0" w:shadow="0" w:frame="0"/>
              <w:left w:val="single" w:color="2e75b6" w:sz="4" w:space="0" w:shadow="0" w:frame="0"/>
              <w:bottom w:val="single" w:color="cccccc" w:sz="1" w:space="0" w:shadow="0" w:frame="0"/>
              <w:right w:val="single" w:color="2e75b6" w:sz="4" w:space="0" w:shadow="0" w:frame="0"/>
            </w:tcBorders>
            <w:shd w:val="clear" w:color="auto" w:fill="1a3a5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Field</w:t>
            </w:r>
          </w:p>
        </w:tc>
        <w:tc>
          <w:tcPr>
            <w:tcW w:type="dxa" w:w="6360"/>
            <w:tcBorders>
              <w:top w:val="single" w:color="2e75b6" w:sz="4" w:space="0" w:shadow="0" w:frame="0"/>
              <w:left w:val="single" w:color="2e75b6" w:sz="4" w:space="0" w:shadow="0" w:frame="0"/>
              <w:bottom w:val="single" w:color="cccccc" w:sz="1" w:space="0" w:shadow="0" w:frame="0"/>
              <w:right w:val="single" w:color="2e75b6" w:sz="4" w:space="0" w:shadow="0" w:frame="0"/>
            </w:tcBorders>
            <w:shd w:val="clear" w:color="auto" w:fill="1a3a5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Details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3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Incident ID</w:t>
            </w:r>
          </w:p>
        </w:tc>
        <w:tc>
          <w:tcPr>
            <w:tcW w:type="dxa" w:w="63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pt-PT"/>
              </w:rPr>
              <w:t>[INC-2026-XXX]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3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Date of Incident</w:t>
            </w:r>
          </w:p>
        </w:tc>
        <w:tc>
          <w:tcPr>
            <w:tcW w:type="dxa" w:w="63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de-DE"/>
              </w:rPr>
              <w:t>[Date]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3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Severity</w:t>
            </w:r>
          </w:p>
        </w:tc>
        <w:tc>
          <w:tcPr>
            <w:tcW w:type="dxa" w:w="63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de-DE"/>
              </w:rPr>
              <w:t>[SEV-1 / SEV-2 / SEV-3 / SEV-4]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3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it-IT"/>
              </w:rPr>
              <w:t>Attack Vector</w:t>
            </w:r>
          </w:p>
        </w:tc>
        <w:tc>
          <w:tcPr>
            <w:tcW w:type="dxa" w:w="63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[Phishing / Brute Force / MFA Fatigue / etc.]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3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Accounts Affected</w:t>
            </w:r>
          </w:p>
        </w:tc>
        <w:tc>
          <w:tcPr>
            <w:tcW w:type="dxa" w:w="63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[List of accounts]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3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Systems Affected</w:t>
            </w:r>
          </w:p>
        </w:tc>
        <w:tc>
          <w:tcPr>
            <w:tcW w:type="dxa" w:w="63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de-DE"/>
              </w:rPr>
              <w:t>[Entra ID / Okta / AWS / Vault / etc.]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3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Time to Detect</w:t>
            </w:r>
          </w:p>
        </w:tc>
        <w:tc>
          <w:tcPr>
            <w:tcW w:type="dxa" w:w="63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[Minutes / Hours from first activity to alert]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3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Time to Contain</w:t>
            </w:r>
          </w:p>
        </w:tc>
        <w:tc>
          <w:tcPr>
            <w:tcW w:type="dxa" w:w="63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[Minutes / Hours from alert to containment]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3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Time to Recover</w:t>
            </w:r>
          </w:p>
        </w:tc>
        <w:tc>
          <w:tcPr>
            <w:tcW w:type="dxa" w:w="63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[Hours / Days from containment to full recovery]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3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Root Cause</w:t>
            </w:r>
          </w:p>
        </w:tc>
        <w:tc>
          <w:tcPr>
            <w:tcW w:type="dxa" w:w="63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[What enabled the attack? What failed?]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3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What Worked Well</w:t>
            </w:r>
          </w:p>
        </w:tc>
        <w:tc>
          <w:tcPr>
            <w:tcW w:type="dxa" w:w="63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[Detection rules, response speed, tooling]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3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What Needs Improvement</w:t>
            </w:r>
          </w:p>
        </w:tc>
        <w:tc>
          <w:tcPr>
            <w:tcW w:type="dxa" w:w="63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[Gaps in detection, slow response, missing tooling]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3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Action Items</w:t>
            </w:r>
          </w:p>
        </w:tc>
        <w:tc>
          <w:tcPr>
            <w:tcW w:type="dxa" w:w="63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 xml:space="preserve">[Specific changes to prevent recurrence </w:t>
            </w: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with owners and due dates]</w:t>
            </w:r>
          </w:p>
        </w:tc>
      </w:tr>
    </w:tbl>
    <w:p>
      <w:pPr>
        <w:pStyle w:val="Heading 2"/>
        <w:widowControl w:val="0"/>
      </w:pPr>
    </w:p>
    <w:p>
      <w:pPr>
        <w:pStyle w:val="Heading 2"/>
        <w:widowControl w:val="0"/>
      </w:pPr>
    </w:p>
    <w:p>
      <w:pPr>
        <w:pStyle w:val="Heading 2"/>
      </w:pPr>
      <w:r>
        <w:rPr>
          <w:rtl w:val="0"/>
          <w:lang w:val="en-US"/>
        </w:rPr>
        <w:t xml:space="preserve">11.3 Improvement Actions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Credential Theft Specific</w:t>
      </w:r>
    </w:p>
    <w:p>
      <w:pPr>
        <w:pStyle w:val="Heading 2"/>
      </w:pP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Based on lessons learned, consider the following improvements: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>If phishing was the vector: run additional phishing simulation campaigns and user awareness training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>If MFA fatigue was the vector: move from push notification to number-matching or FIDO2 passkeys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>If secrets were exposed: review Vault TTLs, tighten AppRole permissions, audit all secret access policies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>If detection was slow: tune SIEM detection rules, lower alert thresholds, add new use cases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>If response was slow: update this IR plan, conduct a tabletop drill focused on the specific failure point</w:t>
      </w:r>
    </w:p>
    <w:p>
      <w:pPr>
        <w:pStyle w:val="List Paragraph"/>
        <w:spacing w:before="40" w:after="4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"/>
      </w:pPr>
      <w:r>
        <w:rPr>
          <w:rtl w:val="0"/>
          <w:lang w:val="en-US"/>
        </w:rPr>
        <w:t>12. Communication Plan</w:t>
      </w:r>
    </w:p>
    <w:p>
      <w:pPr>
        <w:pStyle w:val="Heading 2"/>
      </w:pPr>
      <w:r>
        <w:rPr>
          <w:rtl w:val="0"/>
          <w:lang w:val="fr-FR"/>
        </w:rPr>
        <w:t>12.1 Internal Notification Matrix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400"/>
        <w:gridCol w:w="2560"/>
        <w:gridCol w:w="2000"/>
        <w:gridCol w:w="1600"/>
        <w:gridCol w:w="1800"/>
      </w:tblGrid>
      <w:tr>
        <w:tblPrEx>
          <w:shd w:val="clear" w:color="auto" w:fill="ced7e7"/>
        </w:tblPrEx>
        <w:trPr>
          <w:trHeight w:val="220" w:hRule="atLeast"/>
        </w:trPr>
        <w:tc>
          <w:tcPr>
            <w:tcW w:type="dxa" w:w="1400"/>
            <w:tcBorders>
              <w:top w:val="single" w:color="2e75b6" w:sz="4" w:space="0" w:shadow="0" w:frame="0"/>
              <w:left w:val="single" w:color="2e75b6" w:sz="4" w:space="0" w:shadow="0" w:frame="0"/>
              <w:bottom w:val="single" w:color="cccccc" w:sz="1" w:space="0" w:shadow="0" w:frame="0"/>
              <w:right w:val="single" w:color="2e75b6" w:sz="4" w:space="0" w:shadow="0" w:frame="0"/>
            </w:tcBorders>
            <w:shd w:val="clear" w:color="auto" w:fill="1a3a5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Severity</w:t>
            </w:r>
          </w:p>
        </w:tc>
        <w:tc>
          <w:tcPr>
            <w:tcW w:type="dxa" w:w="2560"/>
            <w:tcBorders>
              <w:top w:val="single" w:color="2e75b6" w:sz="4" w:space="0" w:shadow="0" w:frame="0"/>
              <w:left w:val="single" w:color="2e75b6" w:sz="4" w:space="0" w:shadow="0" w:frame="0"/>
              <w:bottom w:val="single" w:color="cccccc" w:sz="1" w:space="0" w:shadow="0" w:frame="0"/>
              <w:right w:val="single" w:color="2e75b6" w:sz="4" w:space="0" w:shadow="0" w:frame="0"/>
            </w:tcBorders>
            <w:shd w:val="clear" w:color="auto" w:fill="1a3a5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Notify</w:t>
            </w:r>
          </w:p>
        </w:tc>
        <w:tc>
          <w:tcPr>
            <w:tcW w:type="dxa" w:w="2000"/>
            <w:tcBorders>
              <w:top w:val="single" w:color="2e75b6" w:sz="4" w:space="0" w:shadow="0" w:frame="0"/>
              <w:left w:val="single" w:color="2e75b6" w:sz="4" w:space="0" w:shadow="0" w:frame="0"/>
              <w:bottom w:val="single" w:color="cccccc" w:sz="1" w:space="0" w:shadow="0" w:frame="0"/>
              <w:right w:val="single" w:color="2e75b6" w:sz="4" w:space="0" w:shadow="0" w:frame="0"/>
            </w:tcBorders>
            <w:shd w:val="clear" w:color="auto" w:fill="1a3a5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it-IT"/>
                <w14:textFill>
                  <w14:solidFill>
                    <w14:srgbClr w14:val="FFFFFF"/>
                  </w14:solidFill>
                </w14:textFill>
              </w:rPr>
              <w:t>Channel</w:t>
            </w:r>
          </w:p>
        </w:tc>
        <w:tc>
          <w:tcPr>
            <w:tcW w:type="dxa" w:w="1600"/>
            <w:tcBorders>
              <w:top w:val="single" w:color="2e75b6" w:sz="4" w:space="0" w:shadow="0" w:frame="0"/>
              <w:left w:val="single" w:color="2e75b6" w:sz="4" w:space="0" w:shadow="0" w:frame="0"/>
              <w:bottom w:val="single" w:color="cccccc" w:sz="1" w:space="0" w:shadow="0" w:frame="0"/>
              <w:right w:val="single" w:color="2e75b6" w:sz="4" w:space="0" w:shadow="0" w:frame="0"/>
            </w:tcBorders>
            <w:shd w:val="clear" w:color="auto" w:fill="1a3a5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de-DE"/>
                <w14:textFill>
                  <w14:solidFill>
                    <w14:srgbClr w14:val="FFFFFF"/>
                  </w14:solidFill>
                </w14:textFill>
              </w:rPr>
              <w:t>Timing</w:t>
            </w:r>
          </w:p>
        </w:tc>
        <w:tc>
          <w:tcPr>
            <w:tcW w:type="dxa" w:w="1800"/>
            <w:tcBorders>
              <w:top w:val="single" w:color="2e75b6" w:sz="4" w:space="0" w:shadow="0" w:frame="0"/>
              <w:left w:val="single" w:color="2e75b6" w:sz="4" w:space="0" w:shadow="0" w:frame="0"/>
              <w:bottom w:val="single" w:color="cccccc" w:sz="1" w:space="0" w:shadow="0" w:frame="0"/>
              <w:right w:val="single" w:color="2e75b6" w:sz="4" w:space="0" w:shadow="0" w:frame="0"/>
            </w:tcBorders>
            <w:shd w:val="clear" w:color="auto" w:fill="1a3a5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fr-FR"/>
                <w14:textFill>
                  <w14:solidFill>
                    <w14:srgbClr w14:val="FFFFFF"/>
                  </w14:solidFill>
                </w14:textFill>
              </w:rPr>
              <w:t>Message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14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da-DK"/>
              </w:rPr>
              <w:t>SEV-1</w:t>
            </w:r>
          </w:p>
        </w:tc>
        <w:tc>
          <w:tcPr>
            <w:tcW w:type="dxa" w:w="2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Security Lead, Project Manager, All Stakeholders</w:t>
            </w:r>
          </w:p>
        </w:tc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Phone + Email</w:t>
            </w:r>
          </w:p>
        </w:tc>
        <w:tc>
          <w:tcPr>
            <w:tcW w:type="dxa" w:w="16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Immediately</w:t>
            </w:r>
          </w:p>
        </w:tc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Full incident briefing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14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da-DK"/>
              </w:rPr>
              <w:t>SEV-2</w:t>
            </w:r>
          </w:p>
        </w:tc>
        <w:tc>
          <w:tcPr>
            <w:tcW w:type="dxa" w:w="2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Security Lead, IAM Engineer, DevSecOps</w:t>
            </w:r>
          </w:p>
        </w:tc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Slack / Teams + Email</w:t>
            </w:r>
          </w:p>
        </w:tc>
        <w:tc>
          <w:tcPr>
            <w:tcW w:type="dxa" w:w="16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&lt; 30 min</w:t>
            </w:r>
          </w:p>
        </w:tc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Alert + action needed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14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da-DK"/>
              </w:rPr>
              <w:t>SEV-3</w:t>
            </w:r>
          </w:p>
        </w:tc>
        <w:tc>
          <w:tcPr>
            <w:tcW w:type="dxa" w:w="2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Security Analyst, IAM Engineer</w:t>
            </w:r>
          </w:p>
        </w:tc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Slack / Teams</w:t>
            </w:r>
          </w:p>
        </w:tc>
        <w:tc>
          <w:tcPr>
            <w:tcW w:type="dxa" w:w="16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&lt; 2 hours</w:t>
            </w:r>
          </w:p>
        </w:tc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Monitoring update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14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da-DK"/>
              </w:rPr>
              <w:t>SEV-4</w:t>
            </w:r>
          </w:p>
        </w:tc>
        <w:tc>
          <w:tcPr>
            <w:tcW w:type="dxa" w:w="2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Security Analyst</w:t>
            </w:r>
          </w:p>
        </w:tc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Ticket / log</w:t>
            </w:r>
          </w:p>
        </w:tc>
        <w:tc>
          <w:tcPr>
            <w:tcW w:type="dxa" w:w="16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&lt; 24 hours</w:t>
            </w:r>
          </w:p>
        </w:tc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Logged, no action</w:t>
            </w:r>
          </w:p>
        </w:tc>
      </w:tr>
    </w:tbl>
    <w:p>
      <w:pPr>
        <w:pStyle w:val="Heading 2"/>
        <w:widowControl w:val="0"/>
      </w:pPr>
    </w:p>
    <w:p>
      <w:pPr>
        <w:pStyle w:val="Heading 2"/>
        <w:widowControl w:val="0"/>
      </w:pPr>
    </w:p>
    <w:p>
      <w:pPr>
        <w:pStyle w:val="Heading 2"/>
      </w:pPr>
      <w:r>
        <w:rPr>
          <w:rtl w:val="0"/>
          <w:lang w:val="en-US"/>
        </w:rPr>
        <w:t>12.2 Communication Guidelines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>Do not disclose details of the incident publicly or via unencrypted channels until the incident is contained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>Do not notify the potentially compromised user's manager over email if insider threat is not yet ruled out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>Avoid communicating remediation steps in forums where the attacker may be monitoring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>All external communications (to regulators, affected users, partners) require Incident Commander approval</w:t>
      </w:r>
    </w:p>
    <w:p>
      <w:pPr>
        <w:pStyle w:val="List Paragraph"/>
        <w:spacing w:before="40" w:after="40"/>
      </w:pPr>
    </w:p>
    <w:p>
      <w:pPr>
        <w:pStyle w:val="Heading 2"/>
      </w:pPr>
      <w:r>
        <w:rPr>
          <w:rtl w:val="0"/>
          <w:lang w:val="en-US"/>
        </w:rPr>
        <w:t>12.3 Regulatory Considerations</w:t>
      </w:r>
    </w:p>
    <w:p>
      <w:pPr>
        <w:pStyle w:val="Heading 2"/>
      </w:pP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If personal data was accessed through the compromised credentials, assess applicability of: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>GDPR: 72-hour notification window to supervisory authority if EU personal data is involved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>PIPEDA (Canada) / state privacy laws: notify affected individuals if significant risk of harm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>Sector-specific requirements depending on the organisation's industry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  <w:lang w:val="en-US"/>
        </w:rPr>
        <w:t>This assessment must be completed within 24 hours of incident confirmation for SEV-1 and SEV-2 incidents.</w:t>
      </w:r>
    </w:p>
    <w:p>
      <w:pPr>
        <w:pStyle w:val="List Paragraph"/>
        <w:spacing w:before="40" w:after="4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"/>
      </w:pPr>
      <w:r>
        <w:rPr>
          <w:rtl w:val="0"/>
          <w:lang w:val="it-IT"/>
        </w:rPr>
        <w:t>13. Appendices</w:t>
      </w:r>
    </w:p>
    <w:p>
      <w:pPr>
        <w:pStyle w:val="Heading 2"/>
      </w:pPr>
      <w:r>
        <w:rPr>
          <w:rtl w:val="0"/>
          <w:lang w:val="da-DK"/>
        </w:rPr>
        <w:t xml:space="preserve">Appendix A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Quick Reference Card</w:t>
      </w:r>
    </w:p>
    <w:p>
      <w:pPr>
        <w:pStyle w:val="Heading 2"/>
      </w:pP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Print and keep accessible during an active incident.</w:t>
      </w:r>
    </w:p>
    <w:p>
      <w:pPr>
        <w:pStyle w:val="Heading 2"/>
      </w:pP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360"/>
      </w:tblGrid>
      <w:tr>
        <w:tblPrEx>
          <w:shd w:val="clear" w:color="auto" w:fill="ced7e7"/>
        </w:tblPrEx>
        <w:trPr>
          <w:trHeight w:val="3417" w:hRule="atLeast"/>
        </w:trPr>
        <w:tc>
          <w:tcPr>
            <w:tcW w:type="dxa" w:w="9360"/>
            <w:tcBorders>
              <w:top w:val="single" w:color="2e75b6" w:sz="4" w:space="0" w:shadow="0" w:frame="0"/>
              <w:left w:val="single" w:color="2e75b6" w:sz="4" w:space="0" w:shadow="0" w:frame="0"/>
              <w:bottom w:val="single" w:color="2e75b6" w:sz="4" w:space="0" w:shadow="0" w:frame="0"/>
              <w:right w:val="single" w:color="2e75b6" w:sz="4" w:space="0" w:shadow="0" w:frame="0"/>
            </w:tcBorders>
            <w:shd w:val="clear" w:color="auto" w:fill="ebf5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a3a5c"/>
                <w:sz w:val="24"/>
                <w:szCs w:val="24"/>
                <w:u w:color="1a3a5c"/>
                <w:shd w:val="nil" w:color="auto" w:fill="auto"/>
                <w:rtl w:val="0"/>
                <w:lang w:val="en-US"/>
                <w14:textFill>
                  <w14:solidFill>
                    <w14:srgbClr w14:val="1A3A5C"/>
                  </w14:solidFill>
                </w14:textFill>
              </w:rPr>
              <w:t xml:space="preserve">CREDENTIAL THEFT 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1a3a5c"/>
                <w:sz w:val="24"/>
                <w:szCs w:val="24"/>
                <w:u w:color="1a3a5c"/>
                <w:shd w:val="nil" w:color="auto" w:fill="auto"/>
                <w:rtl w:val="0"/>
                <w:lang w:val="en-US"/>
                <w14:textFill>
                  <w14:solidFill>
                    <w14:srgbClr w14:val="1A3A5C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b w:val="1"/>
                <w:bCs w:val="1"/>
                <w:outline w:val="0"/>
                <w:color w:val="1a3a5c"/>
                <w:sz w:val="24"/>
                <w:szCs w:val="24"/>
                <w:u w:color="1a3a5c"/>
                <w:shd w:val="nil" w:color="auto" w:fill="auto"/>
                <w:rtl w:val="0"/>
                <w:lang w:val="en-US"/>
                <w14:textFill>
                  <w14:solidFill>
                    <w14:srgbClr w14:val="1A3A5C"/>
                  </w14:solidFill>
                </w14:textFill>
              </w:rPr>
              <w:t>IMMEDIATE ACTIONS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/>
                <w:sz w:val="21"/>
                <w:szCs w:val="21"/>
                <w:u w:color="000000"/>
                <w:shd w:val="nil" w:color="auto" w:fill="auto"/>
                <w:rtl w:val="0"/>
              </w:rPr>
              <w:t xml:space="preserve">1.  DETECT  </w:t>
            </w:r>
            <w:r>
              <w:rPr>
                <w:rFonts w:ascii="Arial" w:hAnsi="Arial" w:hint="default"/>
                <w:sz w:val="21"/>
                <w:szCs w:val="21"/>
                <w:u w:color="00000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Fonts w:ascii="Arial" w:hAnsi="Arial"/>
                <w:sz w:val="21"/>
                <w:szCs w:val="21"/>
                <w:u w:color="000000"/>
                <w:shd w:val="nil" w:color="auto" w:fill="auto"/>
                <w:rtl w:val="0"/>
                <w:lang w:val="en-US"/>
              </w:rPr>
              <w:t>Alert fires or report received. Acknowledge and begin triage.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/>
                <w:sz w:val="21"/>
                <w:szCs w:val="21"/>
                <w:u w:color="000000"/>
                <w:shd w:val="nil" w:color="auto" w:fill="auto"/>
                <w:rtl w:val="0"/>
              </w:rPr>
              <w:t xml:space="preserve">2.  CLASSIFY  </w:t>
            </w:r>
            <w:r>
              <w:rPr>
                <w:rFonts w:ascii="Arial" w:hAnsi="Arial" w:hint="default"/>
                <w:sz w:val="21"/>
                <w:szCs w:val="21"/>
                <w:u w:color="00000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Fonts w:ascii="Arial" w:hAnsi="Arial"/>
                <w:sz w:val="21"/>
                <w:szCs w:val="21"/>
                <w:u w:color="000000"/>
                <w:shd w:val="nil" w:color="auto" w:fill="auto"/>
                <w:rtl w:val="0"/>
                <w:lang w:val="en-US"/>
              </w:rPr>
              <w:t>Assign SEV-1 through SEV-4. Notify appropriate stakeholders.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/>
                <w:sz w:val="21"/>
                <w:szCs w:val="21"/>
                <w:u w:color="000000"/>
                <w:shd w:val="nil" w:color="auto" w:fill="auto"/>
                <w:rtl w:val="0"/>
                <w:lang w:val="de-DE"/>
              </w:rPr>
              <w:t xml:space="preserve">3.  COLLECT  </w:t>
            </w:r>
            <w:r>
              <w:rPr>
                <w:rFonts w:ascii="Arial" w:hAnsi="Arial" w:hint="default"/>
                <w:sz w:val="21"/>
                <w:szCs w:val="21"/>
                <w:u w:color="00000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Fonts w:ascii="Arial" w:hAnsi="Arial"/>
                <w:sz w:val="21"/>
                <w:szCs w:val="21"/>
                <w:u w:color="000000"/>
                <w:shd w:val="nil" w:color="auto" w:fill="auto"/>
                <w:rtl w:val="0"/>
                <w:lang w:val="en-US"/>
              </w:rPr>
              <w:t>Export logs BEFORE taking containment actions.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/>
                <w:sz w:val="21"/>
                <w:szCs w:val="21"/>
                <w:u w:color="000000"/>
                <w:shd w:val="nil" w:color="auto" w:fill="auto"/>
                <w:rtl w:val="0"/>
              </w:rPr>
              <w:t xml:space="preserve">4.  CONTAIN  </w:t>
            </w:r>
            <w:r>
              <w:rPr>
                <w:rFonts w:ascii="Arial" w:hAnsi="Arial" w:hint="default"/>
                <w:sz w:val="21"/>
                <w:szCs w:val="21"/>
                <w:u w:color="00000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Fonts w:ascii="Arial" w:hAnsi="Arial"/>
                <w:sz w:val="21"/>
                <w:szCs w:val="21"/>
                <w:u w:color="000000"/>
                <w:shd w:val="nil" w:color="auto" w:fill="auto"/>
                <w:rtl w:val="0"/>
                <w:lang w:val="en-US"/>
              </w:rPr>
              <w:t>Disable account + revoke tokens + block attacker IP.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/>
                <w:sz w:val="21"/>
                <w:szCs w:val="21"/>
                <w:u w:color="000000"/>
                <w:shd w:val="nil" w:color="auto" w:fill="auto"/>
                <w:rtl w:val="0"/>
                <w:lang w:val="de-DE"/>
              </w:rPr>
              <w:t xml:space="preserve">5.  ERADICATE  </w:t>
            </w:r>
            <w:r>
              <w:rPr>
                <w:rFonts w:ascii="Arial" w:hAnsi="Arial" w:hint="default"/>
                <w:sz w:val="21"/>
                <w:szCs w:val="21"/>
                <w:u w:color="00000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Fonts w:ascii="Arial" w:hAnsi="Arial"/>
                <w:sz w:val="21"/>
                <w:szCs w:val="21"/>
                <w:u w:color="000000"/>
                <w:shd w:val="nil" w:color="auto" w:fill="auto"/>
                <w:rtl w:val="0"/>
                <w:lang w:val="en-US"/>
              </w:rPr>
              <w:t>Rotate all credentials + audit for backdoors.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/>
                <w:sz w:val="21"/>
                <w:szCs w:val="21"/>
                <w:u w:color="000000"/>
                <w:shd w:val="nil" w:color="auto" w:fill="auto"/>
                <w:rtl w:val="0"/>
                <w:lang w:val="de-DE"/>
              </w:rPr>
              <w:t xml:space="preserve">6.  RECOVER  </w:t>
            </w:r>
            <w:r>
              <w:rPr>
                <w:rFonts w:ascii="Arial" w:hAnsi="Arial" w:hint="default"/>
                <w:sz w:val="21"/>
                <w:szCs w:val="21"/>
                <w:u w:color="00000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Fonts w:ascii="Arial" w:hAnsi="Arial"/>
                <w:sz w:val="21"/>
                <w:szCs w:val="21"/>
                <w:u w:color="000000"/>
                <w:shd w:val="nil" w:color="auto" w:fill="auto"/>
                <w:rtl w:val="0"/>
                <w:lang w:val="en-US"/>
              </w:rPr>
              <w:t>Re-enable with new creds + MFA re-enrol + enhanced monitoring.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</w:pPr>
            <w:r>
              <w:rPr>
                <w:rFonts w:ascii="Arial" w:hAnsi="Arial"/>
                <w:sz w:val="21"/>
                <w:szCs w:val="21"/>
                <w:u w:color="000000"/>
                <w:shd w:val="nil" w:color="auto" w:fill="auto"/>
                <w:rtl w:val="0"/>
              </w:rPr>
              <w:t xml:space="preserve">7.  REVIEW  </w:t>
            </w:r>
            <w:r>
              <w:rPr>
                <w:rFonts w:ascii="Arial" w:hAnsi="Arial" w:hint="default"/>
                <w:sz w:val="21"/>
                <w:szCs w:val="21"/>
                <w:u w:color="00000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Fonts w:ascii="Arial" w:hAnsi="Arial"/>
                <w:sz w:val="21"/>
                <w:szCs w:val="21"/>
                <w:u w:color="000000"/>
                <w:shd w:val="nil" w:color="auto" w:fill="auto"/>
                <w:rtl w:val="0"/>
                <w:lang w:val="en-US"/>
              </w:rPr>
              <w:t>PIR within 5 days. Update plan. Close incident.</w:t>
            </w:r>
          </w:p>
        </w:tc>
      </w:tr>
    </w:tbl>
    <w:p>
      <w:pPr>
        <w:pStyle w:val="Heading 2"/>
        <w:widowControl w:val="0"/>
      </w:pPr>
    </w:p>
    <w:p>
      <w:pPr>
        <w:pStyle w:val="Heading 2"/>
        <w:widowControl w:val="0"/>
      </w:pPr>
    </w:p>
    <w:p>
      <w:pPr>
        <w:pStyle w:val="Heading 2"/>
        <w:widowControl w:val="0"/>
      </w:pPr>
    </w:p>
    <w:p>
      <w:pPr>
        <w:pStyle w:val="Heading 2"/>
      </w:pPr>
      <w:r>
        <w:rPr>
          <w:rtl w:val="0"/>
          <w:lang w:val="da-DK"/>
        </w:rPr>
        <w:t xml:space="preserve">Appendix B </w:t>
      </w:r>
      <w:r>
        <w:rPr>
          <w:rtl w:val="0"/>
          <w:lang w:val="en-US"/>
        </w:rPr>
        <w:t xml:space="preserve">— </w:t>
      </w:r>
      <w:r>
        <w:rPr>
          <w:rtl w:val="0"/>
          <w:lang w:val="fr-FR"/>
        </w:rPr>
        <w:t>MITRE ATT&amp;CK Technique Reference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600"/>
        <w:gridCol w:w="2600"/>
        <w:gridCol w:w="2560"/>
        <w:gridCol w:w="2600"/>
      </w:tblGrid>
      <w:tr>
        <w:tblPrEx>
          <w:shd w:val="clear" w:color="auto" w:fill="ced7e7"/>
        </w:tblPrEx>
        <w:trPr>
          <w:trHeight w:val="220" w:hRule="atLeast"/>
        </w:trPr>
        <w:tc>
          <w:tcPr>
            <w:tcW w:type="dxa" w:w="1600"/>
            <w:tcBorders>
              <w:top w:val="single" w:color="2e75b6" w:sz="4" w:space="0" w:shadow="0" w:frame="0"/>
              <w:left w:val="single" w:color="2e75b6" w:sz="4" w:space="0" w:shadow="0" w:frame="0"/>
              <w:bottom w:val="single" w:color="cccccc" w:sz="1" w:space="0" w:shadow="0" w:frame="0"/>
              <w:right w:val="single" w:color="2e75b6" w:sz="4" w:space="0" w:shadow="0" w:frame="0"/>
            </w:tcBorders>
            <w:shd w:val="clear" w:color="auto" w:fill="1a3a5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fr-FR"/>
                <w14:textFill>
                  <w14:solidFill>
                    <w14:srgbClr w14:val="FFFFFF"/>
                  </w14:solidFill>
                </w14:textFill>
              </w:rPr>
              <w:t>Technique ID</w:t>
            </w:r>
          </w:p>
        </w:tc>
        <w:tc>
          <w:tcPr>
            <w:tcW w:type="dxa" w:w="2600"/>
            <w:tcBorders>
              <w:top w:val="single" w:color="2e75b6" w:sz="4" w:space="0" w:shadow="0" w:frame="0"/>
              <w:left w:val="single" w:color="2e75b6" w:sz="4" w:space="0" w:shadow="0" w:frame="0"/>
              <w:bottom w:val="single" w:color="cccccc" w:sz="1" w:space="0" w:shadow="0" w:frame="0"/>
              <w:right w:val="single" w:color="2e75b6" w:sz="4" w:space="0" w:shadow="0" w:frame="0"/>
            </w:tcBorders>
            <w:shd w:val="clear" w:color="auto" w:fill="1a3a5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fr-FR"/>
                <w14:textFill>
                  <w14:solidFill>
                    <w14:srgbClr w14:val="FFFFFF"/>
                  </w14:solidFill>
                </w14:textFill>
              </w:rPr>
              <w:t>Technique Name</w:t>
            </w:r>
          </w:p>
        </w:tc>
        <w:tc>
          <w:tcPr>
            <w:tcW w:type="dxa" w:w="2560"/>
            <w:tcBorders>
              <w:top w:val="single" w:color="2e75b6" w:sz="4" w:space="0" w:shadow="0" w:frame="0"/>
              <w:left w:val="single" w:color="2e75b6" w:sz="4" w:space="0" w:shadow="0" w:frame="0"/>
              <w:bottom w:val="single" w:color="cccccc" w:sz="1" w:space="0" w:shadow="0" w:frame="0"/>
              <w:right w:val="single" w:color="2e75b6" w:sz="4" w:space="0" w:shadow="0" w:frame="0"/>
            </w:tcBorders>
            <w:shd w:val="clear" w:color="auto" w:fill="1a3a5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Tactic</w:t>
            </w:r>
          </w:p>
        </w:tc>
        <w:tc>
          <w:tcPr>
            <w:tcW w:type="dxa" w:w="2600"/>
            <w:tcBorders>
              <w:top w:val="single" w:color="2e75b6" w:sz="4" w:space="0" w:shadow="0" w:frame="0"/>
              <w:left w:val="single" w:color="2e75b6" w:sz="4" w:space="0" w:shadow="0" w:frame="0"/>
              <w:bottom w:val="single" w:color="cccccc" w:sz="1" w:space="0" w:shadow="0" w:frame="0"/>
              <w:right w:val="single" w:color="2e75b6" w:sz="4" w:space="0" w:shadow="0" w:frame="0"/>
            </w:tcBorders>
            <w:shd w:val="clear" w:color="auto" w:fill="1a3a5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nl-NL"/>
                <w14:textFill>
                  <w14:solidFill>
                    <w14:srgbClr w14:val="FFFFFF"/>
                  </w14:solidFill>
                </w14:textFill>
              </w:rPr>
              <w:t>EISP Relevance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16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T1078</w:t>
            </w:r>
          </w:p>
        </w:tc>
        <w:tc>
          <w:tcPr>
            <w:tcW w:type="dxa" w:w="26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Valid Accounts</w:t>
            </w:r>
          </w:p>
        </w:tc>
        <w:tc>
          <w:tcPr>
            <w:tcW w:type="dxa" w:w="2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Initial Access / Persistence</w:t>
            </w:r>
          </w:p>
        </w:tc>
        <w:tc>
          <w:tcPr>
            <w:tcW w:type="dxa" w:w="26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Compromised Entra ID / Okta accounts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16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T1110.001</w:t>
            </w:r>
          </w:p>
        </w:tc>
        <w:tc>
          <w:tcPr>
            <w:tcW w:type="dxa" w:w="26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Brute Force: Password Guessing</w:t>
            </w:r>
          </w:p>
        </w:tc>
        <w:tc>
          <w:tcPr>
            <w:tcW w:type="dxa" w:w="2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Credential Access</w:t>
            </w:r>
          </w:p>
        </w:tc>
        <w:tc>
          <w:tcPr>
            <w:tcW w:type="dxa" w:w="26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Admin account attacks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16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T1110.004</w:t>
            </w:r>
          </w:p>
        </w:tc>
        <w:tc>
          <w:tcPr>
            <w:tcW w:type="dxa" w:w="26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Credential Stuffing</w:t>
            </w:r>
          </w:p>
        </w:tc>
        <w:tc>
          <w:tcPr>
            <w:tcW w:type="dxa" w:w="2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Credential Access</w:t>
            </w:r>
          </w:p>
        </w:tc>
        <w:tc>
          <w:tcPr>
            <w:tcW w:type="dxa" w:w="26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IdP login endpoint attacks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16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T1539</w:t>
            </w:r>
          </w:p>
        </w:tc>
        <w:tc>
          <w:tcPr>
            <w:tcW w:type="dxa" w:w="26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Steal Web Session Cookie</w:t>
            </w:r>
          </w:p>
        </w:tc>
        <w:tc>
          <w:tcPr>
            <w:tcW w:type="dxa" w:w="2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Credential Access</w:t>
            </w:r>
          </w:p>
        </w:tc>
        <w:tc>
          <w:tcPr>
            <w:tcW w:type="dxa" w:w="26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SSO token theft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16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T1552</w:t>
            </w:r>
          </w:p>
        </w:tc>
        <w:tc>
          <w:tcPr>
            <w:tcW w:type="dxa" w:w="26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Unsecured Credentials</w:t>
            </w:r>
          </w:p>
        </w:tc>
        <w:tc>
          <w:tcPr>
            <w:tcW w:type="dxa" w:w="2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Credential Access</w:t>
            </w:r>
          </w:p>
        </w:tc>
        <w:tc>
          <w:tcPr>
            <w:tcW w:type="dxa" w:w="26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API keys in code / logs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16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T1566</w:t>
            </w:r>
          </w:p>
        </w:tc>
        <w:tc>
          <w:tcPr>
            <w:tcW w:type="dxa" w:w="26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Phishing</w:t>
            </w:r>
          </w:p>
        </w:tc>
        <w:tc>
          <w:tcPr>
            <w:tcW w:type="dxa" w:w="2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Initial Access</w:t>
            </w:r>
          </w:p>
        </w:tc>
        <w:tc>
          <w:tcPr>
            <w:tcW w:type="dxa" w:w="26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User credential harvesting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16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T1621</w:t>
            </w:r>
          </w:p>
        </w:tc>
        <w:tc>
          <w:tcPr>
            <w:tcW w:type="dxa" w:w="26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MFA Request Generation</w:t>
            </w:r>
          </w:p>
        </w:tc>
        <w:tc>
          <w:tcPr>
            <w:tcW w:type="dxa" w:w="2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Credential Access</w:t>
            </w:r>
          </w:p>
        </w:tc>
        <w:tc>
          <w:tcPr>
            <w:tcW w:type="dxa" w:w="26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MFA fatigue / push bombing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16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T1548</w:t>
            </w:r>
          </w:p>
        </w:tc>
        <w:tc>
          <w:tcPr>
            <w:tcW w:type="dxa" w:w="26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Abuse Elevation Control Mechanism</w:t>
            </w:r>
          </w:p>
        </w:tc>
        <w:tc>
          <w:tcPr>
            <w:tcW w:type="dxa" w:w="2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Privilege Escalation</w:t>
            </w:r>
          </w:p>
        </w:tc>
        <w:tc>
          <w:tcPr>
            <w:tcW w:type="dxa" w:w="26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Post-compromise privilege escalation</w:t>
            </w:r>
          </w:p>
        </w:tc>
      </w:tr>
    </w:tbl>
    <w:p>
      <w:pPr>
        <w:pStyle w:val="Heading 2"/>
        <w:widowControl w:val="0"/>
      </w:pPr>
    </w:p>
    <w:p>
      <w:pPr>
        <w:pStyle w:val="Heading 2"/>
        <w:widowControl w:val="0"/>
      </w:pPr>
    </w:p>
    <w:p>
      <w:pPr>
        <w:pStyle w:val="Heading 2"/>
        <w:widowControl w:val="0"/>
      </w:pPr>
    </w:p>
    <w:p>
      <w:pPr>
        <w:pStyle w:val="Heading 2"/>
      </w:pPr>
      <w:r>
        <w:rPr>
          <w:rtl w:val="0"/>
          <w:lang w:val="da-DK"/>
        </w:rPr>
        <w:t xml:space="preserve">Appendix C </w:t>
      </w:r>
      <w:r>
        <w:rPr>
          <w:rtl w:val="0"/>
          <w:lang w:val="en-US"/>
        </w:rPr>
        <w:t xml:space="preserve">— </w:t>
      </w:r>
      <w:r>
        <w:rPr>
          <w:rtl w:val="0"/>
        </w:rPr>
        <w:t>Key Log Query Reference</w:t>
      </w:r>
    </w:p>
    <w:p>
      <w:pPr>
        <w:pStyle w:val="Heading 2"/>
      </w:pPr>
      <w:r>
        <w:rPr>
          <w:outline w:val="0"/>
          <w:color w:val="000000"/>
          <w:sz w:val="22"/>
          <w:szCs w:val="22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Entra ID 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— 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Sign-in logs for a specific user (last 24h):</w:t>
      </w:r>
    </w:p>
    <w:p>
      <w:pPr>
        <w:pStyle w:val="Heading 2"/>
      </w:pPr>
      <w:r>
        <w:rPr>
          <w:rFonts w:ascii="Courier New" w:hAnsi="Courier New"/>
          <w:outline w:val="0"/>
          <w:color w:val="1a3a5c"/>
          <w:sz w:val="20"/>
          <w:szCs w:val="20"/>
          <w:u w:color="1a3a5c"/>
          <w:rtl w:val="0"/>
          <w:lang w:val="en-US"/>
          <w14:textFill>
            <w14:solidFill>
              <w14:srgbClr w14:val="1A3A5C"/>
            </w14:solidFill>
          </w14:textFill>
        </w:rPr>
        <w:t>SigninLogs | where UserPrincipalName == 'user@domain.com' | where TimeGenerated &gt; ago(24h) | project TimeGenerated, IPAddress, Location, ResultType, AuthenticationRequirement</w:t>
      </w:r>
    </w:p>
    <w:p>
      <w:pPr>
        <w:pStyle w:val="Heading 2"/>
      </w:pPr>
    </w:p>
    <w:p>
      <w:pPr>
        <w:pStyle w:val="Heading 2"/>
      </w:pP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AWS CloudTrail 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— 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Events by IAM principal (last 24h):</w:t>
      </w:r>
    </w:p>
    <w:p>
      <w:pPr>
        <w:pStyle w:val="Heading 2"/>
      </w:pPr>
      <w:r>
        <w:rPr>
          <w:rFonts w:ascii="Courier New" w:hAnsi="Courier New"/>
          <w:outline w:val="0"/>
          <w:color w:val="1a3a5c"/>
          <w:sz w:val="20"/>
          <w:szCs w:val="20"/>
          <w:u w:color="1a3a5c"/>
          <w:rtl w:val="0"/>
          <w:lang w:val="en-US"/>
          <w14:textFill>
            <w14:solidFill>
              <w14:srgbClr w14:val="1A3A5C"/>
            </w14:solidFill>
          </w14:textFill>
        </w:rPr>
        <w:t>fields @timestamp, eventName, userIdentity.arn, sourceIPAddress | filter userIdentity.arn like 'compromised-user' | sort @timestamp desc | limit 200</w:t>
      </w:r>
    </w:p>
    <w:p>
      <w:pPr>
        <w:pStyle w:val="Heading 2"/>
      </w:pPr>
    </w:p>
    <w:p>
      <w:pPr>
        <w:pStyle w:val="Heading 2"/>
      </w:pP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Vault 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— 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Revoke a token by accessor:</w:t>
      </w:r>
    </w:p>
    <w:p>
      <w:pPr>
        <w:pStyle w:val="Heading 2"/>
      </w:pPr>
      <w:r>
        <w:rPr>
          <w:rFonts w:ascii="Courier New" w:hAnsi="Courier New"/>
          <w:outline w:val="0"/>
          <w:color w:val="1a3a5c"/>
          <w:sz w:val="20"/>
          <w:szCs w:val="20"/>
          <w:u w:color="1a3a5c"/>
          <w:rtl w:val="0"/>
          <w:lang w:val="en-US"/>
          <w14:textFill>
            <w14:solidFill>
              <w14:srgbClr w14:val="1A3A5C"/>
            </w14:solidFill>
          </w14:textFill>
        </w:rPr>
        <w:t>vault token revoke -accessor &lt;accessor_id&gt;</w:t>
      </w:r>
    </w:p>
    <w:p>
      <w:pPr>
        <w:pStyle w:val="Heading 2"/>
      </w:pPr>
    </w:p>
    <w:p>
      <w:pPr>
        <w:pStyle w:val="Heading 2"/>
      </w:pPr>
      <w:r>
        <w:rPr>
          <w:outline w:val="0"/>
          <w:color w:val="000000"/>
          <w:sz w:val="22"/>
          <w:szCs w:val="22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 xml:space="preserve">AWS CLI 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— 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Deactivate an access key:</w:t>
      </w:r>
    </w:p>
    <w:p>
      <w:pPr>
        <w:pStyle w:val="Heading 2"/>
      </w:pPr>
      <w:r>
        <w:rPr>
          <w:rFonts w:ascii="Courier New" w:hAnsi="Courier New"/>
          <w:outline w:val="0"/>
          <w:color w:val="1a3a5c"/>
          <w:sz w:val="20"/>
          <w:szCs w:val="20"/>
          <w:u w:color="1a3a5c"/>
          <w:rtl w:val="0"/>
          <w:lang w:val="en-US"/>
          <w14:textFill>
            <w14:solidFill>
              <w14:srgbClr w14:val="1A3A5C"/>
            </w14:solidFill>
          </w14:textFill>
        </w:rPr>
        <w:t>aws iam update-access-key --access-key-id &lt;KEY_ID&gt; --status Inactive --user-name &lt;USERNAME&gt;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  <w:font w:name="Courier New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>
      <w:rPr>
        <w:rFonts w:ascii="Arial" w:hAnsi="Arial"/>
        <w:outline w:val="0"/>
        <w:color w:val="555555"/>
        <w:sz w:val="18"/>
        <w:szCs w:val="18"/>
        <w:u w:color="555555"/>
        <w:rtl w:val="0"/>
        <w:lang w:val="da-DK"/>
        <w14:textFill>
          <w14:solidFill>
            <w14:srgbClr w14:val="555555"/>
          </w14:solidFill>
        </w14:textFill>
      </w:rPr>
      <w:t>EISP-IRP-001 | v1.0 | April 2026</w:t>
      <w:tab/>
      <w:t xml:space="preserve">Page 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>
      <w:rPr>
        <w:rFonts w:ascii="Arial" w:hAnsi="Arial"/>
        <w:outline w:val="0"/>
        <w:color w:val="555555"/>
        <w:sz w:val="18"/>
        <w:szCs w:val="18"/>
        <w:u w:color="555555"/>
        <w:rtl w:val="0"/>
        <w:lang w:val="de-DE"/>
        <w14:textFill>
          <w14:solidFill>
            <w14:srgbClr w14:val="555555"/>
          </w14:solidFill>
        </w14:textFill>
      </w:rPr>
      <w:t xml:space="preserve">EISP </w:t>
    </w:r>
    <w:r>
      <w:rPr>
        <w:rFonts w:ascii="Arial" w:hAnsi="Arial" w:hint="default"/>
        <w:outline w:val="0"/>
        <w:color w:val="555555"/>
        <w:sz w:val="18"/>
        <w:szCs w:val="18"/>
        <w:u w:color="555555"/>
        <w:rtl w:val="0"/>
        <w:lang w:val="en-US"/>
        <w14:textFill>
          <w14:solidFill>
            <w14:srgbClr w14:val="555555"/>
          </w14:solidFill>
        </w14:textFill>
      </w:rPr>
      <w:t xml:space="preserve">— </w:t>
    </w:r>
    <w:r>
      <w:rPr>
        <w:rFonts w:ascii="Arial" w:hAnsi="Arial"/>
        <w:outline w:val="0"/>
        <w:color w:val="555555"/>
        <w:sz w:val="18"/>
        <w:szCs w:val="18"/>
        <w:u w:color="555555"/>
        <w:rtl w:val="0"/>
        <w:lang w:val="en-US"/>
        <w14:textFill>
          <w14:solidFill>
            <w14:srgbClr w14:val="555555"/>
          </w14:solidFill>
        </w14:textFill>
      </w:rPr>
      <w:t>Incident Response Plan: Credential Theft &amp; Account Compromise</w:t>
    </w:r>
    <w:r>
      <w:rPr>
        <w:sz w:val="18"/>
        <w:szCs w:val="18"/>
      </w:rPr>
      <w:tab/>
    </w:r>
    <w:r>
      <w:rPr>
        <w:rFonts w:ascii="Arial" w:hAnsi="Arial"/>
        <w:b w:val="1"/>
        <w:bCs w:val="1"/>
        <w:outline w:val="0"/>
        <w:color w:val="c0392b"/>
        <w:sz w:val="18"/>
        <w:szCs w:val="18"/>
        <w:u w:color="c0392b"/>
        <w:rtl w:val="0"/>
        <w:lang w:val="en-US"/>
        <w14:textFill>
          <w14:solidFill>
            <w14:srgbClr w14:val="C0392B"/>
          </w14:solidFill>
        </w14:textFill>
      </w:rPr>
      <w:t>CONFIDENTIAL</w:t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decimal"/>
      <w:suff w:val="tab"/>
      <w:lvlText w:val="%1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4">
    <w:multiLevelType w:val="hybridMultilevel"/>
    <w:numStyleLink w:val="Imported Style 3"/>
  </w:abstractNum>
  <w:abstractNum w:abstractNumId="5">
    <w:multiLevelType w:val="hybridMultilevel"/>
    <w:styleLink w:val="Imported Style 3"/>
    <w:lvl w:ilvl="0">
      <w:start w:val="1"/>
      <w:numFmt w:val="decimal"/>
      <w:suff w:val="tab"/>
      <w:lvlText w:val="%1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6">
    <w:multiLevelType w:val="hybridMultilevel"/>
    <w:numStyleLink w:val="Imported Style 4"/>
  </w:abstractNum>
  <w:abstractNum w:abstractNumId="7">
    <w:multiLevelType w:val="hybridMultilevel"/>
    <w:styleLink w:val="Imported Style 4"/>
    <w:lvl w:ilvl="0">
      <w:start w:val="1"/>
      <w:numFmt w:val="decimal"/>
      <w:suff w:val="tab"/>
      <w:lvlText w:val="%1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8">
    <w:multiLevelType w:val="hybridMultilevel"/>
    <w:numStyleLink w:val="Imported Style 5"/>
  </w:abstractNum>
  <w:abstractNum w:abstractNumId="9">
    <w:multiLevelType w:val="hybridMultilevel"/>
    <w:styleLink w:val="Imported Style 5"/>
    <w:lvl w:ilvl="0">
      <w:start w:val="1"/>
      <w:numFmt w:val="decimal"/>
      <w:suff w:val="tab"/>
      <w:lvlText w:val="%1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0">
    <w:multiLevelType w:val="hybridMultilevel"/>
    <w:numStyleLink w:val="Imported Style 6"/>
  </w:abstractNum>
  <w:abstractNum w:abstractNumId="11">
    <w:multiLevelType w:val="hybridMultilevel"/>
    <w:styleLink w:val="Imported Style 6"/>
    <w:lvl w:ilvl="0">
      <w:start w:val="1"/>
      <w:numFmt w:val="decimal"/>
      <w:suff w:val="tab"/>
      <w:lvlText w:val="%1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2">
    <w:multiLevelType w:val="hybridMultilevel"/>
    <w:numStyleLink w:val="Imported Style 7"/>
  </w:abstractNum>
  <w:abstractNum w:abstractNumId="13">
    <w:multiLevelType w:val="hybridMultilevel"/>
    <w:styleLink w:val="Imported Style 7"/>
    <w:lvl w:ilvl="0">
      <w:start w:val="1"/>
      <w:numFmt w:val="decimal"/>
      <w:suff w:val="tab"/>
      <w:lvlText w:val="%1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7"/>
  </w:num>
  <w:num w:numId="8">
    <w:abstractNumId w:val="6"/>
  </w:num>
  <w:num w:numId="9">
    <w:abstractNumId w:val="9"/>
  </w:num>
  <w:num w:numId="10">
    <w:abstractNumId w:val="8"/>
  </w:num>
  <w:num w:numId="11">
    <w:abstractNumId w:val="11"/>
  </w:num>
  <w:num w:numId="12">
    <w:abstractNumId w:val="10"/>
  </w:num>
  <w:num w:numId="13">
    <w:abstractNumId w:val="13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Heading"/>
    <w:pPr>
      <w:keepNext w:val="0"/>
      <w:keepLines w:val="0"/>
      <w:pageBreakBefore w:val="0"/>
      <w:widowControl w:val="1"/>
      <w:pBdr>
        <w:top w:val="nil"/>
        <w:left w:val="nil"/>
        <w:bottom w:val="single" w:color="2e75b6" w:sz="6" w:space="0" w:shadow="0" w:frame="0"/>
        <w:right w:val="nil"/>
      </w:pBdr>
      <w:shd w:val="clear" w:color="auto" w:fill="auto"/>
      <w:suppressAutoHyphens w:val="0"/>
      <w:bidi w:val="0"/>
      <w:spacing w:before="400" w:after="160" w:line="240" w:lineRule="auto"/>
      <w:ind w:left="0" w:right="0" w:firstLine="0"/>
      <w:jc w:val="left"/>
      <w:outlineLvl w:val="0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1a3a5c"/>
      <w:spacing w:val="0"/>
      <w:kern w:val="0"/>
      <w:position w:val="0"/>
      <w:sz w:val="32"/>
      <w:szCs w:val="32"/>
      <w:u w:val="none" w:color="1a3a5c"/>
      <w:shd w:val="nil" w:color="auto" w:fill="auto"/>
      <w:vertAlign w:val="baseline"/>
      <w:lang w:val="en-US"/>
      <w14:textOutline>
        <w14:noFill/>
      </w14:textOutline>
      <w14:textFill>
        <w14:solidFill>
          <w14:srgbClr w14:val="1A3A5C"/>
        </w14:solidFill>
      </w14:textFill>
    </w:rPr>
  </w:style>
  <w:style w:type="paragraph" w:styleId="Heading 2">
    <w:name w:val="Heading 2"/>
    <w:next w:val="Heading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280" w:after="120" w:line="240" w:lineRule="auto"/>
      <w:ind w:left="0" w:right="0" w:firstLine="0"/>
      <w:jc w:val="left"/>
      <w:outlineLvl w:val="1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2e75b6"/>
      <w:spacing w:val="0"/>
      <w:kern w:val="0"/>
      <w:position w:val="0"/>
      <w:sz w:val="26"/>
      <w:szCs w:val="26"/>
      <w:u w:val="none" w:color="2e75b6"/>
      <w:shd w:val="nil" w:color="auto" w:fill="auto"/>
      <w:vertAlign w:val="baseline"/>
      <w:lang w:val="de-DE"/>
      <w14:textOutline>
        <w14:noFill/>
      </w14:textOutline>
      <w14:textFill>
        <w14:solidFill>
          <w14:srgbClr w14:val="2E75B6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paragraph" w:styleId="Heading 3">
    <w:name w:val="Heading 3"/>
    <w:next w:val="Heading 3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200" w:after="80" w:line="240" w:lineRule="auto"/>
      <w:ind w:left="0" w:right="0" w:firstLine="0"/>
      <w:jc w:val="left"/>
      <w:outlineLvl w:val="2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333333"/>
      <w:spacing w:val="0"/>
      <w:kern w:val="0"/>
      <w:position w:val="0"/>
      <w:sz w:val="23"/>
      <w:szCs w:val="23"/>
      <w:u w:val="none" w:color="333333"/>
      <w:shd w:val="nil" w:color="auto" w:fill="auto"/>
      <w:vertAlign w:val="baseline"/>
      <w:lang w:val="en-US"/>
      <w14:textOutline>
        <w14:noFill/>
      </w14:textOutline>
      <w14:textFill>
        <w14:solidFill>
          <w14:srgbClr w14:val="333333"/>
        </w14:solidFill>
      </w14:textFill>
    </w:rPr>
  </w:style>
  <w:style w:type="numbering" w:styleId="Imported Style 2">
    <w:name w:val="Imported Style 2"/>
    <w:pPr>
      <w:numPr>
        <w:numId w:val="3"/>
      </w:numPr>
    </w:pPr>
  </w:style>
  <w:style w:type="numbering" w:styleId="Imported Style 3">
    <w:name w:val="Imported Style 3"/>
    <w:pPr>
      <w:numPr>
        <w:numId w:val="5"/>
      </w:numPr>
    </w:pPr>
  </w:style>
  <w:style w:type="numbering" w:styleId="Imported Style 4">
    <w:name w:val="Imported Style 4"/>
    <w:pPr>
      <w:numPr>
        <w:numId w:val="7"/>
      </w:numPr>
    </w:pPr>
  </w:style>
  <w:style w:type="numbering" w:styleId="Imported Style 5">
    <w:name w:val="Imported Style 5"/>
    <w:pPr>
      <w:numPr>
        <w:numId w:val="9"/>
      </w:numPr>
    </w:pPr>
  </w:style>
  <w:style w:type="numbering" w:styleId="Imported Style 6">
    <w:name w:val="Imported Style 6"/>
    <w:pPr>
      <w:numPr>
        <w:numId w:val="11"/>
      </w:numPr>
    </w:pPr>
  </w:style>
  <w:style w:type="numbering" w:styleId="Imported Style 7">
    <w:name w:val="Imported Style 7"/>
    <w:pPr>
      <w:numPr>
        <w:numId w:val="1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