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color w:val="1F3864"/>
          <w:sz w:val="56"/>
        </w:rPr>
        <w:t>RISK MITIGATION PLANNING</w:t>
      </w:r>
    </w:p>
    <w:p>
      <w:pPr>
        <w:pStyle w:val="Normal"/>
        <w:jc w:val="center"/>
        <w:rPr/>
      </w:pPr>
      <w:r>
        <w:rPr>
          <w:color w:val="2E74B5"/>
          <w:sz w:val="32"/>
        </w:rPr>
        <w:t>Enterprise Identity Security Platform (EISP)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</w:rPr>
        <w:t xml:space="preserve">Document ID: </w:t>
      </w:r>
      <w:r>
        <w:rPr/>
        <w:t>RSK-EISP-04</w:t>
      </w:r>
    </w:p>
    <w:p>
      <w:pPr>
        <w:pStyle w:val="Normal"/>
        <w:jc w:val="center"/>
        <w:rPr/>
      </w:pPr>
      <w:r>
        <w:rPr>
          <w:b/>
        </w:rPr>
        <w:t xml:space="preserve">Version: </w:t>
      </w:r>
      <w:r>
        <w:rPr/>
        <w:t>1.0</w:t>
      </w:r>
    </w:p>
    <w:p>
      <w:pPr>
        <w:pStyle w:val="Normal"/>
        <w:jc w:val="center"/>
        <w:rPr/>
      </w:pPr>
      <w:r>
        <w:rPr>
          <w:b/>
        </w:rPr>
        <w:t xml:space="preserve">Date: </w:t>
      </w:r>
      <w:r>
        <w:rPr/>
        <w:t>October 2026</w:t>
      </w:r>
    </w:p>
    <w:p>
      <w:pPr>
        <w:pStyle w:val="Normal"/>
        <w:jc w:val="center"/>
        <w:rPr/>
      </w:pPr>
      <w:r>
        <w:rPr>
          <w:b/>
        </w:rPr>
        <w:t xml:space="preserve">Prepared by: </w:t>
      </w:r>
      <w:r>
        <w:rPr/>
        <w:t>Manisha Gupta</w:t>
      </w:r>
    </w:p>
    <w:p>
      <w:pPr>
        <w:pStyle w:val="Normal"/>
        <w:jc w:val="center"/>
        <w:rPr/>
      </w:pPr>
      <w:r>
        <w:rPr>
          <w:b/>
        </w:rPr>
        <w:t xml:space="preserve">Classification: </w:t>
      </w:r>
      <w:r>
        <w:rPr/>
        <w:t>Internal</w:t>
      </w:r>
    </w:p>
    <w:p>
      <w:pPr>
        <w:pStyle w:val="Normal"/>
        <w:jc w:val="center"/>
        <w:rPr/>
      </w:pPr>
      <w:r>
        <w:rPr>
          <w:b/>
        </w:rPr>
        <w:t xml:space="preserve">Source register: </w:t>
      </w:r>
      <w:r>
        <w:rPr/>
        <w:t>EISP-RR-003 (EISP Risk Register)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Executive Summary</w:t>
      </w:r>
    </w:p>
    <w:p>
      <w:pPr>
        <w:pStyle w:val="Normal"/>
        <w:rPr/>
      </w:pPr>
      <w:r>
        <w:rPr>
          <w:b w:val="false"/>
          <w:i w:val="false"/>
        </w:rPr>
        <w:t>This document presents the risk mitigation plan for the Enterprise Identity Security Platform (EISP) — the Authentik-based identity provider and Terraform-managed AWS IAM environment built as an IAM-engineer hands-on project. It operationalizes the risks recorded in the EISP Risk Register (EISP-RR-003) by selecting controls from two industry frameworks — NIST Cybersecurity Framework (CSF) 2.0 and ISO/IEC 27001:2022 Annex A — applying all four risk treatment strategies (mitigate, avoid, transfer, accept), and calculating residual risk after control implementation.</w:t>
      </w:r>
    </w:p>
    <w:p>
      <w:pPr>
        <w:pStyle w:val="Normal"/>
        <w:rPr/>
      </w:pPr>
      <w:r>
        <w:rPr>
          <w:b w:val="false"/>
          <w:i w:val="false"/>
        </w:rPr>
        <w:t>Six risks rated HIGH or CRITICAL drive this plan: credential theft (RR-001), privilege escalation (RR-002), hardcoded secrets exposure (RR-003), MFA fatigue attacks (RR-004), Vault token compromise (RR-005), and detection-rule gaps (RR-010). Three of these are directly evidenced in the project's own configuration files (a hardcoded LDAP service token and AUTHENTIK_INSECURE=true in docker-compose.yml; the worker container running as root with the Docker socket mounted), which makes mitigation concrete rather than theoretical.</w:t>
      </w:r>
    </w:p>
    <w:p>
      <w:pPr>
        <w:pStyle w:val="Normal"/>
        <w:rPr/>
      </w:pPr>
      <w:r>
        <w:rPr>
          <w:b/>
          <w:i w:val="false"/>
        </w:rPr>
        <w:t>Key outcomes of this plan:</w:t>
      </w:r>
    </w:p>
    <w:p>
      <w:pPr>
        <w:pStyle w:val="ListBullet"/>
        <w:numPr>
          <w:ilvl w:val="0"/>
          <w:numId w:val="1"/>
        </w:numPr>
        <w:rPr/>
      </w:pPr>
      <w:r>
        <w:rPr/>
        <w:t>18 framework controls selected (NIST CSF 2.0 + ISO 27001:2022), each with rationale and cost-benefit analysis.</w:t>
      </w:r>
    </w:p>
    <w:p>
      <w:pPr>
        <w:pStyle w:val="ListBullet"/>
        <w:numPr>
          <w:ilvl w:val="0"/>
          <w:numId w:val="1"/>
        </w:numPr>
        <w:rPr/>
      </w:pPr>
      <w:r>
        <w:rPr/>
        <w:t>A prioritized 6-month mitigation roadmap split into quick wins (0–30 days) and strategic initiatives (1–6 months).</w:t>
      </w:r>
    </w:p>
    <w:p>
      <w:pPr>
        <w:pStyle w:val="ListBullet"/>
        <w:numPr>
          <w:ilvl w:val="0"/>
          <w:numId w:val="1"/>
        </w:numPr>
        <w:rPr/>
      </w:pPr>
      <w:r>
        <w:rPr/>
        <w:t>Residual risk recalculated for every top risk; all CRITICAL inherent risks are reduced to MEDIUM or lower.</w:t>
      </w:r>
    </w:p>
    <w:p>
      <w:pPr>
        <w:pStyle w:val="ListBullet"/>
        <w:numPr>
          <w:ilvl w:val="0"/>
          <w:numId w:val="1"/>
        </w:numPr>
        <w:rPr/>
      </w:pPr>
      <w:r>
        <w:rPr/>
        <w:t>Control effectiveness metrics and monitoring procedures aligned to the register's Monitoring SOP, so mitigation stays verifiable over time.</w:t>
      </w:r>
    </w:p>
    <w:p>
      <w:pPr>
        <w:pStyle w:val="Heading1"/>
        <w:rPr/>
      </w:pPr>
      <w:r>
        <w:rPr/>
        <w:t>2. Control Selection Using Industry Frameworks</w:t>
      </w:r>
    </w:p>
    <w:p>
      <w:pPr>
        <w:pStyle w:val="Heading2"/>
        <w:rPr/>
      </w:pPr>
      <w:r>
        <w:rPr/>
        <w:t>2.1 Selection Methodology</w:t>
      </w:r>
    </w:p>
    <w:p>
      <w:pPr>
        <w:pStyle w:val="Normal"/>
        <w:rPr/>
      </w:pPr>
      <w:r>
        <w:rPr>
          <w:b w:val="false"/>
          <w:i w:val="false"/>
        </w:rPr>
        <w:t>Controls were selected in four steps:</w:t>
      </w:r>
    </w:p>
    <w:p>
      <w:pPr>
        <w:pStyle w:val="ListBullet"/>
        <w:numPr>
          <w:ilvl w:val="0"/>
          <w:numId w:val="1"/>
        </w:numPr>
        <w:rPr/>
      </w:pPr>
      <w:r>
        <w:rPr/>
        <w:t>Step 1 — Map each top risk to the attack technique or weakness it represents (MITRE ATT&amp;CK IDs are taken from EISP-RR-003).</w:t>
      </w:r>
    </w:p>
    <w:p>
      <w:pPr>
        <w:pStyle w:val="ListBullet"/>
        <w:numPr>
          <w:ilvl w:val="0"/>
          <w:numId w:val="1"/>
        </w:numPr>
        <w:rPr/>
      </w:pPr>
      <w:r>
        <w:rPr/>
        <w:t>Step 2 — Identify candidate controls in NIST CSF 2.0 (Govern, Identify, Protect, Detect, Respond, Recover) and ISO/IEC 27001:2022 Annex A that directly address the technique.</w:t>
      </w:r>
    </w:p>
    <w:p>
      <w:pPr>
        <w:pStyle w:val="ListBullet"/>
        <w:numPr>
          <w:ilvl w:val="0"/>
          <w:numId w:val="1"/>
        </w:numPr>
        <w:rPr/>
      </w:pPr>
      <w:r>
        <w:rPr/>
        <w:t>Step 3 — Score each candidate on relevance, coverage overlap with controls already present in EISP (e.g., the Terraform permission boundary), and implementation cost.</w:t>
      </w:r>
    </w:p>
    <w:p>
      <w:pPr>
        <w:pStyle w:val="ListBullet"/>
        <w:numPr>
          <w:ilvl w:val="0"/>
          <w:numId w:val="1"/>
        </w:numPr>
        <w:rPr/>
      </w:pPr>
      <w:r>
        <w:rPr/>
        <w:t>Step 4 — Record rationale and cost-benefit; prefer controls that are native to Authentik/AWS/Terraform (low cost, high leverage) before buying new tooling.</w:t>
      </w:r>
    </w:p>
    <w:p>
      <w:pPr>
        <w:pStyle w:val="Normal"/>
        <w:rPr/>
      </w:pPr>
      <w:r>
        <w:rPr>
          <w:b w:val="false"/>
          <w:i/>
        </w:rPr>
        <w:t>All cost figures below are illustrative estimates for a lab/small-team deployment, not vendor quotes.</w:t>
      </w:r>
    </w:p>
    <w:p>
      <w:pPr>
        <w:pStyle w:val="Heading2"/>
        <w:rPr/>
      </w:pPr>
      <w:r>
        <w:rPr/>
        <w:t>2.2 NIST Cybersecurity Framework 2.0 — Selected Controls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NIST CSF 2.0 Control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 Name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Detailed Rationale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PR.AC-07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Multi-factor authentication is implemented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Directly counters credential theft (T1566/T1110): even with a stolen password, the attacker cannot complete Authentik authentication. Authentik supports WebAuthn/TOTP natively, so this is a configuration change, not a purchase.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DE.CM-01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Networks, platforms, and services are monitored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Impossible-travel and failed-login monitoring in Wazuh/Authentik event logs detects stolen-credential use. Complements PR.AC-07 with detection when prevention is bypassed.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PR.AC-04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Access permissions are managed with least privilege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The Terraform EISP-PermissionBoundary already implements this; the control formalizes keeping it attached to every role and reviewing the three RBAC policies (Developer, SecurityAnalyst, IAMEngineer) quarterly.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PR.AC-01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Identities and credentials are managed for authorized users, services, and hardware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Covers the SAML federation trust (authentik-saml with SAML:aud condition) and 4-hour STS session limits already in main.tf — ensures federated identities cannot exceed intended scope.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PR.DS-01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Confidentiality of data-at-rest is protected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Secrets (LDAP token, DB passwords, Authentik secret key) must not live in plaintext compose files or git history; requires migration to a secrets manager (Vault) and encrypted .env handling.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PR.PS-01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Policy-driven configuration of platforms is maintained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docker-compose.yml is infrastructure-as-code and must be scanned (pre-commit hooks, Trufflehog) so hardcoded secrets like AUTHENTIK_TOKEN cannot be reintroduced.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PR.AC-07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Multi-factor authentication (number matching, rate limits)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Number-matching MFA plus push rate-limiting (max 3 per 5 minutes) defeats fatigue attacks (T1621) where users approve out of frustration.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PR.AC-04 / PR.DS-01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Least privilege + secret confidentiality for Vault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Root token revoked after bootstrap; AppRole secret_id TTL 24h with use-limit 5; Vault audit logging enabled — bounds the blast radius of any single token.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DE.CM-01 / DE.CM-03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Monitoring for adverse events; personnel activity monitored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Closes detection gaps (T1562.001): the six mandatory Wazuh rules (MFA spikes, self-policy modification, impossible travel) must exist, be tested with simulated events, and be reviewed monthly.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RR-001–005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GV.OC-01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Organizational mission and stakeholders understood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Governance control: assigns the IAM Engineer / DevSecOps owners from the risk register and defines escalation to the Security Lead, so every technical control has an accountable owner.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ISO/IEC 27001:2022 Annex A — Selected Controls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ISO 27001:2022 Control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 Name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Detailed Rationale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A.8.5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Secure authentication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Normative basis for MFA enforcement in Authentik and account lockout after 5 failed attempts — the primary RR-001 mitigations.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A.5.17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Authentication information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Requires secure allocation, storage, and rotation of authentication secrets; underpins the 'rotate all credentials on suspected compromise' procedure.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A.5.18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Access rights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Requires provisioning, review, and removal of access rights per least privilege — implemented via the Terraform RBAC roles plus quarterly recertification.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A.5.15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Access control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Policy-level requirement that access to EISP (Authentik admin, AWS console, LDAP) follows the documented access-control policy, including the us-east-1-only permission boundary.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A.8.9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Configuration management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Hardcoded AUTHENTIK_TOKEN violates secure configuration; requires secrets moved out of compose files into Vault and config baselines versioned in git.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A.8.5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Secure authentication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Number-matching and push rate limits are the ISO-recognized hardening of MFA against fatigue/social-engineering bypass.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A.6.3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Information security awareness, education and training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Users must be trained never to approve unexpected MFA prompts and to report them — the human layer of the RR-004 mitigation.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A.8.15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Logging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Vault audit logging (who accessed which secret path, when) is required to detect token misuse; feeds the weekly Vault audit-log review in the Monitoring SOP.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A.8.16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Monitoring activities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Requires networks/systems/applications to be monitored for anomalies — the basis for the Wazuh detection-rule program and monthly coverage reviews.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RR-001–010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A.5.24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Incident management planning and preparation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Ensures the incident response procedures referenced by RR-001/RR-002 mitigations (credential rotation, containment) are documented, assigned, and tested.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2.4 Cost-Benefit Analysis</w:t>
      </w:r>
    </w:p>
    <w:p>
      <w:pPr>
        <w:pStyle w:val="Normal"/>
        <w:rPr/>
      </w:pPr>
      <w:r>
        <w:rPr>
          <w:b w:val="false"/>
          <w:i/>
        </w:rPr>
        <w:t>Costs are illustrative estimates for a lab/small-team deployment.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Control (framework)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Risk(s)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Illustrative Cost / Effort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Expected Risk Reduction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Enforce MFA + number matching (PR.AC-07 / A.8.5)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RR-001, RR-004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 — Authentik native; ~4 hours config + user enrollment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CRITICAL→MEDIUM; HIGH→MEDIUM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Rotate hardcoded LDAP token into Vault; set AUTHENTIK_INSECURE=false with LDAPS (PR.DS-01 / A.8.9)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Low–Medium — ~1 day incl. testing; Vault already in scope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HIGH→LOW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Pre-commit secret scanning: git-secrets + Trufflehog (PR.PS-01 / A.8.9)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 — free tooling; ~2 hours setup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Prevents recurrence; HIGH→LOW combined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Revoke Vault root token; AppRole TTL 24h + use-limit (PR.DS-01 / A.5.17)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 — ~2 hours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HIGH→LOW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Wazuh detection rules: MFA spike, self-policy mod, impossible travel (DE.CM / A.8.16)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RR-001, RR-002, RR-004, RR-010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 — ~3 days to write, test with simulated events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Closes HIGH detection gap; enables weekly reviews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P1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Quarterly access recertification incl. permission boundary check (PR.AC-04 / A.5.18)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 — ~4 hours/quarter (recurring)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CRITICAL→MEDIUM sustained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Run worker as non-root; remove docker.sock mount or scope it (PR.PS-01 / A.8.9)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Low–Medium — ~half day + regression test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Reduces container-escape blast radius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User awareness: MFA-prompt phishing reporting (PR.AT / A.6.3)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RR-001, RR-004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 — 1-hour session + one-pager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Reduces human-factor bypass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Remove whoami test app from production profile (Avoid — PR.PS-01)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Attack surface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Negligible — compose profile change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Eliminates an unnecessary exposed service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P2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Cyber insurance (Transfer)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Residual breach liability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Illustrative ~$2k–$5k/yr for small org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Financial transfer, not risk reduction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</w:rPr>
        <w:t>Rationale summary: the highest-ROI controls are all configuration changes in systems EISP already runs (Authentik, Terraform, Wazuh, Vault) — no new product purchases are required to move every CRITICAL risk down to MEDIUM or lower. Insurance (transfer) is deliberately ranked P3: it caps financial loss but does not reduce the likelihood or technical impact of an incident.</w:t>
      </w:r>
    </w:p>
    <w:p>
      <w:pPr>
        <w:pStyle w:val="Heading1"/>
        <w:rPr/>
      </w:pPr>
      <w:r>
        <w:rPr/>
        <w:t>3. Risk Treatment Options</w:t>
      </w:r>
    </w:p>
    <w:p>
      <w:pPr>
        <w:pStyle w:val="Normal"/>
        <w:rPr/>
      </w:pPr>
      <w:r>
        <w:rPr>
          <w:b w:val="false"/>
          <w:i w:val="false"/>
        </w:rPr>
        <w:t>Each top risk is assigned one of the four standard treatment strategies. The decision logic: treat risks with feasible, cost-effective controls via mitigation; eliminate risk sources that serve no business purpose via avoidance; shift financial consequences that cannot be engineered away via transfer; and formally accept only residual risks whose impact is tolerable and whose acceptance is signed off.</w:t>
      </w:r>
    </w:p>
    <w:p>
      <w:pPr>
        <w:pStyle w:val="Heading2"/>
        <w:rPr/>
      </w:pPr>
      <w:r>
        <w:rPr/>
        <w:t>3.1 Mitigate — Reduce Likelihood and/or Impact</w:t>
      </w:r>
    </w:p>
    <w:p>
      <w:pPr>
        <w:pStyle w:val="Normal"/>
        <w:rPr/>
      </w:pPr>
      <w:r>
        <w:rPr>
          <w:b w:val="false"/>
          <w:i w:val="false"/>
        </w:rPr>
        <w:t>Mitigation is the primary strategy for all CRITICAL and HIGH risks, using the controls selected in Section 2.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Mitigation Actions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Resource Requirements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 Credential Theft (CRITICAL)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 Enforce MFA (WebAuthn/TOTP) for all Authentik users.</w:t>
              <w:br/>
              <w:t>2. Account lockout after 5 failed attempts.</w:t>
              <w:br/>
              <w:t>3. Wazuh impossible-travel + failed-login rules; daily sign-in log review.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Weeks 1–2: MFA enforcement + lockout.</w:t>
              <w:br/>
              <w:t>Weeks 3–4: detection rules live.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 (~3 days); Wazuh already deployed; no license cost.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 Privilege Escalation (CRITICAL)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 Keep EISP-PermissionBoundary attached to all roles (already in Terraform).</w:t>
              <w:br/>
              <w:t>2. Wazuh alert on AttachRolePolicy/CreateRole outside change log.</w:t>
              <w:br/>
              <w:t>3. JIT elevation for privileged roles (4h STS sessions already configured).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 2: detection rule.</w:t>
              <w:br/>
              <w:t>Month 2: JIT workflow documented.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 (~2 days); Security Analyst for rule testing.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 Hardcoded Secrets (HIGH)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 Rotate the hardcoded AUTHENTIK_TOKEN immediately; store in Vault.</w:t>
              <w:br/>
              <w:t>2. Set AUTHENTIK_INSECURE=false and terminate LDAP with TLS (LDAPS on 636).</w:t>
              <w:br/>
              <w:t>3. Install git-secrets pre-commit hooks; Trufflehog scan of repo history.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Days 1–3: rotation + LDAPS.</w:t>
              <w:br/>
              <w:t>Week 2: scanning in CI.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 (~2 days); Vault in scope.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RR-004 MFA Fatigue (HIGH)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 Enable number matching on push MFA.</w:t>
              <w:br/>
              <w:t>2. Rate limit: max 3 pushes per 5 minutes.</w:t>
              <w:br/>
              <w:t>3. Wazuh MFA-spike detection; user reporting training.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 3: Authentik policy change.</w:t>
              <w:br/>
              <w:t>Month 2: training session.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 (~1 day); 1-hour user training.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RR-005 Vault Token Compromise (HIGH)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 Revoke Vault root token after bootstrap.</w:t>
              <w:br/>
              <w:t>2. AppRole secret_id TTL 24h, use-limit 5.</w:t>
              <w:br/>
              <w:t>3. Weekly Vault audit-log review.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 1: token hygiene.</w:t>
              <w:br/>
              <w:t>Ongoing: weekly reviews.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 (~1 day).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RR-010 Detection Gaps (HIGH)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1. Implement the 6 mandatory Wazuh rules.</w:t>
              <w:br/>
              <w:t>2. Test each with a simulated event before sign-off.</w:t>
              <w:br/>
              <w:t>3. Monthly rule-coverage review.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1: rules live + tested.</w:t>
              <w:br/>
              <w:t>Ongoing: monthly reviews.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 Analyst (~3 days).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Avoid — Eliminate the Risk Source</w:t>
      </w:r>
    </w:p>
    <w:p>
      <w:pPr>
        <w:pStyle w:val="Normal"/>
        <w:rPr/>
      </w:pPr>
      <w:r>
        <w:rPr>
          <w:b w:val="false"/>
          <w:i w:val="false"/>
        </w:rPr>
        <w:t>Avoidance is used where a risk source provides no production value and can simply be removed.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Avoidance Action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 Eliminated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Resource Requirements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Remove the whoami test application from the production Docker Compose profile (keep it in a dev-only profile).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Unnecessary exposed HTTP service that expands the attack surface and could leak deployment details.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Day 1 — single compose-file change.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 (~30 minutes); regression test of remaining services.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Bind the LDAP outpost to the internal Docker network only; do not publish port 389/636 to the host unless a specific consumer requires it.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Internet-adjacent cleartext LDAP exposure (compounded by AUTHENTIK_INSECURE=true).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 1 — compose network change + consumer verification.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 (~2 hours).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3.3 Transfer — Shift Financial Consequences</w:t>
      </w:r>
    </w:p>
    <w:p>
      <w:pPr>
        <w:pStyle w:val="Normal"/>
        <w:rPr/>
      </w:pPr>
      <w:r>
        <w:rPr>
          <w:b w:val="false"/>
          <w:i w:val="false"/>
        </w:rPr>
        <w:t>Transfer does not reduce the probability of an incident; it caps the financial impact to the organization.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Transfer Mechanism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Is Transferred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Resource Requirements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Cyber insurance policy (illustrative small-organization policy).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Breach response costs: forensics, notification, legal, and third-party liability arising from an identity-platform compromise.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2–3: broker engagement, application, underwriting.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Illustrative ~$2k–$5k/year premium; requires completed MFA + logging controls for insurability (underwriters ask).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Cloud shared-responsibility model (AWS).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Physical security, hypervisor patching, and facility resilience for the AWS-hosted components — contractually with the provider via SLA.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Already in effect via AWS account.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None incremental; verify SLA terms annually.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</w:rPr>
        <w:t>Note: transfer is complementary to mitigation, never a substitute — an insurer will not pay out if gross negligence (e.g., no MFA, hardcoded secrets) caused the loss.</w:t>
      </w:r>
    </w:p>
    <w:p>
      <w:pPr>
        <w:pStyle w:val="Heading2"/>
        <w:rPr/>
      </w:pPr>
      <w:r>
        <w:rPr/>
        <w:t>3.4 Accept — Formally Acknowledge Residual Risk</w:t>
      </w:r>
    </w:p>
    <w:p>
      <w:pPr>
        <w:pStyle w:val="Normal"/>
        <w:rPr/>
      </w:pPr>
      <w:r>
        <w:rPr>
          <w:b w:val="false"/>
          <w:i w:val="false"/>
        </w:rPr>
        <w:t>Acceptance is documented, time-bound, and signed — never implicit.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Accepted Risk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Justification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Conditions &amp; Review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Sign-off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Residual risk of single-host Docker deployment for the lab (availability; no HA).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Lab/educational scope; cost of multi-AZ HA outweighs the availability impact for a non-production identity lab.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Accepted until next semester review or any production use — whichever comes first. Revisit if EISP moves toward production.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Owner signature + date.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RR-006 OpenCTI resource exhaustion (MEDIUM) — partial acceptance with mitigation.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Peripheral to the IAM mission; Docker Desktop resource allocation is the practical control.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Monitor Docker RAM at each deployment (per the Monitoring SOP); escalate if utilization exceeds 90%.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 sign-off.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A risk acceptance record captures: risk ID, description, residual score, justification, expiry/review date, and approver signature. Accepted risks remain on the register and are re-evaluated at each review cycle.</w:t>
      </w:r>
    </w:p>
    <w:p>
      <w:pPr>
        <w:pStyle w:val="Heading2"/>
        <w:rPr/>
      </w:pPr>
      <w:r>
        <w:rPr/>
        <w:t>3.5 Treatment Decision Summary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Inherent Rating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Treatment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Primary Owner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Credential Theft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Privilege Escalation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Secrets Exposure (hardcoded)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Fatigue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Vault Token Compromise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Detection Rule Gaps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Mitigate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 Analyst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whoami test app exposure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Avoid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Breach financial liability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Transfer (insurance)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Owner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Single-host lab availability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Accept (time-bound)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Owner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4. Comprehensive Mitigation Strategy</w:t>
      </w:r>
    </w:p>
    <w:p>
      <w:pPr>
        <w:pStyle w:val="Heading2"/>
        <w:rPr/>
      </w:pPr>
      <w:r>
        <w:rPr/>
        <w:t>4.1 Strategy Statement</w:t>
      </w:r>
    </w:p>
    <w:p>
      <w:pPr>
        <w:pStyle w:val="Normal"/>
        <w:rPr/>
      </w:pPr>
      <w:r>
        <w:rPr>
          <w:b w:val="false"/>
          <w:i w:val="false"/>
        </w:rPr>
        <w:t>EISP's mitigation strategy is: "Harden the identity plane first, because every other system's security depends on it — using native Authentik, AWS, and Terraform controls before any new spending, with detection and formal acceptance closing the remaining gaps." This aligns to the business objectives below.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Business Objective</w:t>
            </w:r>
          </w:p>
        </w:tc>
        <w:tc>
          <w:tcPr>
            <w:tcW w:w="431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How Mitigation Serves It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Demonstrate production-grade IAM engineering skills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MFA, RBAC, permission boundaries, and audited procedures are exactly what hiring managers assess.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Keep the lab operable and low-cost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All P1 controls are configuration changes (~2–3 weeks total effort); no new licenses.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Produce auditable evidence for the cohort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Every mitigation generates an artifact (policy export, scan report, signed acceptance) suitable for assessment.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Prepare EISP for production-like rigor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LDAPS, secret hygiene, and detection rules are the delta between 'lab demo' and 'deployable'.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Prioritized Roadmap</w:t>
      </w:r>
    </w:p>
    <w:tbl>
      <w:tblPr>
        <w:tblStyle w:val="TableGrid"/>
        <w:tblW w:w="8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#</w:t>
            </w:r>
          </w:p>
        </w:tc>
        <w:tc>
          <w:tcPr>
            <w:tcW w:w="1233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Initiative</w:t>
            </w:r>
          </w:p>
        </w:tc>
        <w:tc>
          <w:tcPr>
            <w:tcW w:w="1235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Objective Alignment</w:t>
            </w:r>
          </w:p>
        </w:tc>
        <w:tc>
          <w:tcPr>
            <w:tcW w:w="1233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Owner</w:t>
            </w:r>
          </w:p>
        </w:tc>
        <w:tc>
          <w:tcPr>
            <w:tcW w:w="1235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Timeline</w:t>
            </w:r>
          </w:p>
        </w:tc>
        <w:tc>
          <w:tcPr>
            <w:tcW w:w="1233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Dependencies</w:t>
            </w:r>
          </w:p>
        </w:tc>
        <w:tc>
          <w:tcPr>
            <w:tcW w:w="1234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Success Criteria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Rotate hardcoded LDAP token; enable LDAPS (AUTHENTIK_INSECURE=false)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Production rigor; auditable evidence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Days 1–3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Vault available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unique per environment; TLS verified on 636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Enforce MFA + lockout in Authentik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skills; lab operability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Weeks 1–2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100% human users enrolled; lockout tested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Vault token hygiene (revoke root; TTLs)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Production rigor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 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No root token in use; audit log clean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Wazuh detection rules (6 mandatory) + simulated-event testing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Auditable evidence; detection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 Analyst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Wazuh deployed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All 6 rules fire on synthetic events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git-secrets + Trufflehog in workflow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Prevent recurrence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 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Clean scan of history; hook blocks test commit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Worker non-root; scope docker.sock; remove whoami from prod profile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Attack-surface reduction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Regression test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Compose diff reviewed; services healthy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Quarterly access recertification process live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Sustained least privilege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2–3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First recertification signed off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Number matching + push rate limits + user training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resilience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enforced (2)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Training delivered; 0 blind approvals in test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Cyber-insurance evaluation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Financial transfer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Owner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2–3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Controls 1–4 complete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Quote obtained; decision recorded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Formalize risk acceptances; integrate register into monthly reviews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Governance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System Owner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 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—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Signed acceptances filed; review cadence in calendar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4.3 Quick Wins vs. Strategic Initiatives</w:t>
      </w:r>
    </w:p>
    <w:p>
      <w:pPr>
        <w:pStyle w:val="Normal"/>
        <w:rPr/>
      </w:pPr>
      <w:r>
        <w:rPr>
          <w:b/>
          <w:i w:val="false"/>
        </w:rPr>
        <w:t>Quick wins (0–30 days) — high impact, minimal effort:</w:t>
      </w:r>
    </w:p>
    <w:p>
      <w:pPr>
        <w:pStyle w:val="ListBullet"/>
        <w:numPr>
          <w:ilvl w:val="0"/>
          <w:numId w:val="1"/>
        </w:numPr>
        <w:rPr/>
      </w:pPr>
      <w:r>
        <w:rPr/>
        <w:t>Rotate the hardcoded AUTHENTIK_TOKEN and move it to Vault (closes the single most embarrassing finding).</w:t>
      </w:r>
    </w:p>
    <w:p>
      <w:pPr>
        <w:pStyle w:val="ListBullet"/>
        <w:numPr>
          <w:ilvl w:val="0"/>
          <w:numId w:val="1"/>
        </w:numPr>
        <w:rPr/>
      </w:pPr>
      <w:r>
        <w:rPr/>
        <w:t>Enforce MFA and account lockout in Authentik (biggest single reduction in credential-theft risk).</w:t>
      </w:r>
    </w:p>
    <w:p>
      <w:pPr>
        <w:pStyle w:val="ListBullet"/>
        <w:numPr>
          <w:ilvl w:val="0"/>
          <w:numId w:val="1"/>
        </w:numPr>
        <w:rPr/>
      </w:pPr>
      <w:r>
        <w:rPr/>
        <w:t>Revoke the Vault root token and set AppRole TTLs.</w:t>
      </w:r>
    </w:p>
    <w:p>
      <w:pPr>
        <w:pStyle w:val="ListBullet"/>
        <w:numPr>
          <w:ilvl w:val="0"/>
          <w:numId w:val="1"/>
        </w:numPr>
        <w:rPr/>
      </w:pPr>
      <w:r>
        <w:rPr/>
        <w:t>Remove whoami from the production compose profile.</w:t>
      </w:r>
    </w:p>
    <w:p>
      <w:pPr>
        <w:pStyle w:val="Normal"/>
        <w:rPr/>
      </w:pPr>
      <w:r>
        <w:rPr>
          <w:b/>
          <w:i w:val="false"/>
        </w:rPr>
        <w:t>Strategic initiatives (1–6 months) — structural improvements:</w:t>
      </w:r>
    </w:p>
    <w:p>
      <w:pPr>
        <w:pStyle w:val="ListBullet"/>
        <w:numPr>
          <w:ilvl w:val="0"/>
          <w:numId w:val="1"/>
        </w:numPr>
        <w:rPr/>
      </w:pPr>
      <w:r>
        <w:rPr/>
        <w:t>Full Wazuh detection program with tested rules and monthly coverage reviews.</w:t>
      </w:r>
    </w:p>
    <w:p>
      <w:pPr>
        <w:pStyle w:val="ListBullet"/>
        <w:numPr>
          <w:ilvl w:val="0"/>
          <w:numId w:val="1"/>
        </w:numPr>
        <w:rPr/>
      </w:pPr>
      <w:r>
        <w:rPr/>
        <w:t>Quarterly access recertification as a repeatable, evidenced process.</w:t>
      </w:r>
    </w:p>
    <w:p>
      <w:pPr>
        <w:pStyle w:val="ListBullet"/>
        <w:numPr>
          <w:ilvl w:val="0"/>
          <w:numId w:val="1"/>
        </w:numPr>
        <w:rPr/>
      </w:pPr>
      <w:r>
        <w:rPr/>
        <w:t>Container hardening (non-root worker, scoped docker socket).</w:t>
      </w:r>
    </w:p>
    <w:p>
      <w:pPr>
        <w:pStyle w:val="ListBullet"/>
        <w:numPr>
          <w:ilvl w:val="0"/>
          <w:numId w:val="1"/>
        </w:numPr>
        <w:rPr/>
      </w:pPr>
      <w:r>
        <w:rPr/>
        <w:t>Cyber-insurance decision and formal risk-acceptance governance.</w:t>
      </w:r>
    </w:p>
    <w:p>
      <w:pPr>
        <w:pStyle w:val="Heading1"/>
        <w:rPr/>
      </w:pPr>
      <w:r>
        <w:rPr/>
        <w:t>5. Residual Risk Calculation</w:t>
      </w:r>
    </w:p>
    <w:p>
      <w:pPr>
        <w:pStyle w:val="Heading2"/>
        <w:rPr/>
      </w:pPr>
      <w:r>
        <w:rPr/>
        <w:t>5.1 Scoring Method</w:t>
      </w:r>
    </w:p>
    <w:p>
      <w:pPr>
        <w:pStyle w:val="Normal"/>
        <w:rPr/>
      </w:pPr>
      <w:r>
        <w:rPr>
          <w:b w:val="false"/>
          <w:i w:val="false"/>
        </w:rPr>
        <w:t>Likelihood × Impact on a 5-point scale (1=Rare … 5=Almost Certain; 1=Negligible … 5=Catastrophic). Score 1–4 Low, 5–9 Medium, 10–14 High, 15–25 Critical — consistent with EISP-RR-003's qualitative ratings.</w:t>
      </w:r>
    </w:p>
    <w:tbl>
      <w:tblPr>
        <w:tblStyle w:val="TableGrid"/>
        <w:tblW w:w="863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234"/>
        <w:gridCol w:w="1233"/>
        <w:gridCol w:w="1235"/>
        <w:gridCol w:w="1233"/>
        <w:gridCol w:w="1235"/>
        <w:gridCol w:w="1233"/>
        <w:gridCol w:w="1234"/>
      </w:tblGrid>
      <w:tr>
        <w:trPr/>
        <w:tc>
          <w:tcPr>
            <w:tcW w:w="1234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 ID</w:t>
            </w:r>
          </w:p>
        </w:tc>
        <w:tc>
          <w:tcPr>
            <w:tcW w:w="1233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Risk</w:t>
            </w:r>
          </w:p>
        </w:tc>
        <w:tc>
          <w:tcPr>
            <w:tcW w:w="1235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Inherent (L×I)</w:t>
            </w:r>
          </w:p>
        </w:tc>
        <w:tc>
          <w:tcPr>
            <w:tcW w:w="1233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Inherent Level</w:t>
            </w:r>
          </w:p>
        </w:tc>
        <w:tc>
          <w:tcPr>
            <w:tcW w:w="1235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Applied Controls</w:t>
            </w:r>
          </w:p>
        </w:tc>
        <w:tc>
          <w:tcPr>
            <w:tcW w:w="1233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Residual (L×I)</w:t>
            </w:r>
          </w:p>
        </w:tc>
        <w:tc>
          <w:tcPr>
            <w:tcW w:w="1234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Residual Level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RR-001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Credential Theft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4×5=20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enforced (PR.AC-07/A.8.5); lockout; impossible-travel + failed-login detection (DE.CM-01/A.8.16); daily log review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2×5=10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Privilege Escalation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4×5=20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CRITICAL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Permission boundary on all roles (PR.AC-04/A.5.18); Wazuh self-modification alert; JIT 4h STS sessions; quarterly recertification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2×5=10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RR-003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Secrets Exposure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3×4=12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Token rotated to Vault; LDAPS enforced; git-secrets + Trufflehog (PR.DS-01, PR.PS-01 / A.8.9)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1×4=4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RR-004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Fatigue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3×4=12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Number matching; 3-push/5-min rate limit; Wazuh spike detection; user training (PR.AC-07 / A.8.5, A.6.3)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2×4=8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RR-005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Vault Token Compromise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2×5=10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Root token revoked; AppRole TTL 24h + use-limit 5; weekly audit-log review (PR.DS-01 / A.5.17, A.8.15)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1×5=5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RR-010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Detection Rule Gaps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3×4=12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HIGH</w:t>
            </w:r>
          </w:p>
        </w:tc>
        <w:tc>
          <w:tcPr>
            <w:tcW w:w="12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 mandatory Wazuh rules implemented and tested; monthly coverage review (DE.CM / A.8.16)</w:t>
            </w:r>
          </w:p>
        </w:tc>
        <w:tc>
          <w:tcPr>
            <w:tcW w:w="123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2×4=8</w:t>
            </w:r>
          </w:p>
        </w:tc>
        <w:tc>
          <w:tcPr>
            <w:tcW w:w="12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</w:rPr>
        <w:t>Result: both CRITICAL inherent risks are reduced to MEDIUM; no risk remains above MEDIUM after the plan. Impact stays high for identity risks (a compromised IdP is inherently severe) — mitigation buys this down through likelihood reduction, which is the correct lever when impact is structural.</w:t>
      </w:r>
    </w:p>
    <w:p>
      <w:pPr>
        <w:pStyle w:val="Heading2"/>
        <w:rPr/>
      </w:pPr>
      <w:r>
        <w:rPr/>
        <w:t>5.2 Control Effectiveness Measurements</w:t>
      </w:r>
    </w:p>
    <w:p>
      <w:pPr>
        <w:pStyle w:val="Normal"/>
        <w:rPr/>
      </w:pPr>
      <w:r>
        <w:rPr>
          <w:b w:val="false"/>
          <w:i w:val="false"/>
        </w:rPr>
        <w:t>Each control's effectiveness is measured, not assumed: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Metric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Target</w:t>
            </w:r>
          </w:p>
        </w:tc>
        <w:tc>
          <w:tcPr>
            <w:tcW w:w="2160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Measurement Method</w:t>
            </w:r>
          </w:p>
        </w:tc>
        <w:tc>
          <w:tcPr>
            <w:tcW w:w="2159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enrollment rate (human users)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100%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Authentik user report: users with MFA device / total active users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Mean time to rotate credentials after suspected compromise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&lt; 4 hours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Incident tickets: detection timestamp → rotation confirmation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 incident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% of AWS roles carrying the permission boundary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100%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Terraform plan + AWS IAM API audit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Access recertifications completed on 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100% quarterly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Signed recertification records vs. schedule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Quarterly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Secrets-scan findings in repo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Trufflehog full-history scan findings count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Wazuh mandatory rules firing on synthetic tests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6/6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Quarterly simulated-event test results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Quarterly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MFA push-approval anomalies (blind approvals)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Wazuh MFA-spike alerts + user reports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Overdue risk-review items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Risk register review dates vs. scheduled frequency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Monthly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5.3 Monitoring Procedures</w:t>
      </w:r>
    </w:p>
    <w:p>
      <w:pPr>
        <w:pStyle w:val="Normal"/>
        <w:rPr/>
      </w:pPr>
      <w:r>
        <w:rPr>
          <w:b w:val="false"/>
          <w:i w:val="false"/>
        </w:rPr>
        <w:t>Aligned to the Monitoring SOP sheet of EISP-RR-003 — what is watched, how often, by whom, and what triggers escalation: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What Is Monitored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How Often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By Whom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Alert Threshold</w:t>
            </w:r>
          </w:p>
        </w:tc>
        <w:tc>
          <w:tcPr>
            <w:tcW w:w="1728" w:type="dxa"/>
            <w:tcBorders/>
            <w:shd w:fill="1F386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Escalation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Authentik sign-in logs (failed logins, MFA anomalies)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Weekly (Monday)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&gt;5 failed MFA attempts for one user, or any impossible-travel alert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 → Security Lead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AWS CloudTrail: AttachRolePolicy / CreateRole events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Weekly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Any role-policy change not in the change log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IAM Engineer → Security Lead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Vault audit log (secret path access, token use)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Weekly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Root token usage, or unusual secret-path access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→ Security Lead (immediate)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Repository secret scan (Trufflehog)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Any credential found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Immediate rotation; IAM Engineer notified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Wazuh rule health + coverage review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Monthly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 Analyst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Rule silent &gt;30 days, or new ATT&amp;CK technique uncovered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Security Analyst → IAM Engineer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Risk register review cycle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 risk frequency (weekly/monthly)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Risk owners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Overdue review or new risk identified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Owner → System Owner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Docker host resource utilization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Per deployment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DevSecOps Engineer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RAM &gt; 90%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0"/>
                <w:szCs w:val="22"/>
                <w:lang w:val="en-US" w:eastAsia="en-US" w:bidi="ar-SA"/>
              </w:rPr>
              <w:t>Reduce workload or move to VM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i/>
        </w:rPr>
        <w:t>Monitoring outputs feed back into Section 5.2 metrics; any metric missing its target for two consecutive cycles re-opens the corresponding risk for re-treatment.</w:t>
      </w:r>
    </w:p>
    <w:p>
      <w:pPr>
        <w:pStyle w:val="Heading1"/>
        <w:rPr/>
      </w:pPr>
      <w:r>
        <w:rPr/>
        <w:t>6. Conclusion</w:t>
      </w:r>
    </w:p>
    <w:p>
      <w:pPr>
        <w:pStyle w:val="Normal"/>
        <w:rPr/>
      </w:pPr>
      <w:r>
        <w:rPr>
          <w:b w:val="false"/>
          <w:i w:val="false"/>
        </w:rPr>
        <w:t>This plan converts the EISP Risk Register from a list of worries into an executable program: 18 framework controls selected with explicit rationale, all four treatment strategies applied with EISP-specific examples, a 10-initiative roadmap sequenced over six months, and residual risk quantified for every top risk — with no risk left above MEDIUM. Because the highest-priority mitigations are configuration changes in systems already deployed (Authentik, Terraform, Wazuh, Vault), the plan is achievable within a lab team's effort budget while demonstrating the exact control-selection, treatment-decision, and residual-risk discipline expected of an IAM engineer operating under NIST CSF 2.0 and ISO/IEC 27001:2022.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b w:val="false"/>
          <w:i/>
        </w:rPr>
        <w:t>Next steps: execute the Day 1–3 quick wins (token rotation, MFA enforcement, Vault hygiene), stand up the weekly monitoring cadence, and file the first signed risk acceptance — momentum in the first two weeks determines whether the six-month roadmap holds.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800" w:right="1800" w:gutter="0" w:header="0" w:top="1440" w:footer="720" w:bottom="1440"/>
      <w:paperSrc w:first="0" w:oth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08080"/>
        <w:sz w:val="18"/>
      </w:rPr>
      <w:t xml:space="preserve">RSK-EISP-04  |  EISP Risk Mitigation Planning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808080"/>
        <w:sz w:val="18"/>
      </w:rPr>
      <w:t xml:space="preserve">RSK-EISP-04  |  EISP Risk Mitigation Planning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Manisha Gupta</dc:creator>
  <dc:description>generated by python-docx</dc:description>
  <dc:language>en-US</dc:language>
  <cp:lastModifiedBy/>
  <dcterms:modified xsi:type="dcterms:W3CDTF">2013-12-23T23:15:00Z</dcterms:modified>
  <cp:revision>1</cp:revision>
  <dc:subject/>
  <dc:title>Risk Mitigation Planning — EISP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