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Consolas" w:cs="Consolas" w:eastAsia="Consolas" w:hAnsi="Consolas"/>
          <w:b/>
          <w:bCs/>
          <w:color w:val="F96167"/>
          <w:spacing w:val="80"/>
          <w:sz w:val="24"/>
          <w:szCs w:val="24"/>
        </w:rPr>
        <w:t xml:space="preserve">EISP</w:t>
      </w:r>
    </w:p>
    <w:p>
      <w:pPr>
        <w:spacing w:after="240"/>
      </w:pPr>
      <w:r>
        <w:rPr>
          <w:rFonts w:ascii="Georgia" w:cs="Georgia" w:eastAsia="Georgia" w:hAnsi="Georgia"/>
          <w:b/>
          <w:bCs/>
          <w:color w:val="1E2761"/>
          <w:sz w:val="52"/>
          <w:szCs w:val="52"/>
        </w:rPr>
        <w:t xml:space="preserve">Enterprise Identity Security Platform</w:t>
      </w:r>
    </w:p>
    <w:p>
      <w:pPr>
        <w:spacing w:after="480"/>
      </w:pPr>
      <w:r>
        <w:rPr>
          <w:rFonts w:ascii="Calibri" w:cs="Calibri" w:eastAsia="Calibri" w:hAnsi="Calibri"/>
          <w:color w:val="64748B"/>
          <w:sz w:val="32"/>
          <w:szCs w:val="32"/>
        </w:rPr>
        <w:t xml:space="preserve">Phase 1 Showcase  ·  Speaker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r>
              <w:rPr>
                <w:rFonts w:ascii="Calibri" w:cs="Calibri" w:eastAsia="Calibri" w:hAnsi="Calibri"/>
                <w:color w:val="64748B"/>
                <w:sz w:val="20"/>
                <w:szCs w:val="20"/>
              </w:rPr>
              <w:t xml:space="preserve">Document ID</w:t>
            </w:r>
          </w:p>
        </w:tc>
        <w:tc>
          <w:tcPr>
            <w:tcW w:type="dxa" w:w="64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rFonts w:ascii="Calibri" w:cs="Calibri" w:eastAsia="Calibri" w:hAnsi="Calibri"/>
                <w:b/>
                <w:bCs/>
                <w:sz w:val="22"/>
                <w:szCs w:val="22"/>
              </w:rPr>
              <w:t xml:space="preserve">EISP-SCRIPT-001</w:t>
            </w:r>
          </w:p>
        </w:tc>
      </w:tr>
      <w:tr>
        <w:tc>
          <w:tcPr>
            <w:tcW w:type="dxa" w:w="288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r>
              <w:rPr>
                <w:rFonts w:ascii="Calibri" w:cs="Calibri" w:eastAsia="Calibri" w:hAnsi="Calibri"/>
                <w:color w:val="64748B"/>
                <w:sz w:val="20"/>
                <w:szCs w:val="20"/>
              </w:rPr>
              <w:t xml:space="preserve">Companion to</w:t>
            </w:r>
          </w:p>
        </w:tc>
        <w:tc>
          <w:tcPr>
            <w:tcW w:type="dxa" w:w="64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rFonts w:ascii="Calibri" w:cs="Calibri" w:eastAsia="Calibri" w:hAnsi="Calibri"/>
                <w:b/>
                <w:bCs/>
                <w:sz w:val="22"/>
                <w:szCs w:val="22"/>
              </w:rPr>
              <w:t xml:space="preserve">EISP_Phase1_Showcase.pptx</w:t>
            </w:r>
          </w:p>
        </w:tc>
      </w:tr>
      <w:tr>
        <w:tc>
          <w:tcPr>
            <w:tcW w:type="dxa" w:w="288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r>
              <w:rPr>
                <w:rFonts w:ascii="Calibri" w:cs="Calibri" w:eastAsia="Calibri" w:hAnsi="Calibri"/>
                <w:color w:val="64748B"/>
                <w:sz w:val="20"/>
                <w:szCs w:val="20"/>
              </w:rPr>
              <w:t xml:space="preserve">Version</w:t>
            </w:r>
          </w:p>
        </w:tc>
        <w:tc>
          <w:tcPr>
            <w:tcW w:type="dxa" w:w="64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rFonts w:ascii="Calibri" w:cs="Calibri" w:eastAsia="Calibri" w:hAnsi="Calibri"/>
                <w:b/>
                <w:bCs/>
                <w:sz w:val="22"/>
                <w:szCs w:val="22"/>
              </w:rPr>
              <w:t xml:space="preserve">1.0</w:t>
            </w:r>
          </w:p>
        </w:tc>
      </w:tr>
      <w:tr>
        <w:tc>
          <w:tcPr>
            <w:tcW w:type="dxa" w:w="288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r>
              <w:rPr>
                <w:rFonts w:ascii="Calibri" w:cs="Calibri" w:eastAsia="Calibri" w:hAnsi="Calibri"/>
                <w:color w:val="64748B"/>
                <w:sz w:val="20"/>
                <w:szCs w:val="20"/>
              </w:rPr>
              <w:t xml:space="preserve">Date</w:t>
            </w:r>
          </w:p>
        </w:tc>
        <w:tc>
          <w:tcPr>
            <w:tcW w:type="dxa" w:w="64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rFonts w:ascii="Calibri" w:cs="Calibri" w:eastAsia="Calibri" w:hAnsi="Calibri"/>
                <w:b/>
                <w:bCs/>
                <w:sz w:val="22"/>
                <w:szCs w:val="22"/>
              </w:rPr>
              <w:t xml:space="preserve">13 May 2026</w:t>
            </w:r>
          </w:p>
        </w:tc>
      </w:tr>
      <w:tr>
        <w:tc>
          <w:tcPr>
            <w:tcW w:type="dxa" w:w="288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r>
              <w:rPr>
                <w:rFonts w:ascii="Calibri" w:cs="Calibri" w:eastAsia="Calibri" w:hAnsi="Calibri"/>
                <w:color w:val="64748B"/>
                <w:sz w:val="20"/>
                <w:szCs w:val="20"/>
              </w:rPr>
              <w:t xml:space="preserve">Author</w:t>
            </w:r>
          </w:p>
        </w:tc>
        <w:tc>
          <w:tcPr>
            <w:tcW w:type="dxa" w:w="64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rFonts w:ascii="Calibri" w:cs="Calibri" w:eastAsia="Calibri" w:hAnsi="Calibri"/>
                <w:b/>
                <w:bCs/>
                <w:sz w:val="22"/>
                <w:szCs w:val="22"/>
              </w:rPr>
              <w:t xml:space="preserve">Manisha Gupta</w:t>
            </w:r>
          </w:p>
        </w:tc>
      </w:tr>
      <w:tr>
        <w:tc>
          <w:tcPr>
            <w:tcW w:type="dxa" w:w="288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r>
              <w:rPr>
                <w:rFonts w:ascii="Calibri" w:cs="Calibri" w:eastAsia="Calibri" w:hAnsi="Calibri"/>
                <w:color w:val="64748B"/>
                <w:sz w:val="20"/>
                <w:szCs w:val="20"/>
              </w:rPr>
              <w:t xml:space="preserve">Classification</w:t>
            </w:r>
          </w:p>
        </w:tc>
        <w:tc>
          <w:tcPr>
            <w:tcW w:type="dxa" w:w="64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rFonts w:ascii="Calibri" w:cs="Calibri" w:eastAsia="Calibri" w:hAnsi="Calibri"/>
                <w:b/>
                <w:bCs/>
                <w:sz w:val="22"/>
                <w:szCs w:val="22"/>
              </w:rPr>
              <w:t xml:space="preserve">CONFIDENTIAL — INTERNAL USE ONLY</w:t>
            </w:r>
          </w:p>
        </w:tc>
      </w:tr>
      <w:tr>
        <w:tc>
          <w:tcPr>
            <w:tcW w:type="dxa" w:w="288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r>
              <w:rPr>
                <w:rFonts w:ascii="Calibri" w:cs="Calibri" w:eastAsia="Calibri" w:hAnsi="Calibri"/>
                <w:color w:val="64748B"/>
                <w:sz w:val="20"/>
                <w:szCs w:val="20"/>
              </w:rPr>
              <w:t xml:space="preserve">Audience</w:t>
            </w:r>
          </w:p>
        </w:tc>
        <w:tc>
          <w:tcPr>
            <w:tcW w:type="dxa" w:w="64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rFonts w:ascii="Calibri" w:cs="Calibri" w:eastAsia="Calibri" w:hAnsi="Calibri"/>
                <w:b/>
                <w:bCs/>
                <w:sz w:val="22"/>
                <w:szCs w:val="22"/>
              </w:rPr>
              <w:t xml:space="preserve">DAE Tech Resource 2 — Cybersecurity IAM Cohort</w:t>
            </w:r>
          </w:p>
        </w:tc>
      </w:tr>
      <w:tr>
        <w:tc>
          <w:tcPr>
            <w:tcW w:type="dxa" w:w="2880"/>
            <w:tcBorders>
              <w:top w:val="single" w:color="E2E8F0" w:sz="4"/>
              <w:left w:val="single" w:color="E2E8F0" w:sz="4"/>
              <w:bottom w:val="single" w:color="E2E8F0" w:sz="4"/>
              <w:right w:val="single" w:color="E2E8F0" w:sz="4"/>
            </w:tcBorders>
            <w:shd w:fill="F8FAFC" w:val="clear"/>
            <w:tcMar>
              <w:top w:type="dxa" w:w="120"/>
              <w:left w:type="dxa" w:w="160"/>
              <w:bottom w:type="dxa" w:w="120"/>
              <w:right w:type="dxa" w:w="160"/>
            </w:tcMar>
          </w:tcPr>
          <w:p>
            <w:r>
              <w:rPr>
                <w:rFonts w:ascii="Calibri" w:cs="Calibri" w:eastAsia="Calibri" w:hAnsi="Calibri"/>
                <w:color w:val="64748B"/>
                <w:sz w:val="20"/>
                <w:szCs w:val="20"/>
              </w:rPr>
              <w:t xml:space="preserve">Duration</w:t>
            </w:r>
          </w:p>
        </w:tc>
        <w:tc>
          <w:tcPr>
            <w:tcW w:type="dxa" w:w="64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rFonts w:ascii="Calibri" w:cs="Calibri" w:eastAsia="Calibri" w:hAnsi="Calibri"/>
                <w:b/>
                <w:bCs/>
                <w:sz w:val="22"/>
                <w:szCs w:val="22"/>
              </w:rPr>
              <w:t xml:space="preserve">20–25 minutes presentation + 5–10 minutes Q&amp;A</w:t>
            </w:r>
          </w:p>
        </w:tc>
      </w:tr>
    </w:tbl>
    <w:p>
      <w:r>
        <w:br w:type="page"/>
      </w:r>
    </w:p>
    <w:p>
      <w:pPr>
        <w:pStyle w:val="Heading1"/>
        <w:spacing w:after="180" w:before="360"/>
      </w:pPr>
      <w:r>
        <w:rPr>
          <w:rFonts w:ascii="Georgia" w:cs="Georgia" w:eastAsia="Georgia" w:hAnsi="Georgia"/>
          <w:b/>
          <w:bCs/>
          <w:color w:val="1E2761"/>
          <w:sz w:val="32"/>
          <w:szCs w:val="32"/>
        </w:rPr>
        <w:t xml:space="preserve">How to use this script</w:t>
      </w:r>
    </w:p>
    <w:p>
      <w:pPr>
        <w:spacing w:after="120"/>
      </w:pPr>
      <w:r>
        <w:rPr>
          <w:rFonts w:ascii="Calibri" w:cs="Calibri" w:eastAsia="Calibri" w:hAnsi="Calibri"/>
          <w:sz w:val="22"/>
          <w:szCs w:val="22"/>
        </w:rPr>
        <w:t xml:space="preserve">This script is a guide, not a teleprompter. It captures the key points to hit on each slide, the order they flow in, and the tone to strike. Read it once or twice before presenting, then trust yourself in the room.</w:t>
      </w:r>
    </w:p>
    <w:p>
      <w:pPr>
        <w:spacing w:after="120"/>
      </w:pPr>
      <w:r>
        <w:rPr>
          <w:rFonts w:ascii="Calibri" w:cs="Calibri" w:eastAsia="Calibri" w:hAnsi="Calibri"/>
          <w:sz w:val="22"/>
          <w:szCs w:val="22"/>
        </w:rPr>
        <w:t xml:space="preserve">Each slide section contains:</w:t>
      </w:r>
    </w:p>
    <w:p>
      <w:pPr>
        <w:pStyle w:val="ListParagraph"/>
        <w:numPr>
          <w:ilvl w:val="0"/>
          <w:numId w:val="2"/>
        </w:numPr>
        <w:spacing w:after="80"/>
      </w:pPr>
      <w:r>
        <w:rPr>
          <w:rFonts w:ascii="Calibri" w:cs="Calibri" w:eastAsia="Calibri" w:hAnsi="Calibri"/>
          <w:sz w:val="22"/>
          <w:szCs w:val="22"/>
        </w:rPr>
        <w:t xml:space="preserve">OPENING — the first sentence to set up the slide.</w:t>
      </w:r>
    </w:p>
    <w:p>
      <w:pPr>
        <w:pStyle w:val="ListParagraph"/>
        <w:numPr>
          <w:ilvl w:val="0"/>
          <w:numId w:val="2"/>
        </w:numPr>
        <w:spacing w:after="80"/>
      </w:pPr>
      <w:r>
        <w:rPr>
          <w:rFonts w:ascii="Calibri" w:cs="Calibri" w:eastAsia="Calibri" w:hAnsi="Calibri"/>
          <w:sz w:val="22"/>
          <w:szCs w:val="22"/>
        </w:rPr>
        <w:t xml:space="preserve">KEY POINTS — what to cover, in roughly the order to cover them.</w:t>
      </w:r>
    </w:p>
    <w:p>
      <w:pPr>
        <w:pStyle w:val="ListParagraph"/>
        <w:numPr>
          <w:ilvl w:val="0"/>
          <w:numId w:val="2"/>
        </w:numPr>
        <w:spacing w:after="80"/>
      </w:pPr>
      <w:r>
        <w:rPr>
          <w:rFonts w:ascii="Calibri" w:cs="Calibri" w:eastAsia="Calibri" w:hAnsi="Calibri"/>
          <w:sz w:val="22"/>
          <w:szCs w:val="22"/>
        </w:rPr>
        <w:t xml:space="preserve">ANTICIPATED QUESTIONS — questions the audience may ask, with short answers.</w:t>
      </w:r>
    </w:p>
    <w:p>
      <w:pPr>
        <w:pStyle w:val="ListParagraph"/>
        <w:numPr>
          <w:ilvl w:val="0"/>
          <w:numId w:val="2"/>
        </w:numPr>
        <w:spacing w:after="80"/>
      </w:pPr>
      <w:r>
        <w:rPr>
          <w:rFonts w:ascii="Calibri" w:cs="Calibri" w:eastAsia="Calibri" w:hAnsi="Calibri"/>
          <w:sz w:val="22"/>
          <w:szCs w:val="22"/>
        </w:rPr>
        <w:t xml:space="preserve">TRANSITION — the bridge sentence to the next slide.</w:t>
      </w:r>
    </w:p>
    <w:p>
      <w:pPr>
        <w:pBdr>
          <w:left w:val="single" w:color="F96167" w:sz="24" w:space="8"/>
        </w:pBdr>
        <w:spacing w:after="120" w:before="120"/>
        <w:ind w:left="240"/>
      </w:pPr>
      <w:r>
        <w:rPr>
          <w:rFonts w:ascii="Calibri" w:cs="Calibri" w:eastAsia="Calibri" w:hAnsi="Calibri"/>
          <w:color w:val="1E293B"/>
          <w:sz w:val="22"/>
          <w:szCs w:val="22"/>
        </w:rPr>
        <w:t xml:space="preserve">Pacing rule of thumb: ~90 seconds per content slide. Spend longer on slides 5, 7, and 9 (architecture, RBAC, federation) — those carry the most weight.</w:t>
      </w:r>
    </w:p>
    <w:p>
      <w:pPr>
        <w:shd w:fill="1E2761" w:val="clear"/>
        <w:spacing w:after="80" w:before="320"/>
      </w:pPr>
      <w:r>
        <w:rPr>
          <w:rFonts w:ascii="Calibri" w:cs="Calibri" w:eastAsia="Calibri" w:hAnsi="Calibri"/>
          <w:b/>
          <w:bCs/>
          <w:color w:val="FFFFFF"/>
          <w:sz w:val="22"/>
          <w:szCs w:val="22"/>
        </w:rPr>
        <w:t xml:space="preserve">  SLIDE 1  ·  Title</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"Good [morning/afternoon] everyone. Thanks for being here. Today I'm walking you through what I've built so far on the Enterprise Identity Security Platform — EISP for short. This is the foundation of my 90-day capstone, and Phase 1 is now operational. By the end of this 20-minute walkthrough, you'll see how every login, every permission, and every audit log flows through one identity provider that I run from a Docker container on my laptop."</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Name yourself, the program, and the project shortname (EISP).</w:t>
      </w:r>
    </w:p>
    <w:p>
      <w:pPr>
        <w:pStyle w:val="ListParagraph"/>
        <w:numPr>
          <w:ilvl w:val="0"/>
          <w:numId w:val="2"/>
        </w:numPr>
        <w:spacing w:after="80"/>
      </w:pPr>
      <w:r>
        <w:rPr>
          <w:rFonts w:ascii="Calibri" w:cs="Calibri" w:eastAsia="Calibri" w:hAnsi="Calibri"/>
          <w:sz w:val="22"/>
          <w:szCs w:val="22"/>
        </w:rPr>
        <w:t xml:space="preserve">Frame the talk: Phase 1 of 3, identity foundation, built with free open-source tools.</w:t>
      </w:r>
    </w:p>
    <w:p>
      <w:pPr>
        <w:pStyle w:val="ListParagraph"/>
        <w:numPr>
          <w:ilvl w:val="0"/>
          <w:numId w:val="2"/>
        </w:numPr>
        <w:spacing w:after="80"/>
      </w:pPr>
      <w:r>
        <w:rPr>
          <w:rFonts w:ascii="Calibri" w:cs="Calibri" w:eastAsia="Calibri" w:hAnsi="Calibri"/>
          <w:sz w:val="22"/>
          <w:szCs w:val="22"/>
        </w:rPr>
        <w:t xml:space="preserve">Set the time expectation — 20 minutes, then Q&amp;A.</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"Here's what we'll cover today."</w:t>
      </w:r>
    </w:p>
    <w:p>
      <w:pPr>
        <w:shd w:fill="1E2761" w:val="clear"/>
        <w:spacing w:after="80" w:before="320"/>
      </w:pPr>
      <w:r>
        <w:rPr>
          <w:rFonts w:ascii="Calibri" w:cs="Calibri" w:eastAsia="Calibri" w:hAnsi="Calibri"/>
          <w:b/>
          <w:bCs/>
          <w:color w:val="FFFFFF"/>
          <w:sz w:val="22"/>
          <w:szCs w:val="22"/>
        </w:rPr>
        <w:t xml:space="preserve">  SLIDE 2  ·  Agenda</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"Five sections — and they build on each other. We start with why this matters, then I'll show you the architecture, walk through what's actually running in EISP today, hit the demo highlights, and close with what's next."</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Don't dwell on this slide — read it, signal the structure, move on. 30 seconds maximum.</w:t>
      </w:r>
    </w:p>
    <w:p>
      <w:pPr>
        <w:pStyle w:val="ListParagraph"/>
        <w:numPr>
          <w:ilvl w:val="0"/>
          <w:numId w:val="2"/>
        </w:numPr>
        <w:spacing w:after="80"/>
      </w:pPr>
      <w:r>
        <w:rPr>
          <w:rFonts w:ascii="Calibri" w:cs="Calibri" w:eastAsia="Calibri" w:hAnsi="Calibri"/>
          <w:sz w:val="22"/>
          <w:szCs w:val="22"/>
        </w:rPr>
        <w:t xml:space="preserve">Flag that you'll save Q&amp;A for the end so the flow isn't interrupted.</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"Let's start with why this matters."</w:t>
      </w:r>
    </w:p>
    <w:p>
      <w:pPr>
        <w:shd w:fill="1E2761" w:val="clear"/>
        <w:spacing w:after="80" w:before="320"/>
      </w:pPr>
      <w:r>
        <w:rPr>
          <w:rFonts w:ascii="Calibri" w:cs="Calibri" w:eastAsia="Calibri" w:hAnsi="Calibri"/>
          <w:b/>
          <w:bCs/>
          <w:color w:val="FFFFFF"/>
          <w:sz w:val="22"/>
          <w:szCs w:val="22"/>
        </w:rPr>
        <w:t xml:space="preserve">  SLIDE 3  ·  The identity problem</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"Eighty percent of breaches involve a compromised credential. Eighty percent. That's not a vendor scare-quote — that's Verizon's annual DBIR, and the number has been climbing for a decade. The average breach now costs $4.88 million and takes ten months to identify and contain."</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Anchor the stats — give the source so the numbers feel credible, not marketing.</w:t>
      </w:r>
    </w:p>
    <w:p>
      <w:pPr>
        <w:pStyle w:val="ListParagraph"/>
        <w:numPr>
          <w:ilvl w:val="0"/>
          <w:numId w:val="2"/>
        </w:numPr>
        <w:spacing w:after="80"/>
      </w:pPr>
      <w:r>
        <w:rPr>
          <w:rFonts w:ascii="Calibri" w:cs="Calibri" w:eastAsia="Calibri" w:hAnsi="Calibri"/>
          <w:sz w:val="22"/>
          <w:szCs w:val="22"/>
        </w:rPr>
        <w:t xml:space="preserve">Pivot from the stats to the legacy approach failures listed at the bottom. Read them, don't paraphrase — they map directly to what EISP solves.</w:t>
      </w:r>
    </w:p>
    <w:p>
      <w:pPr>
        <w:pStyle w:val="ListParagraph"/>
        <w:numPr>
          <w:ilvl w:val="0"/>
          <w:numId w:val="2"/>
        </w:numPr>
        <w:spacing w:after="80"/>
      </w:pPr>
      <w:r>
        <w:rPr>
          <w:rFonts w:ascii="Calibri" w:cs="Calibri" w:eastAsia="Calibri" w:hAnsi="Calibri"/>
          <w:sz w:val="22"/>
          <w:szCs w:val="22"/>
        </w:rPr>
        <w:t xml:space="preserve">Land the punch on "long-lived AWS access keys" — that's the example most cyber people have a war story about.</w:t>
      </w:r>
    </w:p>
    <w:p>
      <w:pPr>
        <w:pStyle w:val="Heading2"/>
        <w:spacing w:after="120" w:before="240"/>
      </w:pPr>
      <w:r>
        <w:rPr>
          <w:rFonts w:ascii="Georgia" w:cs="Georgia" w:eastAsia="Georgia" w:hAnsi="Georgia"/>
          <w:b/>
          <w:bCs/>
          <w:color w:val="1E2761"/>
          <w:sz w:val="26"/>
          <w:szCs w:val="26"/>
        </w:rPr>
        <w:t xml:space="preserve">Anticipated questions</w:t>
      </w:r>
    </w:p>
    <w:p>
      <w:pPr>
        <w:pStyle w:val="ListParagraph"/>
        <w:numPr>
          <w:ilvl w:val="0"/>
          <w:numId w:val="2"/>
        </w:numPr>
        <w:spacing w:after="80"/>
      </w:pPr>
      <w:r>
        <w:rPr>
          <w:rFonts w:ascii="Calibri" w:cs="Calibri" w:eastAsia="Calibri" w:hAnsi="Calibri"/>
          <w:sz w:val="22"/>
          <w:szCs w:val="22"/>
        </w:rPr>
        <w:t xml:space="preserve">Q: "Aren't these problems already solved by Okta or Entra?" — A: "They are, for enterprises that can afford them. EISP is a Zero Trust pattern built entirely with self-hosted tools, which is the lab-friendly path and what most security teams use to prototype before committing to vendor spend."</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"So that's the problem. Here's how EISP answers it."</w:t>
      </w:r>
    </w:p>
    <w:p>
      <w:pPr>
        <w:shd w:fill="1E2761" w:val="clear"/>
        <w:spacing w:after="80" w:before="320"/>
      </w:pPr>
      <w:r>
        <w:rPr>
          <w:rFonts w:ascii="Calibri" w:cs="Calibri" w:eastAsia="Calibri" w:hAnsi="Calibri"/>
          <w:b/>
          <w:bCs/>
          <w:color w:val="FFFFFF"/>
          <w:sz w:val="22"/>
          <w:szCs w:val="22"/>
        </w:rPr>
        <w:t xml:space="preserve">  SLIDE 4  ·  The EISP answer</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"Three Zero Trust principles, three answers. Never trust — that means centralized identity, no local accounts. Always verify — MFA on every login, federation everywhere. Assume breach — audit everything, scope permissions tightly."</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Walk left to right. One card, one sentence each. Don't read the cards verbatim — paraphrase them so it feels natural.</w:t>
      </w:r>
    </w:p>
    <w:p>
      <w:pPr>
        <w:pStyle w:val="ListParagraph"/>
        <w:numPr>
          <w:ilvl w:val="0"/>
          <w:numId w:val="2"/>
        </w:numPr>
        <w:spacing w:after="80"/>
      </w:pPr>
      <w:r>
        <w:rPr>
          <w:rFonts w:ascii="Calibri" w:cs="Calibri" w:eastAsia="Calibri" w:hAnsi="Calibri"/>
          <w:sz w:val="22"/>
          <w:szCs w:val="22"/>
        </w:rPr>
        <w:t xml:space="preserve">Emphasize "single source of truth" on the first card. Most identity disasters trace back to identities scattered across local accounts, shadow IT, and old IAM users.</w:t>
      </w:r>
    </w:p>
    <w:p>
      <w:pPr>
        <w:pStyle w:val="ListParagraph"/>
        <w:numPr>
          <w:ilvl w:val="0"/>
          <w:numId w:val="2"/>
        </w:numPr>
        <w:spacing w:after="80"/>
      </w:pPr>
      <w:r>
        <w:rPr>
          <w:rFonts w:ascii="Calibri" w:cs="Calibri" w:eastAsia="Calibri" w:hAnsi="Calibri"/>
          <w:sz w:val="22"/>
          <w:szCs w:val="22"/>
        </w:rPr>
        <w:t xml:space="preserve">On the third card, the words "permission boundaries" matter — flag that this is what stops a misattached policy from becoming an admin escalation.</w:t>
      </w:r>
    </w:p>
    <w:p>
      <w:pPr>
        <w:pStyle w:val="ListParagraph"/>
        <w:numPr>
          <w:ilvl w:val="0"/>
          <w:numId w:val="2"/>
        </w:numPr>
        <w:spacing w:after="80"/>
      </w:pPr>
      <w:r>
        <w:rPr>
          <w:rFonts w:ascii="Calibri" w:cs="Calibri" w:eastAsia="Calibri" w:hAnsi="Calibri"/>
          <w:sz w:val="22"/>
          <w:szCs w:val="22"/>
        </w:rPr>
        <w:t xml:space="preserve">Close on the line at the bottom: "free, open-source, self-hosted — no vendor lock-in." That's the differentiator.</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"Let me show you where authentik sits in the overall stack."</w:t>
      </w:r>
    </w:p>
    <w:p>
      <w:pPr>
        <w:shd w:fill="1E2761" w:val="clear"/>
        <w:spacing w:after="80" w:before="320"/>
      </w:pPr>
      <w:r>
        <w:rPr>
          <w:rFonts w:ascii="Calibri" w:cs="Calibri" w:eastAsia="Calibri" w:hAnsi="Calibri"/>
          <w:b/>
          <w:bCs/>
          <w:color w:val="FFFFFF"/>
          <w:sz w:val="22"/>
          <w:szCs w:val="22"/>
        </w:rPr>
        <w:t xml:space="preserve">  SLIDE 5  ·  Where authentik sits</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"This is the architecture in one picture. Three sources of identity feed into authentik at the top. authentik then issues SAML assertions or JWT tokens that downstream systems trust — AWS, the applications themselves, and the audit layer. Everything runs inside the EISP VPC at 10.0.0.0/16."</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Trace the flow top to bottom with your finger or pointer — humans, services, machines all go through authentik.</w:t>
      </w:r>
    </w:p>
    <w:p>
      <w:pPr>
        <w:pStyle w:val="ListParagraph"/>
        <w:numPr>
          <w:ilvl w:val="0"/>
          <w:numId w:val="2"/>
        </w:numPr>
        <w:spacing w:after="80"/>
      </w:pPr>
      <w:r>
        <w:rPr>
          <w:rFonts w:ascii="Calibri" w:cs="Calibri" w:eastAsia="Calibri" w:hAnsi="Calibri"/>
          <w:sz w:val="22"/>
          <w:szCs w:val="22"/>
        </w:rPr>
        <w:t xml:space="preserve">Call out the four authentik features in the middle band: SSO, MFA, Directory, Flows. Mention that Flows are authentik's policy engine — that's how MFA gets enforced.</w:t>
      </w:r>
    </w:p>
    <w:p>
      <w:pPr>
        <w:pStyle w:val="ListParagraph"/>
        <w:numPr>
          <w:ilvl w:val="0"/>
          <w:numId w:val="2"/>
        </w:numPr>
        <w:spacing w:after="80"/>
      </w:pPr>
      <w:r>
        <w:rPr>
          <w:rFonts w:ascii="Calibri" w:cs="Calibri" w:eastAsia="Calibri" w:hAnsi="Calibri"/>
          <w:sz w:val="22"/>
          <w:szCs w:val="22"/>
        </w:rPr>
        <w:t xml:space="preserve">On the way down, name the assertion type explicitly — "AWS gets a signed SAML assertion. Applications can get either SAML or an OIDC token depending on what they support."</w:t>
      </w:r>
    </w:p>
    <w:p>
      <w:pPr>
        <w:pStyle w:val="ListParagraph"/>
        <w:numPr>
          <w:ilvl w:val="0"/>
          <w:numId w:val="2"/>
        </w:numPr>
        <w:spacing w:after="80"/>
      </w:pPr>
      <w:r>
        <w:rPr>
          <w:rFonts w:ascii="Calibri" w:cs="Calibri" w:eastAsia="Calibri" w:hAnsi="Calibri"/>
          <w:sz w:val="22"/>
          <w:szCs w:val="22"/>
        </w:rPr>
        <w:t xml:space="preserve">Land on the VPC band: "Everything I've shown you sits inside one VPC, segmented into four subnets. That's the cloud infrastructure layer."</w:t>
      </w:r>
    </w:p>
    <w:p>
      <w:pPr>
        <w:pStyle w:val="Heading2"/>
        <w:spacing w:after="120" w:before="240"/>
      </w:pPr>
      <w:r>
        <w:rPr>
          <w:rFonts w:ascii="Georgia" w:cs="Georgia" w:eastAsia="Georgia" w:hAnsi="Georgia"/>
          <w:b/>
          <w:bCs/>
          <w:color w:val="1E2761"/>
          <w:sz w:val="26"/>
          <w:szCs w:val="26"/>
        </w:rPr>
        <w:t xml:space="preserve">Anticipated questions</w:t>
      </w:r>
    </w:p>
    <w:p>
      <w:pPr>
        <w:pStyle w:val="ListParagraph"/>
        <w:numPr>
          <w:ilvl w:val="0"/>
          <w:numId w:val="2"/>
        </w:numPr>
        <w:spacing w:after="80"/>
      </w:pPr>
      <w:r>
        <w:rPr>
          <w:rFonts w:ascii="Calibri" w:cs="Calibri" w:eastAsia="Calibri" w:hAnsi="Calibri"/>
          <w:sz w:val="22"/>
          <w:szCs w:val="22"/>
        </w:rPr>
        <w:t xml:space="preserve">Q: "What happens if authentik goes down?" — A: "Today it's a single point of failure — running on my laptop. In production you'd run it HA across multiple nodes with a load-balanced front-end. For the capstone scope, the resilience pattern is documented as a Phase 3 consideration."</w:t>
      </w:r>
    </w:p>
    <w:p>
      <w:pPr>
        <w:pStyle w:val="ListParagraph"/>
        <w:numPr>
          <w:ilvl w:val="0"/>
          <w:numId w:val="2"/>
        </w:numPr>
        <w:spacing w:after="80"/>
      </w:pPr>
      <w:r>
        <w:rPr>
          <w:rFonts w:ascii="Calibri" w:cs="Calibri" w:eastAsia="Calibri" w:hAnsi="Calibri"/>
          <w:sz w:val="22"/>
          <w:szCs w:val="22"/>
        </w:rPr>
        <w:t xml:space="preserve">Q: "Why not just use AWS IAM Identity Center?" — A: "That's a great answer if you're already AWS-only. EISP is designed to federate beyond AWS — it'd work the same way for Azure, on-prem apps, or any SAML/OIDC-capable system."</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"Let's drop into authentik itself."</w:t>
      </w:r>
    </w:p>
    <w:p>
      <w:pPr>
        <w:shd w:fill="1E2761" w:val="clear"/>
        <w:spacing w:after="80" w:before="320"/>
      </w:pPr>
      <w:r>
        <w:rPr>
          <w:rFonts w:ascii="Calibri" w:cs="Calibri" w:eastAsia="Calibri" w:hAnsi="Calibri"/>
          <w:b/>
          <w:bCs/>
          <w:color w:val="FFFFFF"/>
          <w:sz w:val="22"/>
          <w:szCs w:val="22"/>
        </w:rPr>
        <w:t xml:space="preserve">  SLIDE 6  ·  authentik deployment</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"authentik version 2026.2.2, running in Docker on a MacBook Air M4. PostgreSQL and Redis on the back, admin UI on localhost 9000, LDAP outpost serving directory queries on 8088. All three identity protocols are configured and tested."</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Walk the left column quickly — these are the deployment facts. Don't linger.</w:t>
      </w:r>
    </w:p>
    <w:p>
      <w:pPr>
        <w:pStyle w:val="ListParagraph"/>
        <w:numPr>
          <w:ilvl w:val="0"/>
          <w:numId w:val="2"/>
        </w:numPr>
        <w:spacing w:after="80"/>
      </w:pPr>
      <w:r>
        <w:rPr>
          <w:rFonts w:ascii="Calibri" w:cs="Calibri" w:eastAsia="Calibri" w:hAnsi="Calibri"/>
          <w:sz w:val="22"/>
          <w:szCs w:val="22"/>
        </w:rPr>
        <w:t xml:space="preserve">The right column is where the depth is. Three protocols, all live: SAML 2.0 for AWS Console, OIDC for application logins, LDAP for legacy directory clients.</w:t>
      </w:r>
    </w:p>
    <w:p>
      <w:pPr>
        <w:pStyle w:val="ListParagraph"/>
        <w:numPr>
          <w:ilvl w:val="0"/>
          <w:numId w:val="2"/>
        </w:numPr>
        <w:spacing w:after="80"/>
      </w:pPr>
      <w:r>
        <w:rPr>
          <w:rFonts w:ascii="Calibri" w:cs="Calibri" w:eastAsia="Calibri" w:hAnsi="Calibri"/>
          <w:sz w:val="22"/>
          <w:szCs w:val="22"/>
        </w:rPr>
        <w:t xml:space="preserve">On OIDC mention the client ID is "eisp-oidc-client" — that's the credential used during the demo.</w:t>
      </w:r>
    </w:p>
    <w:p>
      <w:pPr>
        <w:pStyle w:val="ListParagraph"/>
        <w:numPr>
          <w:ilvl w:val="0"/>
          <w:numId w:val="2"/>
        </w:numPr>
        <w:spacing w:after="80"/>
      </w:pPr>
      <w:r>
        <w:rPr>
          <w:rFonts w:ascii="Calibri" w:cs="Calibri" w:eastAsia="Calibri" w:hAnsi="Calibri"/>
          <w:sz w:val="22"/>
          <w:szCs w:val="22"/>
        </w:rPr>
        <w:t xml:space="preserve">Close on the green status bar: "all containers healthy, console accessible, MFA enforced on every flow."</w:t>
      </w:r>
    </w:p>
    <w:p>
      <w:pPr>
        <w:pStyle w:val="Heading2"/>
        <w:spacing w:after="120" w:before="240"/>
      </w:pPr>
      <w:r>
        <w:rPr>
          <w:rFonts w:ascii="Georgia" w:cs="Georgia" w:eastAsia="Georgia" w:hAnsi="Georgia"/>
          <w:b/>
          <w:bCs/>
          <w:color w:val="1E2761"/>
          <w:sz w:val="26"/>
          <w:szCs w:val="26"/>
        </w:rPr>
        <w:t xml:space="preserve">Anticipated questions</w:t>
      </w:r>
    </w:p>
    <w:p>
      <w:pPr>
        <w:pStyle w:val="ListParagraph"/>
        <w:numPr>
          <w:ilvl w:val="0"/>
          <w:numId w:val="2"/>
        </w:numPr>
        <w:spacing w:after="80"/>
      </w:pPr>
      <w:r>
        <w:rPr>
          <w:rFonts w:ascii="Calibri" w:cs="Calibri" w:eastAsia="Calibri" w:hAnsi="Calibri"/>
          <w:sz w:val="22"/>
          <w:szCs w:val="22"/>
        </w:rPr>
        <w:t xml:space="preserve">Q: "Why version 2026.2.2 specifically?" — A: "It's the current stable release with ARM64 support, which the M4 needs."</w:t>
      </w:r>
    </w:p>
    <w:p>
      <w:pPr>
        <w:pStyle w:val="ListParagraph"/>
        <w:numPr>
          <w:ilvl w:val="0"/>
          <w:numId w:val="2"/>
        </w:numPr>
        <w:spacing w:after="80"/>
      </w:pPr>
      <w:r>
        <w:rPr>
          <w:rFonts w:ascii="Calibri" w:cs="Calibri" w:eastAsia="Calibri" w:hAnsi="Calibri"/>
          <w:sz w:val="22"/>
          <w:szCs w:val="22"/>
        </w:rPr>
        <w:t xml:space="preserve">Q: "Why the LDAP outpost?" — A: "LDAP isn't going anywhere. Legacy apps that don't speak SAML or OIDC still need a directory. The outpost gives them one without weakening the authentik core."</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"Now let me show you the directory structure inside authentik."</w:t>
      </w:r>
    </w:p>
    <w:p>
      <w:pPr>
        <w:shd w:fill="1E2761" w:val="clear"/>
        <w:spacing w:after="80" w:before="320"/>
      </w:pPr>
      <w:r>
        <w:rPr>
          <w:rFonts w:ascii="Calibri" w:cs="Calibri" w:eastAsia="Calibri" w:hAnsi="Calibri"/>
          <w:b/>
          <w:bCs/>
          <w:color w:val="FFFFFF"/>
          <w:sz w:val="22"/>
          <w:szCs w:val="22"/>
        </w:rPr>
        <w:t xml:space="preserve">  SLIDE 7  ·  Users, groups, and RBAC</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"Three groups, seven test identities, and a deliberate mapping to AWS roles. The names matter here — every group starts with the EISP prefix so it's clear which identities are part of this platform."</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Read the three group cards on the left. The phrase to land on each: "Identity admin · No data access," "Build and deploy · No IAM," "Monitor and respond · No writes." Each group's scope is defined by what it can't do.</w:t>
      </w:r>
    </w:p>
    <w:p>
      <w:pPr>
        <w:pStyle w:val="ListParagraph"/>
        <w:numPr>
          <w:ilvl w:val="0"/>
          <w:numId w:val="2"/>
        </w:numPr>
        <w:spacing w:after="80"/>
      </w:pPr>
      <w:r>
        <w:rPr>
          <w:rFonts w:ascii="Calibri" w:cs="Calibri" w:eastAsia="Calibri" w:hAnsi="Calibri"/>
          <w:sz w:val="22"/>
          <w:szCs w:val="22"/>
        </w:rPr>
        <w:t xml:space="preserve">On the user table, point out the mix: real human admin (manisha.gupta), test users for each role, plus two service accounts — one for SCIM provisioning, one for the LDAP outpost binding.</w:t>
      </w:r>
    </w:p>
    <w:p>
      <w:pPr>
        <w:pStyle w:val="ListParagraph"/>
        <w:numPr>
          <w:ilvl w:val="0"/>
          <w:numId w:val="2"/>
        </w:numPr>
        <w:spacing w:after="80"/>
      </w:pPr>
      <w:r>
        <w:rPr>
          <w:rFonts w:ascii="Calibri" w:cs="Calibri" w:eastAsia="Calibri" w:hAnsi="Calibri"/>
          <w:sz w:val="22"/>
          <w:szCs w:val="22"/>
        </w:rPr>
        <w:t xml:space="preserve">Land on the principle line at the bottom: "Group membership in authentik maps directly to AWS IAM role assumption via SAML attribute statements." That's the single sentence to repeat slowly. It's the heart of how federation works in EISP.</w:t>
      </w:r>
    </w:p>
    <w:p>
      <w:pPr>
        <w:pStyle w:val="Heading2"/>
        <w:spacing w:after="120" w:before="240"/>
      </w:pPr>
      <w:r>
        <w:rPr>
          <w:rFonts w:ascii="Georgia" w:cs="Georgia" w:eastAsia="Georgia" w:hAnsi="Georgia"/>
          <w:b/>
          <w:bCs/>
          <w:color w:val="1E2761"/>
          <w:sz w:val="26"/>
          <w:szCs w:val="26"/>
        </w:rPr>
        <w:t xml:space="preserve">Anticipated questions</w:t>
      </w:r>
    </w:p>
    <w:p>
      <w:pPr>
        <w:pStyle w:val="ListParagraph"/>
        <w:numPr>
          <w:ilvl w:val="0"/>
          <w:numId w:val="2"/>
        </w:numPr>
        <w:spacing w:after="80"/>
      </w:pPr>
      <w:r>
        <w:rPr>
          <w:rFonts w:ascii="Calibri" w:cs="Calibri" w:eastAsia="Calibri" w:hAnsi="Calibri"/>
          <w:sz w:val="22"/>
          <w:szCs w:val="22"/>
        </w:rPr>
        <w:t xml:space="preserve">Q: "Why have a separate service account for LDAP?" — A: "Defense in depth. If the LDAP outpost is compromised, the blast radius is one service account with bind-only rights — not an admin token."</w:t>
      </w:r>
    </w:p>
    <w:p>
      <w:pPr>
        <w:pStyle w:val="ListParagraph"/>
        <w:numPr>
          <w:ilvl w:val="0"/>
          <w:numId w:val="2"/>
        </w:numPr>
        <w:spacing w:after="80"/>
      </w:pPr>
      <w:r>
        <w:rPr>
          <w:rFonts w:ascii="Calibri" w:cs="Calibri" w:eastAsia="Calibri" w:hAnsi="Calibri"/>
          <w:sz w:val="22"/>
          <w:szCs w:val="22"/>
        </w:rPr>
        <w:t xml:space="preserve">Q: "How do you stop someone from adding themselves to EISP-IAMEngineers?" — A: "In authentik, group membership changes require the akadmin role. On the AWS side, even if a policy was misattached, the EISP-PermissionBoundary prevents the privilege from materializing."</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"Groups are abstract. Let's look at the actual applications they have access to."</w:t>
      </w:r>
    </w:p>
    <w:p>
      <w:pPr>
        <w:shd w:fill="1E2761" w:val="clear"/>
        <w:spacing w:after="80" w:before="320"/>
      </w:pPr>
      <w:r>
        <w:rPr>
          <w:rFonts w:ascii="Calibri" w:cs="Calibri" w:eastAsia="Calibri" w:hAnsi="Calibri"/>
          <w:b/>
          <w:bCs/>
          <w:color w:val="FFFFFF"/>
          <w:sz w:val="22"/>
          <w:szCs w:val="22"/>
        </w:rPr>
        <w:t xml:space="preserve">  SLIDE 8  ·  Applications connected</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"Four applications live in authentik today. Two are test apps I built to validate the protocols. One is AWS itself. The fourth is a small forward-auth proxy demo. Each one trusts authentik — that's the key word — trusts authentik to vouch for who the user is."</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Top-left: eisp-oidc-test-app. The OIDC validation rig — proved the Authorization Code Flow works end-to-end.</w:t>
      </w:r>
    </w:p>
    <w:p>
      <w:pPr>
        <w:pStyle w:val="ListParagraph"/>
        <w:numPr>
          <w:ilvl w:val="0"/>
          <w:numId w:val="2"/>
        </w:numPr>
        <w:spacing w:after="80"/>
      </w:pPr>
      <w:r>
        <w:rPr>
          <w:rFonts w:ascii="Calibri" w:cs="Calibri" w:eastAsia="Calibri" w:hAnsi="Calibri"/>
          <w:sz w:val="22"/>
          <w:szCs w:val="22"/>
        </w:rPr>
        <w:t xml:space="preserve">Top-right: eisp-saml-test-app. Same idea for SAML — verified the signed assertion contains the right NameID and group claims.</w:t>
      </w:r>
    </w:p>
    <w:p>
      <w:pPr>
        <w:pStyle w:val="ListParagraph"/>
        <w:numPr>
          <w:ilvl w:val="0"/>
          <w:numId w:val="2"/>
        </w:numPr>
        <w:spacing w:after="80"/>
      </w:pPr>
      <w:r>
        <w:rPr>
          <w:rFonts w:ascii="Calibri" w:cs="Calibri" w:eastAsia="Calibri" w:hAnsi="Calibri"/>
          <w:sz w:val="22"/>
          <w:szCs w:val="22"/>
        </w:rPr>
        <w:t xml:space="preserve">Bottom-left: AWS Console (SAML). This is the production-relevant one. authentik metadata uploaded to AWS as an IAM Identity Provider, role trust policy allows AssumeRoleWithSAML.</w:t>
      </w:r>
    </w:p>
    <w:p>
      <w:pPr>
        <w:pStyle w:val="ListParagraph"/>
        <w:numPr>
          <w:ilvl w:val="0"/>
          <w:numId w:val="2"/>
        </w:numPr>
        <w:spacing w:after="80"/>
      </w:pPr>
      <w:r>
        <w:rPr>
          <w:rFonts w:ascii="Calibri" w:cs="Calibri" w:eastAsia="Calibri" w:hAnsi="Calibri"/>
          <w:sz w:val="22"/>
          <w:szCs w:val="22"/>
        </w:rPr>
        <w:t xml:space="preserve">Bottom-right: whoami. Proves the proxy/forward-auth pattern. Useful for protecting apps that have no native auth — you put authentik in front of them.</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"AWS is the most important integration. Let me show you exactly how that federation works."</w:t>
      </w:r>
    </w:p>
    <w:p>
      <w:pPr>
        <w:shd w:fill="1E2761" w:val="clear"/>
        <w:spacing w:after="80" w:before="320"/>
      </w:pPr>
      <w:r>
        <w:rPr>
          <w:rFonts w:ascii="Calibri" w:cs="Calibri" w:eastAsia="Calibri" w:hAnsi="Calibri"/>
          <w:b/>
          <w:bCs/>
          <w:color w:val="FFFFFF"/>
          <w:sz w:val="22"/>
          <w:szCs w:val="22"/>
        </w:rPr>
        <w:t xml:space="preserve">  SLIDE 9  ·  AWS federation — how it works</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"Five steps. The user clicks the AWS tile in authentik. They get challenged for MFA. authentik signs a SAML assertion. AWS STS exchanges that assertion for temporary credentials. The user lands in the console with exactly the permissions their role allows — and not one bit more."</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Walk the five steps in order. Don't skip ahead. Each step is one breath.</w:t>
      </w:r>
    </w:p>
    <w:p>
      <w:pPr>
        <w:pStyle w:val="ListParagraph"/>
        <w:numPr>
          <w:ilvl w:val="0"/>
          <w:numId w:val="2"/>
        </w:numPr>
        <w:spacing w:after="80"/>
      </w:pPr>
      <w:r>
        <w:rPr>
          <w:rFonts w:ascii="Calibri" w:cs="Calibri" w:eastAsia="Calibri" w:hAnsi="Calibri"/>
          <w:sz w:val="22"/>
          <w:szCs w:val="22"/>
        </w:rPr>
        <w:t xml:space="preserve">Step 4 is where most people get fuzzy. Explicit: "AssumeRoleWithSAML is the AWS API call. It returns temporary credentials — typically a four-hour STS token. There are no long-lived access keys for human users in EISP."</w:t>
      </w:r>
    </w:p>
    <w:p>
      <w:pPr>
        <w:pStyle w:val="ListParagraph"/>
        <w:numPr>
          <w:ilvl w:val="0"/>
          <w:numId w:val="2"/>
        </w:numPr>
        <w:spacing w:after="80"/>
      </w:pPr>
      <w:r>
        <w:rPr>
          <w:rFonts w:ascii="Calibri" w:cs="Calibri" w:eastAsia="Calibri" w:hAnsi="Calibri"/>
          <w:sz w:val="22"/>
          <w:szCs w:val="22"/>
        </w:rPr>
        <w:t xml:space="preserve">Then walk the attribute mapping table at the bottom. Same point repeated three times: authentik group → SAML attribute → AWS IAM role. Read one full row out loud, e.g. "Developers map to Role equals Developer in the SAML assertion, AWS sees that and grants EISP-Developer-Role, which is EC2 and S3 scoped with no IAM access."</w:t>
      </w:r>
    </w:p>
    <w:p>
      <w:pPr>
        <w:pBdr>
          <w:left w:val="single" w:color="F96167" w:sz="24" w:space="8"/>
        </w:pBdr>
        <w:spacing w:after="120" w:before="120"/>
        <w:ind w:left="240"/>
      </w:pPr>
      <w:r>
        <w:rPr>
          <w:rFonts w:ascii="Calibri" w:cs="Calibri" w:eastAsia="Calibri" w:hAnsi="Calibri"/>
          <w:color w:val="1E293B"/>
          <w:sz w:val="22"/>
          <w:szCs w:val="22"/>
        </w:rPr>
        <w:t xml:space="preserve">If anyone asks one question on this slide, this is the slide they'll ask it on. Slow down here.</w:t>
      </w:r>
    </w:p>
    <w:p>
      <w:pPr>
        <w:pStyle w:val="Heading2"/>
        <w:spacing w:after="120" w:before="240"/>
      </w:pPr>
      <w:r>
        <w:rPr>
          <w:rFonts w:ascii="Georgia" w:cs="Georgia" w:eastAsia="Georgia" w:hAnsi="Georgia"/>
          <w:b/>
          <w:bCs/>
          <w:color w:val="1E2761"/>
          <w:sz w:val="26"/>
          <w:szCs w:val="26"/>
        </w:rPr>
        <w:t xml:space="preserve">Anticipated questions</w:t>
      </w:r>
    </w:p>
    <w:p>
      <w:pPr>
        <w:pStyle w:val="ListParagraph"/>
        <w:numPr>
          <w:ilvl w:val="0"/>
          <w:numId w:val="2"/>
        </w:numPr>
        <w:spacing w:after="80"/>
      </w:pPr>
      <w:r>
        <w:rPr>
          <w:rFonts w:ascii="Calibri" w:cs="Calibri" w:eastAsia="Calibri" w:hAnsi="Calibri"/>
          <w:sz w:val="22"/>
          <w:szCs w:val="22"/>
        </w:rPr>
        <w:t xml:space="preserve">Q: "What stops someone from forging the SAML attribute?" — A: "The assertion is signed by authentik's X.509 certificate. AWS validates the signature against the metadata it has on file. Tamper with the assertion and the signature breaks."</w:t>
      </w:r>
    </w:p>
    <w:p>
      <w:pPr>
        <w:pStyle w:val="ListParagraph"/>
        <w:numPr>
          <w:ilvl w:val="0"/>
          <w:numId w:val="2"/>
        </w:numPr>
        <w:spacing w:after="80"/>
      </w:pPr>
      <w:r>
        <w:rPr>
          <w:rFonts w:ascii="Calibri" w:cs="Calibri" w:eastAsia="Calibri" w:hAnsi="Calibri"/>
          <w:sz w:val="22"/>
          <w:szCs w:val="22"/>
        </w:rPr>
        <w:t xml:space="preserve">Q: "What if a user is in two groups?" — A: "AWS shows a role chooser at login — you pick which role to assume for the session. The audit log captures the choice."</w:t>
      </w:r>
    </w:p>
    <w:p>
      <w:pPr>
        <w:pStyle w:val="ListParagraph"/>
        <w:numPr>
          <w:ilvl w:val="0"/>
          <w:numId w:val="2"/>
        </w:numPr>
        <w:spacing w:after="80"/>
      </w:pPr>
      <w:r>
        <w:rPr>
          <w:rFonts w:ascii="Calibri" w:cs="Calibri" w:eastAsia="Calibri" w:hAnsi="Calibri"/>
          <w:sz w:val="22"/>
          <w:szCs w:val="22"/>
        </w:rPr>
        <w:t xml:space="preserve">Q: "What about session length?" — A: "The role trust policy sets the max session duration. EISP uses four hours. After that the user re-authenticates through authentik."</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"That's how it works. Let me show you the totals."</w:t>
      </w:r>
    </w:p>
    <w:p>
      <w:pPr>
        <w:shd w:fill="1E2761" w:val="clear"/>
        <w:spacing w:after="80" w:before="320"/>
      </w:pPr>
      <w:r>
        <w:rPr>
          <w:rFonts w:ascii="Calibri" w:cs="Calibri" w:eastAsia="Calibri" w:hAnsi="Calibri"/>
          <w:b/>
          <w:bCs/>
          <w:color w:val="FFFFFF"/>
          <w:sz w:val="22"/>
          <w:szCs w:val="22"/>
        </w:rPr>
        <w:t xml:space="preserve">  SLIDE 10  ·  Phase 1 — by the numbers</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"Phase 1 in four numbers. Three RBAC groups. Seven test identities. Four applications integrated. Three authentication protocols live — SAML, OIDC, and LDAP."</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Read the four big numbers. Don't dwell. They're a scoreboard.</w:t>
      </w:r>
    </w:p>
    <w:p>
      <w:pPr>
        <w:pStyle w:val="ListParagraph"/>
        <w:numPr>
          <w:ilvl w:val="0"/>
          <w:numId w:val="2"/>
        </w:numPr>
        <w:spacing w:after="80"/>
      </w:pPr>
      <w:r>
        <w:rPr>
          <w:rFonts w:ascii="Calibri" w:cs="Calibri" w:eastAsia="Calibri" w:hAnsi="Calibri"/>
          <w:sz w:val="22"/>
          <w:szCs w:val="22"/>
        </w:rPr>
        <w:t xml:space="preserve">Then quickly walk the AWS infra grid — VPC, subnets, routing, security groups, the SAML IdP, the three IAM roles.</w:t>
      </w:r>
    </w:p>
    <w:p>
      <w:pPr>
        <w:pStyle w:val="ListParagraph"/>
        <w:numPr>
          <w:ilvl w:val="0"/>
          <w:numId w:val="2"/>
        </w:numPr>
        <w:spacing w:after="80"/>
      </w:pPr>
      <w:r>
        <w:rPr>
          <w:rFonts w:ascii="Calibri" w:cs="Calibri" w:eastAsia="Calibri" w:hAnsi="Calibri"/>
          <w:sz w:val="22"/>
          <w:szCs w:val="22"/>
        </w:rPr>
        <w:t xml:space="preserve">Land on the VPC ID — "vpc-0e9b0784. Everything I build in AWS goes into this VPC. That's the rule."</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"Here's what I can actually demo, live, after this presentation if anyone wants to see it."</w:t>
      </w:r>
    </w:p>
    <w:p>
      <w:pPr>
        <w:shd w:fill="1E2761" w:val="clear"/>
        <w:spacing w:after="80" w:before="320"/>
      </w:pPr>
      <w:r>
        <w:rPr>
          <w:rFonts w:ascii="Calibri" w:cs="Calibri" w:eastAsia="Calibri" w:hAnsi="Calibri"/>
          <w:b/>
          <w:bCs/>
          <w:color w:val="FFFFFF"/>
          <w:sz w:val="22"/>
          <w:szCs w:val="22"/>
        </w:rPr>
        <w:t xml:space="preserve">  SLIDE 11  ·  Demo highlights</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"Three workflows. Each one is end-to-end. I won't run them now — that's what office hours are for — but here's what each one proves."</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Demo 1 — OIDC flow. The pure protocol validation. Authorization code → token exchange → decoded JWT. Proves the OIDC integration works.</w:t>
      </w:r>
    </w:p>
    <w:p>
      <w:pPr>
        <w:pStyle w:val="ListParagraph"/>
        <w:numPr>
          <w:ilvl w:val="0"/>
          <w:numId w:val="2"/>
        </w:numPr>
        <w:spacing w:after="80"/>
      </w:pPr>
      <w:r>
        <w:rPr>
          <w:rFonts w:ascii="Calibri" w:cs="Calibri" w:eastAsia="Calibri" w:hAnsi="Calibri"/>
          <w:sz w:val="22"/>
          <w:szCs w:val="22"/>
        </w:rPr>
        <w:t xml:space="preserve">Demo 2 — SAML SSO into AWS. The headline demo. Same authentik login, but at the end you're inside the AWS Console with a temporary credential.</w:t>
      </w:r>
    </w:p>
    <w:p>
      <w:pPr>
        <w:pStyle w:val="ListParagraph"/>
        <w:numPr>
          <w:ilvl w:val="0"/>
          <w:numId w:val="2"/>
        </w:numPr>
        <w:spacing w:after="80"/>
      </w:pPr>
      <w:r>
        <w:rPr>
          <w:rFonts w:ascii="Calibri" w:cs="Calibri" w:eastAsia="Calibri" w:hAnsi="Calibri"/>
          <w:sz w:val="22"/>
          <w:szCs w:val="22"/>
        </w:rPr>
        <w:t xml:space="preserve">Demo 3 — RBAC enforcement. Two logins back to back: dev.test and analyst.test. Same IdP, dramatically different effective permissions. That's the punchline — "same identity provider, different effective permissions."</w:t>
      </w:r>
    </w:p>
    <w:p>
      <w:pPr>
        <w:pBdr>
          <w:left w:val="single" w:color="F96167" w:sz="24" w:space="8"/>
        </w:pBdr>
        <w:spacing w:after="120" w:before="120"/>
        <w:ind w:left="240"/>
      </w:pPr>
      <w:r>
        <w:rPr>
          <w:rFonts w:ascii="Calibri" w:cs="Calibri" w:eastAsia="Calibri" w:hAnsi="Calibri"/>
          <w:color w:val="1E293B"/>
          <w:sz w:val="22"/>
          <w:szCs w:val="22"/>
        </w:rPr>
        <w:t xml:space="preserve">Optional move: at this point in a live talk, you can pause and offer to do the SAML-to-AWS demo. If the audience wants it, switch to the browser. If not, keep moving.</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"This is what's running today. Here's where it's going next."</w:t>
      </w:r>
    </w:p>
    <w:p>
      <w:pPr>
        <w:shd w:fill="1E2761" w:val="clear"/>
        <w:spacing w:after="80" w:before="320"/>
      </w:pPr>
      <w:r>
        <w:rPr>
          <w:rFonts w:ascii="Calibri" w:cs="Calibri" w:eastAsia="Calibri" w:hAnsi="Calibri"/>
          <w:b/>
          <w:bCs/>
          <w:color w:val="FFFFFF"/>
          <w:sz w:val="22"/>
          <w:szCs w:val="22"/>
        </w:rPr>
        <w:t xml:space="preserve">  SLIDE 12  ·  What's next — automating identity lifecycle</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"Today I create users manually. The next big push is to automate the full identity lifecycle — Joiner, Mover, Leaver. JML is the standard pattern, and it's where the real value of an IAM platform shows up."</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Joiner — onboarding. A new hire signal triggers an authentik API call that provisions the user, assigns the right group, kicks off the MFA enrollment email, and AWS access falls out for free through the SAML group mapping. No manual IAM work.</w:t>
      </w:r>
    </w:p>
    <w:p>
      <w:pPr>
        <w:pStyle w:val="ListParagraph"/>
        <w:numPr>
          <w:ilvl w:val="0"/>
          <w:numId w:val="2"/>
        </w:numPr>
        <w:spacing w:after="80"/>
      </w:pPr>
      <w:r>
        <w:rPr>
          <w:rFonts w:ascii="Calibri" w:cs="Calibri" w:eastAsia="Calibri" w:hAnsi="Calibri"/>
          <w:sz w:val="22"/>
          <w:szCs w:val="22"/>
        </w:rPr>
        <w:t xml:space="preserve">Mover — role change. The hardest of the three to get right. The key word is "automatically" — old permissions don't linger. Audit log every transition.</w:t>
      </w:r>
    </w:p>
    <w:p>
      <w:pPr>
        <w:pStyle w:val="ListParagraph"/>
        <w:numPr>
          <w:ilvl w:val="0"/>
          <w:numId w:val="2"/>
        </w:numPr>
        <w:spacing w:after="80"/>
      </w:pPr>
      <w:r>
        <w:rPr>
          <w:rFonts w:ascii="Calibri" w:cs="Calibri" w:eastAsia="Calibri" w:hAnsi="Calibri"/>
          <w:sz w:val="22"/>
          <w:szCs w:val="22"/>
        </w:rPr>
        <w:t xml:space="preserve">Leaver — offboarding. Note this is out of scope for the showcase but documented in the plan. Disable in authentik, sessions revoke, SCIM deprovisioning fires, STS tokens expire within four hours, Vault rotates secrets.</w:t>
      </w:r>
    </w:p>
    <w:p>
      <w:pPr>
        <w:pBdr>
          <w:left w:val="single" w:color="F96167" w:sz="24" w:space="8"/>
        </w:pBdr>
        <w:spacing w:after="120" w:before="120"/>
        <w:ind w:left="240"/>
      </w:pPr>
      <w:r>
        <w:rPr>
          <w:rFonts w:ascii="Calibri" w:cs="Calibri" w:eastAsia="Calibri" w:hAnsi="Calibri"/>
          <w:color w:val="1E293B"/>
          <w:sz w:val="22"/>
          <w:szCs w:val="22"/>
        </w:rPr>
        <w:t xml:space="preserve">"Zero privilege creep — old access doesn't linger" is the line worth repeating. Privilege creep is the silent failure mode of every identity program.</w:t>
      </w:r>
    </w:p>
    <w:p>
      <w:pPr>
        <w:pStyle w:val="Heading2"/>
        <w:spacing w:after="120" w:before="240"/>
      </w:pPr>
      <w:r>
        <w:rPr>
          <w:rFonts w:ascii="Georgia" w:cs="Georgia" w:eastAsia="Georgia" w:hAnsi="Georgia"/>
          <w:b/>
          <w:bCs/>
          <w:color w:val="1E2761"/>
          <w:sz w:val="26"/>
          <w:szCs w:val="26"/>
        </w:rPr>
        <w:t xml:space="preserve">Anticipated questions</w:t>
      </w:r>
    </w:p>
    <w:p>
      <w:pPr>
        <w:pStyle w:val="ListParagraph"/>
        <w:numPr>
          <w:ilvl w:val="0"/>
          <w:numId w:val="2"/>
        </w:numPr>
        <w:spacing w:after="80"/>
      </w:pPr>
      <w:r>
        <w:rPr>
          <w:rFonts w:ascii="Calibri" w:cs="Calibri" w:eastAsia="Calibri" w:hAnsi="Calibri"/>
          <w:sz w:val="22"/>
          <w:szCs w:val="22"/>
        </w:rPr>
        <w:t xml:space="preserve">Q: "How are you triggering the joiner event?" — A: "For the capstone scope, a Python script reading a CSV. In production, the trigger is a SCIM push from the HR system."</w:t>
      </w:r>
    </w:p>
    <w:p>
      <w:pPr>
        <w:pStyle w:val="ListParagraph"/>
        <w:numPr>
          <w:ilvl w:val="0"/>
          <w:numId w:val="2"/>
        </w:numPr>
        <w:spacing w:after="80"/>
      </w:pPr>
      <w:r>
        <w:rPr>
          <w:rFonts w:ascii="Calibri" w:cs="Calibri" w:eastAsia="Calibri" w:hAnsi="Calibri"/>
          <w:sz w:val="22"/>
          <w:szCs w:val="22"/>
        </w:rPr>
        <w:t xml:space="preserve">Q: "What about the four-hour STS window — can a leaver still cause harm in those four hours?" — A: "Yes, which is why disabling in authentik is step one and Vault secret rotation is step two. The STS window is the residual exposure we accept in exchange for not killing the user mid-task."</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"That's JML. Here's the broader roadmap for the next 60 days."</w:t>
      </w:r>
    </w:p>
    <w:p>
      <w:pPr>
        <w:shd w:fill="1E2761" w:val="clear"/>
        <w:spacing w:after="80" w:before="320"/>
      </w:pPr>
      <w:r>
        <w:rPr>
          <w:rFonts w:ascii="Calibri" w:cs="Calibri" w:eastAsia="Calibri" w:hAnsi="Calibri"/>
          <w:b/>
          <w:bCs/>
          <w:color w:val="FFFFFF"/>
          <w:sz w:val="22"/>
          <w:szCs w:val="22"/>
        </w:rPr>
        <w:t xml:space="preserve">  SLIDE 13  ·  Roadmap — Phase 2 and beyond</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"Three phases, four weeks each. Phase 1 is what you just saw — Identity Foundation. Phase 2 is Identity Governance — that's JML, SCIM, dynamic secrets, passwordless. Phase 3 is Identity Security — Wazuh detection rules, OpenCTI threat intelligence, Kali offensive labs, and incident response drills."</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Don't list every item. The audience can read.</w:t>
      </w:r>
    </w:p>
    <w:p>
      <w:pPr>
        <w:pStyle w:val="ListParagraph"/>
        <w:numPr>
          <w:ilvl w:val="0"/>
          <w:numId w:val="2"/>
        </w:numPr>
        <w:spacing w:after="80"/>
      </w:pPr>
      <w:r>
        <w:rPr>
          <w:rFonts w:ascii="Calibri" w:cs="Calibri" w:eastAsia="Calibri" w:hAnsi="Calibri"/>
          <w:sz w:val="22"/>
          <w:szCs w:val="22"/>
        </w:rPr>
        <w:t xml:space="preserve">Emphasize the framework alignment at the bottom: NIST SP 800-61, NIST SP 800-53, ISO/IEC 27001, MITRE ATT&amp;CK, Zero Trust Architecture. These are the lenses the project is being graded against.</w:t>
      </w:r>
    </w:p>
    <w:p>
      <w:pPr>
        <w:pStyle w:val="ListParagraph"/>
        <w:numPr>
          <w:ilvl w:val="0"/>
          <w:numId w:val="2"/>
        </w:numPr>
        <w:spacing w:after="80"/>
      </w:pPr>
      <w:r>
        <w:rPr>
          <w:rFonts w:ascii="Calibri" w:cs="Calibri" w:eastAsia="Calibri" w:hAnsi="Calibri"/>
          <w:sz w:val="22"/>
          <w:szCs w:val="22"/>
        </w:rPr>
        <w:t xml:space="preserve">If asked which item is most at risk, say "OpenCTI deployment — it's resource-hungry and the Mac M4 has a hard memory ceiling. I have a fallback plan documented."</w:t>
      </w:r>
    </w:p>
    <w:p>
      <w:pPr>
        <w:pStyle w:val="Heading2"/>
        <w:spacing w:after="120" w:before="240"/>
      </w:pPr>
      <w:r>
        <w:rPr>
          <w:rFonts w:ascii="Georgia" w:cs="Georgia" w:eastAsia="Georgia" w:hAnsi="Georgia"/>
          <w:b/>
          <w:bCs/>
          <w:color w:val="1E2761"/>
          <w:sz w:val="26"/>
          <w:szCs w:val="26"/>
        </w:rPr>
        <w:t xml:space="preserve">Transition</w:t>
      </w:r>
    </w:p>
    <w:p>
      <w:pPr>
        <w:spacing w:after="120"/>
      </w:pPr>
      <w:r>
        <w:rPr>
          <w:rFonts w:ascii="Calibri" w:cs="Calibri" w:eastAsia="Calibri" w:hAnsi="Calibri"/>
          <w:color w:val="64748B"/>
          <w:sz w:val="20"/>
          <w:szCs w:val="20"/>
        </w:rPr>
        <w:t xml:space="preserve">"One sentence to close."</w:t>
      </w:r>
    </w:p>
    <w:p>
      <w:pPr>
        <w:shd w:fill="1E2761" w:val="clear"/>
        <w:spacing w:after="80" w:before="320"/>
      </w:pPr>
      <w:r>
        <w:rPr>
          <w:rFonts w:ascii="Calibri" w:cs="Calibri" w:eastAsia="Calibri" w:hAnsi="Calibri"/>
          <w:b/>
          <w:bCs/>
          <w:color w:val="FFFFFF"/>
          <w:sz w:val="22"/>
          <w:szCs w:val="22"/>
        </w:rPr>
        <w:t xml:space="preserve">  SLIDE 14  ·  Closing</w:t>
      </w:r>
    </w:p>
    <w:p>
      <w:pPr>
        <w:pStyle w:val="Heading2"/>
        <w:spacing w:after="120" w:before="240"/>
      </w:pPr>
      <w:r>
        <w:rPr>
          <w:rFonts w:ascii="Georgia" w:cs="Georgia" w:eastAsia="Georgia" w:hAnsi="Georgia"/>
          <w:b/>
          <w:bCs/>
          <w:color w:val="1E2761"/>
          <w:sz w:val="26"/>
          <w:szCs w:val="26"/>
        </w:rPr>
        <w:t xml:space="preserve">Opening</w:t>
      </w:r>
    </w:p>
    <w:p>
      <w:pPr>
        <w:spacing w:after="120"/>
      </w:pPr>
      <w:r>
        <w:rPr>
          <w:rFonts w:ascii="Calibri" w:cs="Calibri" w:eastAsia="Calibri" w:hAnsi="Calibri"/>
          <w:sz w:val="22"/>
          <w:szCs w:val="22"/>
        </w:rPr>
        <w:t xml:space="preserve">"Phase 1 of EISP in one sentence. Every identity has a home. Every login is verified. Every permission is bounded. Thank you — I'm happy to take any questions."</w:t>
      </w:r>
    </w:p>
    <w:p>
      <w:pPr>
        <w:pStyle w:val="Heading2"/>
        <w:spacing w:after="120" w:before="240"/>
      </w:pPr>
      <w:r>
        <w:rPr>
          <w:rFonts w:ascii="Georgia" w:cs="Georgia" w:eastAsia="Georgia" w:hAnsi="Georgia"/>
          <w:b/>
          <w:bCs/>
          <w:color w:val="1E2761"/>
          <w:sz w:val="26"/>
          <w:szCs w:val="26"/>
        </w:rPr>
        <w:t xml:space="preserve">Key points</w:t>
      </w:r>
    </w:p>
    <w:p>
      <w:pPr>
        <w:pStyle w:val="ListParagraph"/>
        <w:numPr>
          <w:ilvl w:val="0"/>
          <w:numId w:val="2"/>
        </w:numPr>
        <w:spacing w:after="80"/>
      </w:pPr>
      <w:r>
        <w:rPr>
          <w:rFonts w:ascii="Calibri" w:cs="Calibri" w:eastAsia="Calibri" w:hAnsi="Calibri"/>
          <w:sz w:val="22"/>
          <w:szCs w:val="22"/>
        </w:rPr>
        <w:t xml:space="preserve">Land the three clauses slowly. Each one is a separate beat.</w:t>
      </w:r>
    </w:p>
    <w:p>
      <w:pPr>
        <w:pStyle w:val="ListParagraph"/>
        <w:numPr>
          <w:ilvl w:val="0"/>
          <w:numId w:val="2"/>
        </w:numPr>
        <w:spacing w:after="80"/>
      </w:pPr>
      <w:r>
        <w:rPr>
          <w:rFonts w:ascii="Calibri" w:cs="Calibri" w:eastAsia="Calibri" w:hAnsi="Calibri"/>
          <w:sz w:val="22"/>
          <w:szCs w:val="22"/>
        </w:rPr>
        <w:t xml:space="preserve">Don't immediately fill the silence after "any questions." Wait. Three seconds feels like ten — count it out in your head.</w:t>
      </w:r>
    </w:p>
    <w:p>
      <w:pPr>
        <w:pBdr>
          <w:left w:val="single" w:color="F96167" w:sz="24" w:space="8"/>
        </w:pBdr>
        <w:spacing w:after="120" w:before="120"/>
        <w:ind w:left="240"/>
      </w:pPr>
      <w:r>
        <w:rPr>
          <w:rFonts w:ascii="Calibri" w:cs="Calibri" w:eastAsia="Calibri" w:hAnsi="Calibri"/>
          <w:color w:val="1E293B"/>
          <w:sz w:val="22"/>
          <w:szCs w:val="22"/>
        </w:rPr>
        <w:t xml:space="preserve">If no one asks a question in the first 5 seconds: "Okay, I'll start with one I get a lot — why authentik and not Keycloak?" Then answer it. That usually loosens the room.</w:t>
      </w:r>
    </w:p>
    <w:p>
      <w:r>
        <w:br w:type="page"/>
      </w:r>
    </w:p>
    <w:p>
      <w:pPr>
        <w:pStyle w:val="Heading1"/>
        <w:spacing w:after="180" w:before="360"/>
      </w:pPr>
      <w:r>
        <w:rPr>
          <w:rFonts w:ascii="Georgia" w:cs="Georgia" w:eastAsia="Georgia" w:hAnsi="Georgia"/>
          <w:b/>
          <w:bCs/>
          <w:color w:val="1E2761"/>
          <w:sz w:val="32"/>
          <w:szCs w:val="32"/>
        </w:rPr>
        <w:t xml:space="preserve">Anticipated Q&amp;A bank</w:t>
      </w:r>
    </w:p>
    <w:p>
      <w:pPr>
        <w:spacing w:after="120"/>
      </w:pPr>
      <w:r>
        <w:rPr>
          <w:rFonts w:ascii="Calibri" w:cs="Calibri" w:eastAsia="Calibri" w:hAnsi="Calibri"/>
          <w:sz w:val="22"/>
          <w:szCs w:val="22"/>
        </w:rPr>
        <w:t xml:space="preserve">Common questions across the talk, with short answers ready to deliver.</w:t>
      </w:r>
    </w:p>
    <w:p>
      <w:pPr>
        <w:pStyle w:val="Heading2"/>
        <w:spacing w:after="120" w:before="240"/>
      </w:pPr>
      <w:r>
        <w:rPr>
          <w:rFonts w:ascii="Georgia" w:cs="Georgia" w:eastAsia="Georgia" w:hAnsi="Georgia"/>
          <w:b/>
          <w:bCs/>
          <w:color w:val="1E2761"/>
          <w:sz w:val="26"/>
          <w:szCs w:val="26"/>
        </w:rPr>
        <w:t xml:space="preserve">Tooling choice</w:t>
      </w:r>
    </w:p>
    <w:p>
      <w:pPr>
        <w:pStyle w:val="ListParagraph"/>
        <w:numPr>
          <w:ilvl w:val="0"/>
          <w:numId w:val="2"/>
        </w:numPr>
        <w:spacing w:after="80"/>
      </w:pPr>
      <w:r>
        <w:rPr>
          <w:rFonts w:ascii="Calibri" w:cs="Calibri" w:eastAsia="Calibri" w:hAnsi="Calibri"/>
          <w:sz w:val="22"/>
          <w:szCs w:val="22"/>
        </w:rPr>
        <w:t xml:space="preserve">Q: Why authentik over Keycloak? — A: ARM64-native Docker image (M4 compatibility), modern UI, opinionated Flows engine that makes MFA policies easier to express. Keycloak is also valid; this is a preference, not a hard requirement.</w:t>
      </w:r>
    </w:p>
    <w:p>
      <w:pPr>
        <w:pStyle w:val="ListParagraph"/>
        <w:numPr>
          <w:ilvl w:val="0"/>
          <w:numId w:val="2"/>
        </w:numPr>
        <w:spacing w:after="80"/>
      </w:pPr>
      <w:r>
        <w:rPr>
          <w:rFonts w:ascii="Calibri" w:cs="Calibri" w:eastAsia="Calibri" w:hAnsi="Calibri"/>
          <w:sz w:val="22"/>
          <w:szCs w:val="22"/>
        </w:rPr>
        <w:t xml:space="preserve">Q: Why not use AWS IAM Identity Center? — A: Locks you into AWS as the identity authority. authentik federates outward — to AWS, to Azure, to on-prem, anywhere a SAML/OIDC SP exists.</w:t>
      </w:r>
    </w:p>
    <w:p>
      <w:pPr>
        <w:pStyle w:val="ListParagraph"/>
        <w:numPr>
          <w:ilvl w:val="0"/>
          <w:numId w:val="2"/>
        </w:numPr>
        <w:spacing w:after="80"/>
      </w:pPr>
      <w:r>
        <w:rPr>
          <w:rFonts w:ascii="Calibri" w:cs="Calibri" w:eastAsia="Calibri" w:hAnsi="Calibri"/>
          <w:sz w:val="22"/>
          <w:szCs w:val="22"/>
        </w:rPr>
        <w:t xml:space="preserve">Q: Why HashiCorp Vault Community Edition? — A: Free, supports AppRole, dynamic secrets, audit logging — all the features needed for the secrets-management scope. Enterprise features (HSM, replication) aren't required for the capstone.</w:t>
      </w:r>
    </w:p>
    <w:p>
      <w:pPr>
        <w:pStyle w:val="Heading2"/>
        <w:spacing w:after="120" w:before="240"/>
      </w:pPr>
      <w:r>
        <w:rPr>
          <w:rFonts w:ascii="Georgia" w:cs="Georgia" w:eastAsia="Georgia" w:hAnsi="Georgia"/>
          <w:b/>
          <w:bCs/>
          <w:color w:val="1E2761"/>
          <w:sz w:val="26"/>
          <w:szCs w:val="26"/>
        </w:rPr>
        <w:t xml:space="preserve">Security</w:t>
      </w:r>
    </w:p>
    <w:p>
      <w:pPr>
        <w:pStyle w:val="ListParagraph"/>
        <w:numPr>
          <w:ilvl w:val="0"/>
          <w:numId w:val="2"/>
        </w:numPr>
        <w:spacing w:after="80"/>
      </w:pPr>
      <w:r>
        <w:rPr>
          <w:rFonts w:ascii="Calibri" w:cs="Calibri" w:eastAsia="Calibri" w:hAnsi="Calibri"/>
          <w:sz w:val="22"/>
          <w:szCs w:val="22"/>
        </w:rPr>
        <w:t xml:space="preserve">Q: What's the biggest unmitigated risk today? — A: authentik runs on my laptop with no HA. If the laptop fails, the IdP is unreachable. Documented as a Phase 3 hardening item.</w:t>
      </w:r>
    </w:p>
    <w:p>
      <w:pPr>
        <w:pStyle w:val="ListParagraph"/>
        <w:numPr>
          <w:ilvl w:val="0"/>
          <w:numId w:val="2"/>
        </w:numPr>
        <w:spacing w:after="80"/>
      </w:pPr>
      <w:r>
        <w:rPr>
          <w:rFonts w:ascii="Calibri" w:cs="Calibri" w:eastAsia="Calibri" w:hAnsi="Calibri"/>
          <w:sz w:val="22"/>
          <w:szCs w:val="22"/>
        </w:rPr>
        <w:t xml:space="preserve">Q: How do you protect the authentik admin account itself? — A: MFA enforced via TOTP, no API tokens with admin scope persisted, all changes audit-logged. Permission boundary on the AWS side prevents the akadmin role from ever escalating to AdministratorAccess.</w:t>
      </w:r>
    </w:p>
    <w:p>
      <w:pPr>
        <w:pStyle w:val="ListParagraph"/>
        <w:numPr>
          <w:ilvl w:val="0"/>
          <w:numId w:val="2"/>
        </w:numPr>
        <w:spacing w:after="80"/>
      </w:pPr>
      <w:r>
        <w:rPr>
          <w:rFonts w:ascii="Calibri" w:cs="Calibri" w:eastAsia="Calibri" w:hAnsi="Calibri"/>
          <w:sz w:val="22"/>
          <w:szCs w:val="22"/>
        </w:rPr>
        <w:t xml:space="preserve">Q: What if someone steals the authentik signing certificate? — A: AWS would accept assertions until I rotate it. Mitigation is short cert lifetimes and storing the cert/key in Vault rather than on disk. Currently on the Phase 2 hardening list.</w:t>
      </w:r>
    </w:p>
    <w:p>
      <w:pPr>
        <w:pStyle w:val="Heading2"/>
        <w:spacing w:after="120" w:before="240"/>
      </w:pPr>
      <w:r>
        <w:rPr>
          <w:rFonts w:ascii="Georgia" w:cs="Georgia" w:eastAsia="Georgia" w:hAnsi="Georgia"/>
          <w:b/>
          <w:bCs/>
          <w:color w:val="1E2761"/>
          <w:sz w:val="26"/>
          <w:szCs w:val="26"/>
        </w:rPr>
        <w:t xml:space="preserve">Scope and roadmap</w:t>
      </w:r>
    </w:p>
    <w:p>
      <w:pPr>
        <w:pStyle w:val="ListParagraph"/>
        <w:numPr>
          <w:ilvl w:val="0"/>
          <w:numId w:val="2"/>
        </w:numPr>
        <w:spacing w:after="80"/>
      </w:pPr>
      <w:r>
        <w:rPr>
          <w:rFonts w:ascii="Calibri" w:cs="Calibri" w:eastAsia="Calibri" w:hAnsi="Calibri"/>
          <w:sz w:val="22"/>
          <w:szCs w:val="22"/>
        </w:rPr>
        <w:t xml:space="preserve">Q: What's the hardest thing you've hit so far? — A: The Docker container 'unhealthy' label issue — containers serving HTTP 200 while marked unhealthy. Took some triage to confirm the health check itself was misconfigured, not the service.</w:t>
      </w:r>
    </w:p>
    <w:p>
      <w:pPr>
        <w:pStyle w:val="ListParagraph"/>
        <w:numPr>
          <w:ilvl w:val="0"/>
          <w:numId w:val="2"/>
        </w:numPr>
        <w:spacing w:after="80"/>
      </w:pPr>
      <w:r>
        <w:rPr>
          <w:rFonts w:ascii="Calibri" w:cs="Calibri" w:eastAsia="Calibri" w:hAnsi="Calibri"/>
          <w:sz w:val="22"/>
          <w:szCs w:val="22"/>
        </w:rPr>
        <w:t xml:space="preserve">Q: Why us-east-1 only? — A: Capstone scope. Free Tier billing simplicity, single-region keeps the network model simpler, multi-region resilience is a Phase 3 stretch goal if time allows.</w:t>
      </w:r>
    </w:p>
    <w:p>
      <w:pPr>
        <w:pStyle w:val="ListParagraph"/>
        <w:numPr>
          <w:ilvl w:val="0"/>
          <w:numId w:val="2"/>
        </w:numPr>
        <w:spacing w:after="80"/>
      </w:pPr>
      <w:r>
        <w:rPr>
          <w:rFonts w:ascii="Calibri" w:cs="Calibri" w:eastAsia="Calibri" w:hAnsi="Calibri"/>
          <w:sz w:val="22"/>
          <w:szCs w:val="22"/>
        </w:rPr>
        <w:t xml:space="preserve">Q: How are you tracking progress? — A: A 12-week project plan in Monday.com, rubric items distributed week by week with a growth cadence (2 → 4 → 7 → 9). Evidence artifacts captured per milestone.</w:t>
      </w:r>
    </w:p>
    <w:p>
      <w:pPr>
        <w:pStyle w:val="Heading2"/>
        <w:spacing w:after="120" w:before="240"/>
      </w:pPr>
      <w:r>
        <w:rPr>
          <w:rFonts w:ascii="Georgia" w:cs="Georgia" w:eastAsia="Georgia" w:hAnsi="Georgia"/>
          <w:b/>
          <w:bCs/>
          <w:color w:val="1E2761"/>
          <w:sz w:val="26"/>
          <w:szCs w:val="26"/>
        </w:rPr>
        <w:t xml:space="preserve">If asked something you don't know</w:t>
      </w:r>
    </w:p>
    <w:p>
      <w:pPr>
        <w:pBdr>
          <w:left w:val="single" w:color="F96167" w:sz="24" w:space="8"/>
        </w:pBdr>
        <w:spacing w:after="120" w:before="120"/>
        <w:ind w:left="240"/>
      </w:pPr>
      <w:r>
        <w:rPr>
          <w:rFonts w:ascii="Calibri" w:cs="Calibri" w:eastAsia="Calibri" w:hAnsi="Calibri"/>
          <w:color w:val="1E293B"/>
          <w:sz w:val="22"/>
          <w:szCs w:val="22"/>
        </w:rPr>
        <w:t xml:space="preserve">"That's a good question — I haven't worked through that yet. Let me take it back and follow up." Then write it down. Never make up an answer; the audience will know.</w:t>
      </w:r>
    </w:p>
    <w:p>
      <w:r>
        <w:br w:type="page"/>
      </w:r>
    </w:p>
    <w:p>
      <w:pPr>
        <w:pStyle w:val="Heading1"/>
        <w:spacing w:after="180" w:before="360"/>
      </w:pPr>
      <w:r>
        <w:rPr>
          <w:rFonts w:ascii="Georgia" w:cs="Georgia" w:eastAsia="Georgia" w:hAnsi="Georgia"/>
          <w:b/>
          <w:bCs/>
          <w:color w:val="1E2761"/>
          <w:sz w:val="32"/>
          <w:szCs w:val="32"/>
        </w:rPr>
        <w:t xml:space="preserve">Delivery notes</w:t>
      </w:r>
    </w:p>
    <w:p>
      <w:pPr>
        <w:pStyle w:val="Heading2"/>
        <w:spacing w:after="120" w:before="240"/>
      </w:pPr>
      <w:r>
        <w:rPr>
          <w:rFonts w:ascii="Georgia" w:cs="Georgia" w:eastAsia="Georgia" w:hAnsi="Georgia"/>
          <w:b/>
          <w:bCs/>
          <w:color w:val="1E2761"/>
          <w:sz w:val="26"/>
          <w:szCs w:val="26"/>
        </w:rPr>
        <w:t xml:space="preserve">Pacing</w:t>
      </w:r>
    </w:p>
    <w:p>
      <w:pPr>
        <w:pStyle w:val="ListParagraph"/>
        <w:numPr>
          <w:ilvl w:val="0"/>
          <w:numId w:val="2"/>
        </w:numPr>
        <w:spacing w:after="80"/>
      </w:pPr>
      <w:r>
        <w:rPr>
          <w:rFonts w:ascii="Calibri" w:cs="Calibri" w:eastAsia="Calibri" w:hAnsi="Calibri"/>
          <w:sz w:val="22"/>
          <w:szCs w:val="22"/>
        </w:rPr>
        <w:t xml:space="preserve">Title slide: 30 seconds.</w:t>
      </w:r>
    </w:p>
    <w:p>
      <w:pPr>
        <w:pStyle w:val="ListParagraph"/>
        <w:numPr>
          <w:ilvl w:val="0"/>
          <w:numId w:val="2"/>
        </w:numPr>
        <w:spacing w:after="80"/>
      </w:pPr>
      <w:r>
        <w:rPr>
          <w:rFonts w:ascii="Calibri" w:cs="Calibri" w:eastAsia="Calibri" w:hAnsi="Calibri"/>
          <w:sz w:val="22"/>
          <w:szCs w:val="22"/>
        </w:rPr>
        <w:t xml:space="preserve">Agenda: 30 seconds. Don't dwell.</w:t>
      </w:r>
    </w:p>
    <w:p>
      <w:pPr>
        <w:pStyle w:val="ListParagraph"/>
        <w:numPr>
          <w:ilvl w:val="0"/>
          <w:numId w:val="2"/>
        </w:numPr>
        <w:spacing w:after="80"/>
      </w:pPr>
      <w:r>
        <w:rPr>
          <w:rFonts w:ascii="Calibri" w:cs="Calibri" w:eastAsia="Calibri" w:hAnsi="Calibri"/>
          <w:sz w:val="22"/>
          <w:szCs w:val="22"/>
        </w:rPr>
        <w:t xml:space="preserve">Slides 3, 4, 6, 8, 10, 11, 12, 13: 90 seconds each.</w:t>
      </w:r>
    </w:p>
    <w:p>
      <w:pPr>
        <w:pStyle w:val="ListParagraph"/>
        <w:numPr>
          <w:ilvl w:val="0"/>
          <w:numId w:val="2"/>
        </w:numPr>
        <w:spacing w:after="80"/>
      </w:pPr>
      <w:r>
        <w:rPr>
          <w:rFonts w:ascii="Calibri" w:cs="Calibri" w:eastAsia="Calibri" w:hAnsi="Calibri"/>
          <w:sz w:val="22"/>
          <w:szCs w:val="22"/>
        </w:rPr>
        <w:t xml:space="preserve">Slides 5, 7, 9: 2–2.5 minutes each. These are the depth slides.</w:t>
      </w:r>
    </w:p>
    <w:p>
      <w:pPr>
        <w:pStyle w:val="ListParagraph"/>
        <w:numPr>
          <w:ilvl w:val="0"/>
          <w:numId w:val="2"/>
        </w:numPr>
        <w:spacing w:after="80"/>
      </w:pPr>
      <w:r>
        <w:rPr>
          <w:rFonts w:ascii="Calibri" w:cs="Calibri" w:eastAsia="Calibri" w:hAnsi="Calibri"/>
          <w:sz w:val="22"/>
          <w:szCs w:val="22"/>
        </w:rPr>
        <w:t xml:space="preserve">Closing: 30 seconds, then sit on the silence and wait for Q&amp;A.</w:t>
      </w:r>
    </w:p>
    <w:p>
      <w:pPr>
        <w:pStyle w:val="ListParagraph"/>
        <w:numPr>
          <w:ilvl w:val="0"/>
          <w:numId w:val="2"/>
        </w:numPr>
        <w:spacing w:after="80"/>
      </w:pPr>
      <w:r>
        <w:rPr>
          <w:rFonts w:ascii="Calibri" w:cs="Calibri" w:eastAsia="Calibri" w:hAnsi="Calibri"/>
          <w:sz w:val="22"/>
          <w:szCs w:val="22"/>
        </w:rPr>
        <w:t xml:space="preserve">Total content: ~20 minutes. Leave 5–10 for questions.</w:t>
      </w:r>
    </w:p>
    <w:p>
      <w:pPr>
        <w:pStyle w:val="Heading2"/>
        <w:spacing w:after="120" w:before="240"/>
      </w:pPr>
      <w:r>
        <w:rPr>
          <w:rFonts w:ascii="Georgia" w:cs="Georgia" w:eastAsia="Georgia" w:hAnsi="Georgia"/>
          <w:b/>
          <w:bCs/>
          <w:color w:val="1E2761"/>
          <w:sz w:val="26"/>
          <w:szCs w:val="26"/>
        </w:rPr>
        <w:t xml:space="preserve">Voice and presence</w:t>
      </w:r>
    </w:p>
    <w:p>
      <w:pPr>
        <w:pStyle w:val="ListParagraph"/>
        <w:numPr>
          <w:ilvl w:val="0"/>
          <w:numId w:val="2"/>
        </w:numPr>
        <w:spacing w:after="80"/>
      </w:pPr>
      <w:r>
        <w:rPr>
          <w:rFonts w:ascii="Calibri" w:cs="Calibri" w:eastAsia="Calibri" w:hAnsi="Calibri"/>
          <w:sz w:val="22"/>
          <w:szCs w:val="22"/>
        </w:rPr>
        <w:t xml:space="preserve">Slow down on three things: stat sources (slide 3), the SAML attribute mapping (slide 9), and the closing sentence (slide 14).</w:t>
      </w:r>
    </w:p>
    <w:p>
      <w:pPr>
        <w:pStyle w:val="ListParagraph"/>
        <w:numPr>
          <w:ilvl w:val="0"/>
          <w:numId w:val="2"/>
        </w:numPr>
        <w:spacing w:after="80"/>
      </w:pPr>
      <w:r>
        <w:rPr>
          <w:rFonts w:ascii="Calibri" w:cs="Calibri" w:eastAsia="Calibri" w:hAnsi="Calibri"/>
          <w:sz w:val="22"/>
          <w:szCs w:val="22"/>
        </w:rPr>
        <w:t xml:space="preserve">Speed up through facts the audience can read for themselves: the metadata table on slide 6, the user table on slide 7, the AWS infra grid on slide 10.</w:t>
      </w:r>
    </w:p>
    <w:p>
      <w:pPr>
        <w:pStyle w:val="ListParagraph"/>
        <w:numPr>
          <w:ilvl w:val="0"/>
          <w:numId w:val="2"/>
        </w:numPr>
        <w:spacing w:after="80"/>
      </w:pPr>
      <w:r>
        <w:rPr>
          <w:rFonts w:ascii="Calibri" w:cs="Calibri" w:eastAsia="Calibri" w:hAnsi="Calibri"/>
          <w:sz w:val="22"/>
          <w:szCs w:val="22"/>
        </w:rPr>
        <w:t xml:space="preserve">If a slide has a callout sentence in italics at the bottom, that sentence is the take-home. Land it deliberately.</w:t>
      </w:r>
    </w:p>
    <w:p>
      <w:pPr>
        <w:pStyle w:val="ListParagraph"/>
        <w:numPr>
          <w:ilvl w:val="0"/>
          <w:numId w:val="2"/>
        </w:numPr>
        <w:spacing w:after="80"/>
      </w:pPr>
      <w:r>
        <w:rPr>
          <w:rFonts w:ascii="Calibri" w:cs="Calibri" w:eastAsia="Calibri" w:hAnsi="Calibri"/>
          <w:sz w:val="22"/>
          <w:szCs w:val="22"/>
        </w:rPr>
        <w:t xml:space="preserve">Use the room's eyes. If everyone's looking at the screen on slide 9, stay on slide 9 a beat longer. If eyes are back on you, advance.</w:t>
      </w:r>
    </w:p>
    <w:p>
      <w:pPr>
        <w:pStyle w:val="Heading2"/>
        <w:spacing w:after="120" w:before="240"/>
      </w:pPr>
      <w:r>
        <w:rPr>
          <w:rFonts w:ascii="Georgia" w:cs="Georgia" w:eastAsia="Georgia" w:hAnsi="Georgia"/>
          <w:b/>
          <w:bCs/>
          <w:color w:val="1E2761"/>
          <w:sz w:val="26"/>
          <w:szCs w:val="26"/>
        </w:rPr>
        <w:t xml:space="preserve">Failure modes to avoid</w:t>
      </w:r>
    </w:p>
    <w:p>
      <w:pPr>
        <w:pStyle w:val="ListParagraph"/>
        <w:numPr>
          <w:ilvl w:val="0"/>
          <w:numId w:val="2"/>
        </w:numPr>
        <w:spacing w:after="80"/>
      </w:pPr>
      <w:r>
        <w:rPr>
          <w:rFonts w:ascii="Calibri" w:cs="Calibri" w:eastAsia="Calibri" w:hAnsi="Calibri"/>
          <w:sz w:val="22"/>
          <w:szCs w:val="22"/>
        </w:rPr>
        <w:t xml:space="preserve">Don't read the slides. They exist so the audience has something to look at while you speak.</w:t>
      </w:r>
    </w:p>
    <w:p>
      <w:pPr>
        <w:pStyle w:val="ListParagraph"/>
        <w:numPr>
          <w:ilvl w:val="0"/>
          <w:numId w:val="2"/>
        </w:numPr>
        <w:spacing w:after="80"/>
      </w:pPr>
      <w:r>
        <w:rPr>
          <w:rFonts w:ascii="Calibri" w:cs="Calibri" w:eastAsia="Calibri" w:hAnsi="Calibri"/>
          <w:sz w:val="22"/>
          <w:szCs w:val="22"/>
        </w:rPr>
        <w:t xml:space="preserve">Don't apologize for what's not done yet. Frame everything as a milestone — Phase 1 done, Phase 2 next.</w:t>
      </w:r>
    </w:p>
    <w:p>
      <w:pPr>
        <w:pStyle w:val="ListParagraph"/>
        <w:numPr>
          <w:ilvl w:val="0"/>
          <w:numId w:val="2"/>
        </w:numPr>
        <w:spacing w:after="80"/>
      </w:pPr>
      <w:r>
        <w:rPr>
          <w:rFonts w:ascii="Calibri" w:cs="Calibri" w:eastAsia="Calibri" w:hAnsi="Calibri"/>
          <w:sz w:val="22"/>
          <w:szCs w:val="22"/>
        </w:rPr>
        <w:t xml:space="preserve">Don't go down a rabbit hole on a single question. If a question would take more than 30 seconds, offer to follow up after.</w:t>
      </w:r>
    </w:p>
    <w:p>
      <w:pPr>
        <w:pStyle w:val="ListParagraph"/>
        <w:numPr>
          <w:ilvl w:val="0"/>
          <w:numId w:val="2"/>
        </w:numPr>
        <w:spacing w:after="80"/>
      </w:pPr>
      <w:r>
        <w:rPr>
          <w:rFonts w:ascii="Calibri" w:cs="Calibri" w:eastAsia="Calibri" w:hAnsi="Calibri"/>
          <w:sz w:val="22"/>
          <w:szCs w:val="22"/>
        </w:rPr>
        <w:t xml:space="preserve">Don't end on Q&amp;A silence. If the room is quiet, prime the pump with the authentik-vs-Keycloak question from the Q&amp;A bank.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EISP Phase 1 Showcase Script  ·  Manisha Gupta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EISP-SCRIPT-001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F9616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2026-05-13T15:48:51.643Z</dcterms:created>
  <dcterms:modified xsi:type="dcterms:W3CDTF">2026-05-13T15:48:51.644Z</dcterms:modified>
</cp:coreProperties>
</file>

<file path=docProps/custom.xml><?xml version="1.0" encoding="utf-8"?>
<Properties xmlns="http://schemas.openxmlformats.org/officeDocument/2006/custom-properties" xmlns:vt="http://schemas.openxmlformats.org/officeDocument/2006/docPropsVTypes"/>
</file>