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ENTERPRISE IDENTITY SECURITY PLATFORM</w:t>
      </w:r>
    </w:p>
    <w:p>
      <w:pPr>
        <w:spacing w:after="120" w:before="0"/>
        <w:jc w:val="center"/>
      </w:pPr>
      <w:r>
        <w:rPr>
          <w:rFonts w:ascii="Arial" w:cs="Arial" w:eastAsia="Arial" w:hAnsi="Arial"/>
          <w:b/>
          <w:bCs/>
          <w:color w:val="2E75B6"/>
          <w:sz w:val="36"/>
          <w:szCs w:val="36"/>
        </w:rPr>
        <w:t xml:space="preserve">Business Requirements Document (BRD)</w:t>
      </w:r>
    </w:p>
    <w:p>
      <w:pPr>
        <w:spacing w:after="480" w:before="0"/>
        <w:jc w:val="center"/>
      </w:pPr>
      <w:r>
        <w:rPr>
          <w:rFonts w:ascii="Arial" w:cs="Arial" w:eastAsia="Arial" w:hAnsi="Arial"/>
          <w:i/>
          <w:iCs/>
          <w:color w:val="666666"/>
          <w:sz w:val="26"/>
          <w:szCs w:val="26"/>
        </w:rPr>
        <w:t xml:space="preserve">Zero Trust IAM Architecture | Capstone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EISP-BRD-001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 April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Manisha Gupta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CONFIDENTIAL — INTERNAL USE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Phase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Identity Foundation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Program</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DAE Tech Resource 2 — Cybersecurity IAM Cohort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July 2026</w:t>
            </w:r>
          </w:p>
        </w:tc>
      </w:tr>
    </w:tbl>
    <w:p>
      <w:pPr>
        <w:spacing w:after="60" w:before="60"/>
      </w:pPr>
      <w:r>
        <w:t xml:space="preserve"/>
      </w:r>
    </w:p>
    <w:p>
      <w:r>
        <w:br w:type="page"/>
      </w:r>
    </w:p>
    <w:p>
      <w:pPr>
        <w:pStyle w:val="Heading1"/>
        <w:spacing w:after="18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The Enterprise Identity Security Platform (EISP) is a 90-day capstone project that designs, implements, and validates a Zero Trust Identity and Access Management (IAM) architecture. The platform serves as both a hands-on technical learning environment and a portfolio-grade demonstration of enterprise identity security practices aligned with industry standards used in cloud-native environments in 2026.</w:t>
      </w:r>
    </w:p>
    <w:p>
      <w:pPr>
        <w:spacing w:after="60" w:before="60"/>
      </w:pPr>
      <w:r>
        <w:t xml:space="preserve"/>
      </w:r>
    </w:p>
    <w:p>
      <w:pPr>
        <w:spacing w:after="80" w:before="80"/>
      </w:pPr>
      <w:r>
        <w:rPr>
          <w:rFonts w:ascii="Arial" w:cs="Arial" w:eastAsia="Arial" w:hAnsi="Arial"/>
          <w:sz w:val="22"/>
          <w:szCs w:val="22"/>
        </w:rPr>
        <w:t xml:space="preserve">This Business Requirements Document (BRD) defines the business objectives, stakeholder needs, scope boundaries, constraints, and success criteria that drive all design and implementation decisions throughout the EISP project lifecycle. Every technical deliverable produced under this project must be traceable to a business requirement documented herein.</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2. Business Context and Problem Statement</w:t>
      </w:r>
    </w:p>
    <w:p>
      <w:pPr>
        <w:pStyle w:val="Heading2"/>
        <w:spacing w:after="120" w:before="240"/>
      </w:pPr>
      <w:r>
        <w:rPr>
          <w:rFonts w:ascii="Arial" w:cs="Arial" w:eastAsia="Arial" w:hAnsi="Arial"/>
          <w:b/>
          <w:bCs/>
          <w:color w:val="2E75B6"/>
          <w:sz w:val="26"/>
          <w:szCs w:val="26"/>
        </w:rPr>
        <w:t xml:space="preserve">2.1 Background</w:t>
      </w:r>
    </w:p>
    <w:p>
      <w:pPr>
        <w:spacing w:after="80" w:before="80"/>
      </w:pPr>
      <w:r>
        <w:rPr>
          <w:rFonts w:ascii="Arial" w:cs="Arial" w:eastAsia="Arial" w:hAnsi="Arial"/>
          <w:sz w:val="22"/>
          <w:szCs w:val="22"/>
        </w:rPr>
        <w:t xml:space="preserve">Modern organizations face a fundamental shift in their security posture. The traditional network-based perimeter — where users inside a corporate network were implicitly trusted — has collapsed under the weight of cloud adoption, remote work, SaaS proliferation, and the exponential growth of non-human identities such as API tokens, service accounts, and machine credentials.</w:t>
      </w:r>
    </w:p>
    <w:p>
      <w:pPr>
        <w:spacing w:after="60" w:before="60"/>
      </w:pPr>
      <w:r>
        <w:t xml:space="preserve"/>
      </w:r>
    </w:p>
    <w:p>
      <w:pPr>
        <w:spacing w:after="80" w:before="80"/>
      </w:pPr>
      <w:r>
        <w:rPr>
          <w:rFonts w:ascii="Arial" w:cs="Arial" w:eastAsia="Arial" w:hAnsi="Arial"/>
          <w:sz w:val="22"/>
          <w:szCs w:val="22"/>
        </w:rPr>
        <w:t xml:space="preserve">Identity has become the new security perimeter. According to industry research, over 80% of breaches now involve compromised credentials or abused identity privileges. Organizations that fail to implement identity-centric security architectures face increasing exposure to credential theft, privilege escalation, lateral movement, and unauthorized access to critical systems.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Business Problems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60"/>
        <w:gridCol w:w="3000"/>
        <w:gridCol w:w="3000"/>
        <w:gridCol w:w="1000"/>
      </w:tblGrid>
      <w:tr>
        <w:trPr>
          <w:tblHeader/>
        </w:trPr>
        <w:tc>
          <w:tcPr>
            <w:tcW w:type="dxa" w:w="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Impact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Manual identity provisioning creates inconsistent access control and slow onboarding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Productivity loss, compliance gaps, orphaned accounts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Privilege creep from unchecked role accumulation over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Excessive blast radius when accounts are compromised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Machine identities (API keys, tokens) stored insecurely in code or config files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High-value attack surface for credential theft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centralized identity provider — authentication scattered across systems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gaps, inconsistent MFA enforcement, poor user experience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Lack of real-time identity threat monitoring and automated response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Long dwell time for attackers using stolen credentials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structured incident response process for credential compromise events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Uncoordinated response, extended breach duration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Absence of proactive threat intelligence integration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Reactive-only security posture, missed early warning signals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r>
    </w:tbl>
    <w:p>
      <w:pPr>
        <w:spacing w:after="60" w:before="60"/>
      </w:pPr>
      <w:r>
        <w:t xml:space="preserve"/>
      </w:r>
    </w:p>
    <w:p>
      <w:pPr>
        <w:pStyle w:val="Heading1"/>
        <w:spacing w:after="180" w:before="360"/>
      </w:pPr>
      <w:r>
        <w:rPr>
          <w:rFonts w:ascii="Arial" w:cs="Arial" w:eastAsia="Arial" w:hAnsi="Arial"/>
          <w:b/>
          <w:bCs/>
          <w:color w:val="1F4E79"/>
          <w:sz w:val="32"/>
          <w:szCs w:val="32"/>
        </w:rPr>
        <w:t xml:space="preserve">3. Business Objectives</w:t>
      </w:r>
    </w:p>
    <w:p>
      <w:pPr>
        <w:pStyle w:val="Heading2"/>
        <w:spacing w:after="120" w:before="240"/>
      </w:pPr>
      <w:r>
        <w:rPr>
          <w:rFonts w:ascii="Arial" w:cs="Arial" w:eastAsia="Arial" w:hAnsi="Arial"/>
          <w:b/>
          <w:bCs/>
          <w:color w:val="2E75B6"/>
          <w:sz w:val="26"/>
          <w:szCs w:val="26"/>
        </w:rPr>
        <w:t xml:space="preserve">3.1 Primary Objectives</w:t>
      </w:r>
    </w:p>
    <w:p>
      <w:pPr>
        <w:pStyle w:val="ListParagraph"/>
        <w:numPr>
          <w:ilvl w:val="0"/>
          <w:numId w:val="2"/>
        </w:numPr>
        <w:spacing w:after="60" w:before="60"/>
      </w:pPr>
      <w:r>
        <w:rPr>
          <w:rFonts w:ascii="Arial" w:cs="Arial" w:eastAsia="Arial" w:hAnsi="Arial"/>
          <w:sz w:val="22"/>
          <w:szCs w:val="22"/>
        </w:rPr>
        <w:t xml:space="preserve">Implement a Zero Trust identity architecture that treats every access request as untrusted until verified, regardless of network location.</w:t>
      </w:r>
    </w:p>
    <w:p>
      <w:pPr>
        <w:pStyle w:val="ListParagraph"/>
        <w:numPr>
          <w:ilvl w:val="0"/>
          <w:numId w:val="2"/>
        </w:numPr>
        <w:spacing w:after="60" w:before="60"/>
      </w:pPr>
      <w:r>
        <w:rPr>
          <w:rFonts w:ascii="Arial" w:cs="Arial" w:eastAsia="Arial" w:hAnsi="Arial"/>
          <w:sz w:val="22"/>
          <w:szCs w:val="22"/>
        </w:rPr>
        <w:t xml:space="preserve">Centralize authentication through a self-hosted Identity Provider (authentik) supporting SAML 2.0, OAuth 2.0, and OpenID Connect protocols.</w:t>
      </w:r>
    </w:p>
    <w:p>
      <w:pPr>
        <w:pStyle w:val="ListParagraph"/>
        <w:numPr>
          <w:ilvl w:val="0"/>
          <w:numId w:val="2"/>
        </w:numPr>
        <w:spacing w:after="60" w:before="60"/>
      </w:pPr>
      <w:r>
        <w:rPr>
          <w:rFonts w:ascii="Arial" w:cs="Arial" w:eastAsia="Arial" w:hAnsi="Arial"/>
          <w:sz w:val="22"/>
          <w:szCs w:val="22"/>
        </w:rPr>
        <w:t xml:space="preserve">Automate the complete identity lifecycle including user provisioning, role assignment, and deprovisioning using SCIM and event-driven workflows.</w:t>
      </w:r>
    </w:p>
    <w:p>
      <w:pPr>
        <w:pStyle w:val="ListParagraph"/>
        <w:numPr>
          <w:ilvl w:val="0"/>
          <w:numId w:val="2"/>
        </w:numPr>
        <w:spacing w:after="60" w:before="60"/>
      </w:pPr>
      <w:r>
        <w:rPr>
          <w:rFonts w:ascii="Arial" w:cs="Arial" w:eastAsia="Arial" w:hAnsi="Arial"/>
          <w:sz w:val="22"/>
          <w:szCs w:val="22"/>
        </w:rPr>
        <w:t xml:space="preserve">Enforce Role-Based Access Control (RBAC) with least-privilege permissions across all EISP components including AWS IAM and connected applications.</w:t>
      </w:r>
    </w:p>
    <w:p>
      <w:pPr>
        <w:pStyle w:val="ListParagraph"/>
        <w:numPr>
          <w:ilvl w:val="0"/>
          <w:numId w:val="2"/>
        </w:numPr>
        <w:spacing w:after="60" w:before="60"/>
      </w:pPr>
      <w:r>
        <w:rPr>
          <w:rFonts w:ascii="Arial" w:cs="Arial" w:eastAsia="Arial" w:hAnsi="Arial"/>
          <w:sz w:val="22"/>
          <w:szCs w:val="22"/>
        </w:rPr>
        <w:t xml:space="preserve">Secure all non-human identities through HashiCorp Vault with dynamic secrets, automated rotation, and full audit logging.</w:t>
      </w:r>
    </w:p>
    <w:p>
      <w:pPr>
        <w:pStyle w:val="ListParagraph"/>
        <w:numPr>
          <w:ilvl w:val="0"/>
          <w:numId w:val="2"/>
        </w:numPr>
        <w:spacing w:after="60" w:before="60"/>
      </w:pPr>
      <w:r>
        <w:rPr>
          <w:rFonts w:ascii="Arial" w:cs="Arial" w:eastAsia="Arial" w:hAnsi="Arial"/>
          <w:sz w:val="22"/>
          <w:szCs w:val="22"/>
        </w:rPr>
        <w:t xml:space="preserve">Detect and respond to identity-based threats in real time using SIEM correlation rules aligned with MITRE ATT&amp;CK techniques.</w:t>
      </w:r>
    </w:p>
    <w:p>
      <w:pPr>
        <w:pStyle w:val="ListParagraph"/>
        <w:numPr>
          <w:ilvl w:val="0"/>
          <w:numId w:val="2"/>
        </w:numPr>
        <w:spacing w:after="60" w:before="60"/>
      </w:pPr>
      <w:r>
        <w:rPr>
          <w:rFonts w:ascii="Arial" w:cs="Arial" w:eastAsia="Arial" w:hAnsi="Arial"/>
          <w:sz w:val="22"/>
          <w:szCs w:val="22"/>
        </w:rPr>
        <w:t xml:space="preserve">Demonstrate practical cyber threat analysis capabilities including malware analysis, phishing simulation, vulnerability assessment, and threat intelligence.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Secondary Objectives</w:t>
      </w:r>
    </w:p>
    <w:p>
      <w:pPr>
        <w:pStyle w:val="ListParagraph"/>
        <w:numPr>
          <w:ilvl w:val="0"/>
          <w:numId w:val="2"/>
        </w:numPr>
        <w:spacing w:after="60" w:before="60"/>
      </w:pPr>
      <w:r>
        <w:rPr>
          <w:rFonts w:ascii="Arial" w:cs="Arial" w:eastAsia="Arial" w:hAnsi="Arial"/>
          <w:sz w:val="22"/>
          <w:szCs w:val="22"/>
        </w:rPr>
        <w:t xml:space="preserve">Build a portfolio-grade artifact set demonstrating IAM Engineer competency to prospective employers in the cybersecurity field.</w:t>
      </w:r>
    </w:p>
    <w:p>
      <w:pPr>
        <w:pStyle w:val="ListParagraph"/>
        <w:numPr>
          <w:ilvl w:val="0"/>
          <w:numId w:val="2"/>
        </w:numPr>
        <w:spacing w:after="60" w:before="60"/>
      </w:pPr>
      <w:r>
        <w:rPr>
          <w:rFonts w:ascii="Arial" w:cs="Arial" w:eastAsia="Arial" w:hAnsi="Arial"/>
          <w:sz w:val="22"/>
          <w:szCs w:val="22"/>
        </w:rPr>
        <w:t xml:space="preserve">Complete all nine rubric items across Cybersecurity Basics 1 and Cyber Threats &amp; Vulnerabilities 1 within the 4-week Month 1 timeline.</w:t>
      </w:r>
    </w:p>
    <w:p>
      <w:pPr>
        <w:pStyle w:val="ListParagraph"/>
        <w:numPr>
          <w:ilvl w:val="0"/>
          <w:numId w:val="2"/>
        </w:numPr>
        <w:spacing w:after="60" w:before="60"/>
      </w:pPr>
      <w:r>
        <w:rPr>
          <w:rFonts w:ascii="Arial" w:cs="Arial" w:eastAsia="Arial" w:hAnsi="Arial"/>
          <w:sz w:val="22"/>
          <w:szCs w:val="22"/>
        </w:rPr>
        <w:t xml:space="preserve">Produce industry-standard documentation aligned with NIST SP 800-61, NIST SP 800-53, ISO/IEC 27001, and MITRE ATT&amp;CK frameworks.</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4. Project Scope</w:t>
      </w:r>
    </w:p>
    <w:p>
      <w:pPr>
        <w:pStyle w:val="Heading2"/>
        <w:spacing w:after="120" w:before="240"/>
      </w:pPr>
      <w:r>
        <w:rPr>
          <w:rFonts w:ascii="Arial" w:cs="Arial" w:eastAsia="Arial" w:hAnsi="Arial"/>
          <w:b/>
          <w:bCs/>
          <w:color w:val="2E75B6"/>
          <w:sz w:val="26"/>
          <w:szCs w:val="26"/>
        </w:rPr>
        <w:t xml:space="preserve">4.1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In-Scope Items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Identity Provider</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authentik self-hosted IdP — SSO, MFA, SAML, OIDC, OAuth 2.0, user provisioning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IAM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IAM roles, policies, permission boundaries, CloudTrail logging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Secrets Management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HashiCorp Vault — dynamic secrets, AppRole auth, credential rotation, audit logging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VPC, subnets, security groups, route tables, Internet Gateway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Infrastructure as Code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Terraform scripts for AWS infrastructure provisioning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scripts for provisioning, monitoring, and security automation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Threat Analysis</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Malware analysis, phishing simulation (SET), APT mapping, vulnerability scanning (Nmap)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Intelligence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OpenCTI deployment, MITRE ATT&amp;CK connector, IoC analysis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Monitoring</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Wazuh SIEM, detection rules, alert configuration, CloudTrail integration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Response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 Plan (EISP-IRP-001), credential theft playbook, lessons learned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BRD, FRD, Design Document, Security Policy, Risk Register, all phase deliverables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4.2 Out of Scope</w:t>
      </w:r>
    </w:p>
    <w:p>
      <w:pPr>
        <w:pStyle w:val="ListParagraph"/>
        <w:numPr>
          <w:ilvl w:val="0"/>
          <w:numId w:val="2"/>
        </w:numPr>
        <w:spacing w:after="60" w:before="60"/>
      </w:pPr>
      <w:r>
        <w:rPr>
          <w:rFonts w:ascii="Arial" w:cs="Arial" w:eastAsia="Arial" w:hAnsi="Arial"/>
          <w:sz w:val="22"/>
          <w:szCs w:val="22"/>
        </w:rPr>
        <w:t xml:space="preserve">Production deployment to a live enterprise environment — this is a lab/capstone environment</w:t>
      </w:r>
    </w:p>
    <w:p>
      <w:pPr>
        <w:pStyle w:val="ListParagraph"/>
        <w:numPr>
          <w:ilvl w:val="0"/>
          <w:numId w:val="2"/>
        </w:numPr>
        <w:spacing w:after="60" w:before="60"/>
      </w:pPr>
      <w:r>
        <w:rPr>
          <w:rFonts w:ascii="Arial" w:cs="Arial" w:eastAsia="Arial" w:hAnsi="Arial"/>
          <w:sz w:val="22"/>
          <w:szCs w:val="22"/>
        </w:rPr>
        <w:t xml:space="preserve">Microsoft Entra ID and Okta — replaced by authentik as the self-hosted IdP</w:t>
      </w:r>
    </w:p>
    <w:p>
      <w:pPr>
        <w:pStyle w:val="ListParagraph"/>
        <w:numPr>
          <w:ilvl w:val="0"/>
          <w:numId w:val="2"/>
        </w:numPr>
        <w:spacing w:after="60" w:before="60"/>
      </w:pPr>
      <w:r>
        <w:rPr>
          <w:rFonts w:ascii="Arial" w:cs="Arial" w:eastAsia="Arial" w:hAnsi="Arial"/>
          <w:sz w:val="22"/>
          <w:szCs w:val="22"/>
        </w:rPr>
        <w:t xml:space="preserve">Physical security controls or hardware security modules (HSM) beyond YubiKey</w:t>
      </w:r>
    </w:p>
    <w:p>
      <w:pPr>
        <w:pStyle w:val="ListParagraph"/>
        <w:numPr>
          <w:ilvl w:val="0"/>
          <w:numId w:val="2"/>
        </w:numPr>
        <w:spacing w:after="60" w:before="60"/>
      </w:pPr>
      <w:r>
        <w:rPr>
          <w:rFonts w:ascii="Arial" w:cs="Arial" w:eastAsia="Arial" w:hAnsi="Arial"/>
          <w:sz w:val="22"/>
          <w:szCs w:val="22"/>
        </w:rPr>
        <w:t xml:space="preserve">Third-party SaaS application integrations beyond the EISP lab environment</w:t>
      </w:r>
    </w:p>
    <w:p>
      <w:pPr>
        <w:pStyle w:val="ListParagraph"/>
        <w:numPr>
          <w:ilvl w:val="0"/>
          <w:numId w:val="2"/>
        </w:numPr>
        <w:spacing w:after="60" w:before="60"/>
      </w:pPr>
      <w:r>
        <w:rPr>
          <w:rFonts w:ascii="Arial" w:cs="Arial" w:eastAsia="Arial" w:hAnsi="Arial"/>
          <w:sz w:val="22"/>
          <w:szCs w:val="22"/>
        </w:rPr>
        <w:t xml:space="preserve">Multi-cloud IAM (Azure, GCP) — AWS is the sole cloud platform for this project</w:t>
      </w:r>
    </w:p>
    <w:p>
      <w:pPr>
        <w:pStyle w:val="ListParagraph"/>
        <w:numPr>
          <w:ilvl w:val="0"/>
          <w:numId w:val="2"/>
        </w:numPr>
        <w:spacing w:after="60" w:before="60"/>
      </w:pPr>
      <w:r>
        <w:rPr>
          <w:rFonts w:ascii="Arial" w:cs="Arial" w:eastAsia="Arial" w:hAnsi="Arial"/>
          <w:sz w:val="22"/>
          <w:szCs w:val="22"/>
        </w:rPr>
        <w:t xml:space="preserve">AI/ML-based identity analytics (reserved for future enhancement)</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5. 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1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Interest</w:t>
            </w:r>
          </w:p>
        </w:tc>
        <w:tc>
          <w:tcPr>
            <w:tcW w:type="dxa" w:w="1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Influence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Manisha Gupta</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IAM Engineer / Author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Project delivery, learning outcomes, portfolio quality</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DAE Instructor / Reviewer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Mentor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Rubric completion, technical accuracy, documentation quality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DAE Program Manager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Oversight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Timeline adherence, milestone completion</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Prospective Employers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Audience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Demonstrated IAM engineering competency and deliverable quality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(indirect)</w:t>
            </w:r>
          </w:p>
        </w:tc>
      </w:tr>
    </w:tbl>
    <w:p>
      <w:pPr>
        <w:spacing w:after="60" w:before="60"/>
      </w:pPr>
      <w:r>
        <w:t xml:space="preserve"/>
      </w:r>
    </w:p>
    <w:p>
      <w:pPr>
        <w:pStyle w:val="Heading1"/>
        <w:spacing w:after="180" w:before="360"/>
      </w:pPr>
      <w:r>
        <w:rPr>
          <w:rFonts w:ascii="Arial" w:cs="Arial" w:eastAsia="Arial" w:hAnsi="Arial"/>
          <w:b/>
          <w:bCs/>
          <w:color w:val="1F4E79"/>
          <w:sz w:val="32"/>
          <w:szCs w:val="32"/>
        </w:rPr>
        <w:t xml:space="preserve">6. Business Requirements</w:t>
      </w:r>
    </w:p>
    <w:p>
      <w:pPr>
        <w:pStyle w:val="Heading2"/>
        <w:spacing w:after="120" w:before="240"/>
      </w:pPr>
      <w:r>
        <w:rPr>
          <w:rFonts w:ascii="Arial" w:cs="Arial" w:eastAsia="Arial" w:hAnsi="Arial"/>
          <w:b/>
          <w:bCs/>
          <w:color w:val="2E75B6"/>
          <w:sz w:val="26"/>
          <w:szCs w:val="26"/>
        </w:rPr>
        <w:t xml:space="preserve">6.1 Identity and Access Management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500"/>
        <w:gridCol w:w="21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BR-IAM-01</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system must provide centralized Single Sign-On (SSO) authentication for all EISP components using SAML 2.0 or OIDC.</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BR-IAM-02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Multi-Factor Authentication must be enforced for all human user accounts with no password-only login exceptions.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 P4</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BR-IAM-03</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 accounts must be automatically provisioned and deprovisioned based on defined lifecycle triggers.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BR-IAM-04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access permissions must be assigned through defined RBAC roles — no direct permission assignment to individuals.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BR-IAM-05</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 IAM policies must enforce least-privilege permission boundaries for all roles.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BR-IAM-06</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Passwordless authentication methods (FIDO2, passkeys) must be supported as a stronger alternative to passwords.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BR-IAM-07</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identity events must be logged and available for audit within 24 hours of occurrence.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P5</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6.2 Secrets Management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500"/>
        <w:gridCol w:w="21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BR-SM-01</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machine credentials (API keys, tokens, DB passwords) must be stored exclusively in HashiCorp Vault.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BR-SM-02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secrets must be used wherever technically feasible — no long-lived static credentials for services.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BR-SM-03</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Credential rotation must be automated — no manual rotation process for service accounts.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BR-SM-04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audit logging must be enabled at all times and forwarded to the SIEM.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P5</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BR-SM-05</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Hardcoded credentials in any code, config file, or documentation are strictly prohibited.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P3</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6.3 Threat Detection and Response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500"/>
        <w:gridCol w:w="21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BR-TD-01</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SIEM must be deployed and collecting logs from all EISP identity sources (authentik, AWS CloudTrail, Vault).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BR-TD-02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rules must cover: MFA spike, impossible travel, brute force, privilege escalation, unusual secret access.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P5</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BR-TD-03</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 Incident Response Plan must exist for credential theft events following NIST SP 800-61 lifecycle.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BR-TD-04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threat intelligence platform (OpenCTI) must be deployed with at least 2 active connectors.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P7</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BR-TD-05</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Vulnerability scanning must be performed against the EISP lab environment with CVSS-based classification.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P7</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6.4 Compliance and Documentation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1500"/>
        <w:gridCol w:w="21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BR-CO-01</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security controls must be mappable to NIST SP 800-53 control families.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Rubric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BR-CO-02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response procedures must align with NIST SP 800-61 Rev.2 four-phase lifecycle.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Rubric</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BR-CO-03</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Threat modelling must reference MITRE ATT&amp;CK techniques for all identified attack vectors.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Rubric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BR-CO-04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project documents must follow consistent naming, classification, and version control standards.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BR-CO-05</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risk register must identify and track a minimum of 2 critical risks from vulnerability scan findings.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Have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Rubric</w:t>
            </w:r>
          </w:p>
        </w:tc>
      </w:tr>
    </w:tbl>
    <w:p>
      <w:pPr>
        <w:spacing w:after="60" w:before="60"/>
      </w:pPr>
      <w:r>
        <w:t xml:space="preserve"/>
      </w:r>
    </w:p>
    <w:p>
      <w:pPr>
        <w:pStyle w:val="Heading1"/>
        <w:spacing w:after="180" w:before="360"/>
      </w:pPr>
      <w:r>
        <w:rPr>
          <w:rFonts w:ascii="Arial" w:cs="Arial" w:eastAsia="Arial" w:hAnsi="Arial"/>
          <w:b/>
          <w:bCs/>
          <w:color w:val="1F4E79"/>
          <w:sz w:val="32"/>
          <w:szCs w:val="32"/>
        </w:rPr>
        <w:t xml:space="preserve">7. Constraints, Assumptions, and Dependencies</w:t>
      </w:r>
    </w:p>
    <w:p>
      <w:pPr>
        <w:pStyle w:val="Heading2"/>
        <w:spacing w:after="120" w:before="240"/>
      </w:pPr>
      <w:r>
        <w:rPr>
          <w:rFonts w:ascii="Arial" w:cs="Arial" w:eastAsia="Arial" w:hAnsi="Arial"/>
          <w:b/>
          <w:bCs/>
          <w:color w:val="2E75B6"/>
          <w:sz w:val="26"/>
          <w:szCs w:val="26"/>
        </w:rPr>
        <w:t xml:space="preserve">7.1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90-day capstone timeline with 4-week phases; Month 1 must complete 9 rubric items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Prioritization required — parallel task execution in Week 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Free/open-source tools only — no paid enterprise licenses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(free), Vault Community, Wazuh, OpenCTI, Nmap used instead of commercial equivalents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MacBook Air M4 as primary development machine; VirtualBox/UTM for VMs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ARM64 compatibility must be verified for all Docker images and VM configurations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Entra ID or Okta — authentik is the selected IdP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SSO, MFA, and provisioning flows must be validated through authentik</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Scope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Lab environment only — no production systems or real user data</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threat analysis and scanning performed against controlled lab targets only</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7.2 Assumptions</w:t>
      </w:r>
    </w:p>
    <w:p>
      <w:pPr>
        <w:pStyle w:val="ListParagraph"/>
        <w:numPr>
          <w:ilvl w:val="0"/>
          <w:numId w:val="2"/>
        </w:numPr>
        <w:spacing w:after="60" w:before="60"/>
      </w:pPr>
      <w:r>
        <w:rPr>
          <w:rFonts w:ascii="Arial" w:cs="Arial" w:eastAsia="Arial" w:hAnsi="Arial"/>
          <w:sz w:val="22"/>
          <w:szCs w:val="22"/>
        </w:rPr>
        <w:t xml:space="preserve">AWS Free Tier account is available and sufficient for VPC, IAM, and CloudTrail requirements throughout the project.</w:t>
      </w:r>
    </w:p>
    <w:p>
      <w:pPr>
        <w:pStyle w:val="ListParagraph"/>
        <w:numPr>
          <w:ilvl w:val="0"/>
          <w:numId w:val="2"/>
        </w:numPr>
        <w:spacing w:after="60" w:before="60"/>
      </w:pPr>
      <w:r>
        <w:rPr>
          <w:rFonts w:ascii="Arial" w:cs="Arial" w:eastAsia="Arial" w:hAnsi="Arial"/>
          <w:sz w:val="22"/>
          <w:szCs w:val="22"/>
        </w:rPr>
        <w:t xml:space="preserve">authentik self-hosted IdP is accessible on localhost or local VM and can be integrated with AWS IAM via SAML federation.</w:t>
      </w:r>
    </w:p>
    <w:p>
      <w:pPr>
        <w:pStyle w:val="ListParagraph"/>
        <w:numPr>
          <w:ilvl w:val="0"/>
          <w:numId w:val="2"/>
        </w:numPr>
        <w:spacing w:after="60" w:before="60"/>
      </w:pPr>
      <w:r>
        <w:rPr>
          <w:rFonts w:ascii="Arial" w:cs="Arial" w:eastAsia="Arial" w:hAnsi="Arial"/>
          <w:sz w:val="22"/>
          <w:szCs w:val="22"/>
        </w:rPr>
        <w:t xml:space="preserve">HashiCorp Vault Community Edition meets all secrets management requirements without enterprise features.</w:t>
      </w:r>
    </w:p>
    <w:p>
      <w:pPr>
        <w:pStyle w:val="ListParagraph"/>
        <w:numPr>
          <w:ilvl w:val="0"/>
          <w:numId w:val="2"/>
        </w:numPr>
        <w:spacing w:after="60" w:before="60"/>
      </w:pPr>
      <w:r>
        <w:rPr>
          <w:rFonts w:ascii="Arial" w:cs="Arial" w:eastAsia="Arial" w:hAnsi="Arial"/>
          <w:sz w:val="22"/>
          <w:szCs w:val="22"/>
        </w:rPr>
        <w:t xml:space="preserve">Wazuh or Splunk Free tier is sufficient for SIEM log collection and basic detection rule configuration.</w:t>
      </w:r>
    </w:p>
    <w:p>
      <w:pPr>
        <w:pStyle w:val="ListParagraph"/>
        <w:numPr>
          <w:ilvl w:val="0"/>
          <w:numId w:val="2"/>
        </w:numPr>
        <w:spacing w:after="60" w:before="60"/>
      </w:pPr>
      <w:r>
        <w:rPr>
          <w:rFonts w:ascii="Arial" w:cs="Arial" w:eastAsia="Arial" w:hAnsi="Arial"/>
          <w:sz w:val="22"/>
          <w:szCs w:val="22"/>
        </w:rPr>
        <w:t xml:space="preserve">Kali Linux in VirtualBox on MacBook Air M4 (ARM64) supports all required offensive security tools including SET and Nmap.</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if Unavailable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 Free Tier Account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External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Cloud infrastructure cannot be provisioned — critical blocker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Docker Image (ARM64)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IdP cannot be deployed on M4 Mac — switch to VM-based deployment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HashiCorp Vault Community Edition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External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Secrets management cannot be implemented — moderate risk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OpenCTI Docker Compose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intelligence platform unavailable — Task 12G blocked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Kali Linux ARM64 ISO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External</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Offensive lab tasks (12B phishing, Nmap scanning) may be affected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Docker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 collection and detection rules blocked — moderate risk</w:t>
            </w:r>
          </w:p>
        </w:tc>
      </w:tr>
    </w:tbl>
    <w:p>
      <w:pPr>
        <w:spacing w:after="60" w:before="60"/>
      </w:pPr>
      <w:r>
        <w:t xml:space="preserve"/>
      </w:r>
    </w:p>
    <w:p>
      <w:pPr>
        <w:pStyle w:val="Heading1"/>
        <w:spacing w:after="180" w:before="360"/>
      </w:pPr>
      <w:r>
        <w:rPr>
          <w:rFonts w:ascii="Arial" w:cs="Arial" w:eastAsia="Arial" w:hAnsi="Arial"/>
          <w:b/>
          <w:bCs/>
          <w:color w:val="1F4E79"/>
          <w:sz w:val="32"/>
          <w:szCs w:val="32"/>
        </w:rPr>
        <w:t xml:space="preserve">8. Success Criteria and Acceptance Criteria</w:t>
      </w:r>
    </w:p>
    <w:p>
      <w:pPr>
        <w:pStyle w:val="Heading2"/>
        <w:spacing w:after="120" w:before="240"/>
      </w:pPr>
      <w:r>
        <w:rPr>
          <w:rFonts w:ascii="Arial" w:cs="Arial" w:eastAsia="Arial" w:hAnsi="Arial"/>
          <w:b/>
          <w:bCs/>
          <w:color w:val="2E75B6"/>
          <w:sz w:val="26"/>
          <w:szCs w:val="26"/>
        </w:rPr>
        <w:t xml:space="preserve">8.1 Phase 1 Success Criteria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Rubric Completion</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Number of rubric items completed across Weeks 1–4</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 of 9 items by end of Week 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IdP Deployment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operational with SSO and MFA enforced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3 test users authenticating via SSO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 IAM</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RBAC roles and policies created with least-privilege boundaries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roles with distinct, tested permission sets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Response Plan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EISP-IRP-001 document completed per NIST SP 800-61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4 phases documented with MITRE mapping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Security Policy</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EISP-SP-002 document with 5 rules and CIA Triad alignment</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Completed and version-controlled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Analysis Tasks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12A–12J completed with evidence artifacts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10 sub-tasks documented with deliverables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Vault Setup</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HashiCorp Vault deployed with AppRole auth and audit logging</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 least 1 dynamic secret path configured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8.2 Overall Project Success Criteria (90 Days)</w:t>
      </w:r>
    </w:p>
    <w:p>
      <w:pPr>
        <w:pStyle w:val="ListParagraph"/>
        <w:numPr>
          <w:ilvl w:val="0"/>
          <w:numId w:val="2"/>
        </w:numPr>
        <w:spacing w:after="60" w:before="60"/>
      </w:pPr>
      <w:r>
        <w:rPr>
          <w:rFonts w:ascii="Arial" w:cs="Arial" w:eastAsia="Arial" w:hAnsi="Arial"/>
          <w:sz w:val="22"/>
          <w:szCs w:val="22"/>
        </w:rPr>
        <w:t xml:space="preserve">Automated identity lifecycle management (Joiner-Mover-Leaver) fully operational and tested.</w:t>
      </w:r>
    </w:p>
    <w:p>
      <w:pPr>
        <w:pStyle w:val="ListParagraph"/>
        <w:numPr>
          <w:ilvl w:val="0"/>
          <w:numId w:val="2"/>
        </w:numPr>
        <w:spacing w:after="60" w:before="60"/>
      </w:pPr>
      <w:r>
        <w:rPr>
          <w:rFonts w:ascii="Arial" w:cs="Arial" w:eastAsia="Arial" w:hAnsi="Arial"/>
          <w:sz w:val="22"/>
          <w:szCs w:val="22"/>
        </w:rPr>
        <w:t xml:space="preserve">RBAC enforces least privilege across all EISP components with zero privilege creep in test scenarios.</w:t>
      </w:r>
    </w:p>
    <w:p>
      <w:pPr>
        <w:pStyle w:val="ListParagraph"/>
        <w:numPr>
          <w:ilvl w:val="0"/>
          <w:numId w:val="2"/>
        </w:numPr>
        <w:spacing w:after="60" w:before="60"/>
      </w:pPr>
      <w:r>
        <w:rPr>
          <w:rFonts w:ascii="Arial" w:cs="Arial" w:eastAsia="Arial" w:hAnsi="Arial"/>
          <w:sz w:val="22"/>
          <w:szCs w:val="22"/>
        </w:rPr>
        <w:t xml:space="preserve">Passwordless authentication successfully replaces password-only login for test user accounts.</w:t>
      </w:r>
    </w:p>
    <w:p>
      <w:pPr>
        <w:pStyle w:val="ListParagraph"/>
        <w:numPr>
          <w:ilvl w:val="0"/>
          <w:numId w:val="2"/>
        </w:numPr>
        <w:spacing w:after="60" w:before="60"/>
      </w:pPr>
      <w:r>
        <w:rPr>
          <w:rFonts w:ascii="Arial" w:cs="Arial" w:eastAsia="Arial" w:hAnsi="Arial"/>
          <w:sz w:val="22"/>
          <w:szCs w:val="22"/>
        </w:rPr>
        <w:t xml:space="preserve">All machine identities managed exclusively through HashiCorp Vault with dynamic secrets and rotation.</w:t>
      </w:r>
    </w:p>
    <w:p>
      <w:pPr>
        <w:pStyle w:val="ListParagraph"/>
        <w:numPr>
          <w:ilvl w:val="0"/>
          <w:numId w:val="2"/>
        </w:numPr>
        <w:spacing w:after="60" w:before="60"/>
      </w:pPr>
      <w:r>
        <w:rPr>
          <w:rFonts w:ascii="Arial" w:cs="Arial" w:eastAsia="Arial" w:hAnsi="Arial"/>
          <w:sz w:val="22"/>
          <w:szCs w:val="22"/>
        </w:rPr>
        <w:t xml:space="preserve">SIEM detection rules fire correctly on simulated identity attack scenarios.</w:t>
      </w:r>
    </w:p>
    <w:p>
      <w:pPr>
        <w:pStyle w:val="ListParagraph"/>
        <w:numPr>
          <w:ilvl w:val="0"/>
          <w:numId w:val="2"/>
        </w:numPr>
        <w:spacing w:after="60" w:before="60"/>
      </w:pPr>
      <w:r>
        <w:rPr>
          <w:rFonts w:ascii="Arial" w:cs="Arial" w:eastAsia="Arial" w:hAnsi="Arial"/>
          <w:sz w:val="22"/>
          <w:szCs w:val="22"/>
        </w:rPr>
        <w:t xml:space="preserve">Full project portfolio — BRD, FRD, Design Document, IR Plan, Security Policy, Risk Register — produced and version-controlled.</w:t>
      </w:r>
    </w:p>
    <w:p>
      <w:pPr>
        <w:spacing w:after="60" w:before="60"/>
      </w:pPr>
      <w:r>
        <w:t xml:space="preserve"/>
      </w:r>
    </w:p>
    <w:p>
      <w:pPr>
        <w:pStyle w:val="Heading1"/>
        <w:spacing w:after="180" w:before="360"/>
      </w:pPr>
      <w:r>
        <w:rPr>
          <w:rFonts w:ascii="Arial" w:cs="Arial" w:eastAsia="Arial" w:hAnsi="Arial"/>
          <w:b/>
          <w:bCs/>
          <w:color w:val="1F4E79"/>
          <w:sz w:val="32"/>
          <w:szCs w:val="32"/>
        </w:rPr>
        <w:t xml:space="preserve">9. Business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1200"/>
        <w:gridCol w:w="31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BR-R01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ARM64 incompatibility with tools on MacBook M4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Pre-validate Docker images; use UTM VM as fallback</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BR-R02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Free Tier limits exceeded during testing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usage; use t2.micro/t3.micro instances only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BR-R03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Rubric items not completed within 4-week timeline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Parallel execution of Tasks 12A-12J in Week 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BR-R04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integration complexity with AWS SAML federation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documented SAML 2.0 federation guides; test incrementally</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BR-R05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OpenCTI Docker resource requirements exceed MacBook capacity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Allocate sufficient RAM; use lightweight connector set</w:t>
            </w:r>
          </w:p>
        </w:tc>
      </w:tr>
    </w:tbl>
    <w:p>
      <w:pPr>
        <w:spacing w:after="60" w:before="60"/>
      </w:pPr>
      <w:r>
        <w:t xml:space="preserve"/>
      </w:r>
    </w:p>
    <w:p>
      <w:pPr>
        <w:pStyle w:val="Heading1"/>
        <w:spacing w:after="180" w:before="360"/>
      </w:pPr>
      <w:r>
        <w:rPr>
          <w:rFonts w:ascii="Arial" w:cs="Arial" w:eastAsia="Arial" w:hAnsi="Arial"/>
          <w:b/>
          <w:bCs/>
          <w:color w:val="1F4E79"/>
          <w:sz w:val="32"/>
          <w:szCs w:val="32"/>
        </w:rPr>
        <w:t xml:space="preserve">10.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Author / IAM Engineer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Manisha Gupta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________________________</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 April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Reviewer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[Instructor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________________________</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Program Manager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[PM Name]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________________________</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____________</w:t>
            </w:r>
          </w:p>
        </w:tc>
      </w:tr>
    </w:tbl>
    <w:p>
      <w:pPr>
        <w:spacing w:after="60" w:before="60"/>
      </w:pPr>
      <w:r>
        <w:t xml:space="preserve"/>
      </w:r>
    </w:p>
    <w:p>
      <w:pPr>
        <w:spacing w:after="60" w:before="60"/>
      </w:pPr>
      <w:r>
        <w:t xml:space="preserve"/>
      </w:r>
    </w:p>
    <w:p>
      <w:pPr>
        <w:spacing w:after="80" w:before="80"/>
      </w:pPr>
      <w:r>
        <w:rPr>
          <w:rFonts w:ascii="Arial" w:cs="Arial" w:eastAsia="Arial" w:hAnsi="Arial"/>
          <w:i/>
          <w:iCs/>
          <w:color w:val="888888"/>
          <w:sz w:val="18"/>
          <w:szCs w:val="18"/>
        </w:rPr>
        <w:t xml:space="preserve">Document ID: EISP-BRD-001  |  Version: 1.0  |  Classification: 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tabs>
        <w:tab w:val="right" w:pos="9360"/>
      </w:tabs>
    </w:pPr>
    <w:r>
      <w:rPr>
        <w:rFonts w:ascii="Arial" w:cs="Arial" w:eastAsia="Arial" w:hAnsi="Arial"/>
        <w:color w:val="555555"/>
        <w:sz w:val="18"/>
        <w:szCs w:val="18"/>
      </w:rPr>
      <w:t xml:space="preserve">Manisha Gupta  |  DAE Tech Resource 2  |  2026</w:t>
    </w:r>
    <w:r>
      <w:rPr>
        <w:rFonts w:ascii="Arial" w:cs="Arial" w:eastAsia="Arial" w:hAnsi="Arial"/>
        <w:color w:val="555555"/>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Enterprise Identity Security Platform (EISP)  |  Business Requirements Document</w:t>
    </w:r>
    <w:r>
      <w:rPr>
        <w:rFonts w:ascii="Arial" w:cs="Arial" w:eastAsia="Arial" w:hAnsi="Arial"/>
        <w:b/>
        <w:bCs/>
        <w:color w:val="C0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2026-04-13T16:51:08.603Z</dcterms:created>
  <dcterms:modified xsi:type="dcterms:W3CDTF">2026-04-13T16:51:08.604Z</dcterms:modified>
</cp:coreProperties>
</file>

<file path=docProps/custom.xml><?xml version="1.0" encoding="utf-8"?>
<Properties xmlns="http://schemas.openxmlformats.org/officeDocument/2006/custom-properties" xmlns:vt="http://schemas.openxmlformats.org/officeDocument/2006/docPropsVTypes"/>
</file>