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B5E20"/>
          <w:sz w:val="48"/>
          <w:szCs w:val="48"/>
        </w:rPr>
        <w:t xml:space="preserve">ENTERPRISE IDENTITY SECURITY PLATFORM</w:t>
      </w:r>
    </w:p>
    <w:p>
      <w:pPr>
        <w:spacing w:after="120" w:before="0"/>
        <w:jc w:val="center"/>
      </w:pPr>
      <w:r>
        <w:rPr>
          <w:rFonts w:ascii="Arial" w:cs="Arial" w:eastAsia="Arial" w:hAnsi="Arial"/>
          <w:b/>
          <w:bCs/>
          <w:color w:val="2E7D32"/>
          <w:sz w:val="36"/>
          <w:szCs w:val="36"/>
        </w:rPr>
        <w:t xml:space="preserve">Functional Requirements Document (FRD)</w:t>
      </w:r>
    </w:p>
    <w:p>
      <w:pPr>
        <w:spacing w:after="480" w:before="0"/>
        <w:jc w:val="center"/>
      </w:pPr>
      <w:r>
        <w:rPr>
          <w:rFonts w:ascii="Arial" w:cs="Arial" w:eastAsia="Arial" w:hAnsi="Arial"/>
          <w:i/>
          <w:iCs/>
          <w:color w:val="666666"/>
          <w:sz w:val="26"/>
          <w:szCs w:val="26"/>
        </w:rPr>
        <w:t xml:space="preserve">Zero Trust IAM Architecture | Capstone Project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EISP-FRD-002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13 April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Manisha Gupta</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CONFIDENTIAL — INTERNAL USE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 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EISP-BRD-001 — Business Requirements Document</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IdP Platform</w:t>
            </w:r>
          </w:p>
        </w:tc>
        <w:tc>
          <w:tcPr>
            <w:tcW w:type="dxa" w:w="6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(self-hosted) — replaces Entra ID / Okta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July 2026</w:t>
            </w:r>
          </w:p>
        </w:tc>
      </w:tr>
    </w:tbl>
    <w:p>
      <w:pPr>
        <w:spacing w:after="60" w:before="60"/>
      </w:pPr>
      <w:r>
        <w:t xml:space="preserve"/>
      </w:r>
    </w:p>
    <w:p>
      <w:r>
        <w:br w:type="page"/>
      </w:r>
    </w:p>
    <w:p>
      <w:pPr>
        <w:pStyle w:val="Heading1"/>
        <w:spacing w:after="180" w:before="360"/>
      </w:pPr>
      <w:r>
        <w:rPr>
          <w:rFonts w:ascii="Arial" w:cs="Arial" w:eastAsia="Arial" w:hAnsi="Arial"/>
          <w:b/>
          <w:bCs/>
          <w:color w:val="1B5E20"/>
          <w:sz w:val="32"/>
          <w:szCs w:val="32"/>
        </w:rPr>
        <w:t xml:space="preserve">1. Purpose and Scope</w:t>
      </w:r>
    </w:p>
    <w:p>
      <w:pPr>
        <w:spacing w:after="80" w:before="80"/>
      </w:pPr>
      <w:r>
        <w:rPr>
          <w:rFonts w:ascii="Arial" w:cs="Arial" w:eastAsia="Arial" w:hAnsi="Arial"/>
          <w:sz w:val="22"/>
          <w:szCs w:val="22"/>
        </w:rPr>
        <w:t xml:space="preserve">This Functional Requirements Document (FRD) defines the detailed functional specifications for all components of the Enterprise Identity Security Platform (EISP). It translates the business requirements defined in EISP-BRD-001 into precise, testable, and implementation-ready technical specifications.</w:t>
      </w:r>
    </w:p>
    <w:p>
      <w:pPr>
        <w:spacing w:after="60" w:before="60"/>
      </w:pPr>
      <w:r>
        <w:t xml:space="preserve"/>
      </w:r>
    </w:p>
    <w:p>
      <w:pPr>
        <w:spacing w:after="80" w:before="80"/>
      </w:pPr>
      <w:r>
        <w:rPr>
          <w:rFonts w:ascii="Arial" w:cs="Arial" w:eastAsia="Arial" w:hAnsi="Arial"/>
          <w:sz w:val="22"/>
          <w:szCs w:val="22"/>
        </w:rPr>
        <w:t xml:space="preserve">Each functional requirement specifies: what the system must do, how it will be implemented, what tools will be used, and what acceptance criteria must be met for the requirement to be considered complete. All requirements are directly traceable to the business requirements in the BRD.</w:t>
      </w:r>
    </w:p>
    <w:p>
      <w:pPr>
        <w:spacing w:after="60" w:before="60"/>
      </w:pPr>
      <w:r>
        <w:t xml:space="preserve"/>
      </w:r>
    </w:p>
    <w:p>
      <w:pPr>
        <w:spacing w:after="80" w:before="80"/>
      </w:pPr>
      <w:r>
        <w:rPr>
          <w:rFonts w:ascii="Arial" w:cs="Arial" w:eastAsia="Arial" w:hAnsi="Arial"/>
          <w:b/>
          <w:bCs/>
          <w:sz w:val="22"/>
          <w:szCs w:val="22"/>
        </w:rPr>
        <w:t xml:space="preserve">Key Platform Decision: authentik is used as the self-hosted Identity Provider (IdP) in place of Microsoft Entra ID or Okta. authentik is open-source, free, ARM64-compatible, and supports all required IAM protocols including SAML 2.0, OAuth 2.0, OpenID Connect, and SCIM provisioning.</w:t>
      </w:r>
    </w:p>
    <w:p>
      <w:pPr>
        <w:spacing w:after="60" w:before="60"/>
      </w:pPr>
      <w:r>
        <w:t xml:space="preserve"/>
      </w:r>
    </w:p>
    <w:p>
      <w:pPr>
        <w:pStyle w:val="Heading1"/>
        <w:spacing w:after="180" w:before="360"/>
      </w:pPr>
      <w:r>
        <w:rPr>
          <w:rFonts w:ascii="Arial" w:cs="Arial" w:eastAsia="Arial" w:hAnsi="Arial"/>
          <w:b/>
          <w:bCs/>
          <w:color w:val="1B5E20"/>
          <w:sz w:val="32"/>
          <w:szCs w:val="32"/>
        </w:rPr>
        <w:t xml:space="preserve">2. System Architecture Overview</w:t>
      </w:r>
    </w:p>
    <w:p>
      <w:pPr>
        <w:pStyle w:val="Heading2"/>
        <w:spacing w:after="120" w:before="240"/>
      </w:pPr>
      <w:r>
        <w:rPr>
          <w:rFonts w:ascii="Arial" w:cs="Arial" w:eastAsia="Arial" w:hAnsi="Arial"/>
          <w:b/>
          <w:bCs/>
          <w:color w:val="2E7D32"/>
          <w:sz w:val="26"/>
          <w:szCs w:val="26"/>
        </w:rPr>
        <w:t xml:space="preserve">2.1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Tool / Platform</w:t>
            </w:r>
          </w:p>
        </w:tc>
        <w:tc>
          <w:tcPr>
            <w:tcW w:type="dxa" w:w="26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Identity Layer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Identity Provider (IdP)</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(self-hosted, Docker)</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Centralized auth, SSO, MFA, SCIM provisioning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IAM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IAM + STS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Role-based cloud access, permission boundaries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Network Layer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VPC Infrastructure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VPC + Terraform</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Isolated network for all EISP 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HashiCorp Vault Community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secrets, credential rotation, AppRole auth</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Monitoring Layer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SIEM</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Wazuh (Docker)</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Log collection, detection rules, alerting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Intel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Threat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OpenCTI (Docker)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IoC analysis, ATT&amp;CK connector, threat feeds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Lab Layer</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Offensive Security Lab</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Kali Linux (VirtualBox)</w:t>
            </w:r>
          </w:p>
        </w:tc>
        <w:tc>
          <w:tcPr>
            <w:tcW w:type="dxa" w:w="26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Phishing simulation, vulnerability scanning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IaC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Automation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 Python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provisioning and configuration</w:t>
            </w:r>
          </w:p>
        </w:tc>
      </w:tr>
    </w:tbl>
    <w:p>
      <w:pPr>
        <w:spacing w:after="60" w:before="60"/>
      </w:pPr>
      <w:r>
        <w:t xml:space="preserve"/>
      </w:r>
    </w:p>
    <w:p>
      <w:pPr>
        <w:pStyle w:val="Heading2"/>
        <w:spacing w:after="120" w:before="240"/>
      </w:pPr>
      <w:r>
        <w:rPr>
          <w:rFonts w:ascii="Arial" w:cs="Arial" w:eastAsia="Arial" w:hAnsi="Arial"/>
          <w:b/>
          <w:bCs/>
          <w:color w:val="2E7D32"/>
          <w:sz w:val="26"/>
          <w:szCs w:val="26"/>
        </w:rPr>
        <w:t xml:space="preserve">2.2 Data Flow — Authentication</w:t>
      </w:r>
    </w:p>
    <w:p>
      <w:pPr>
        <w:spacing w:after="80" w:before="80"/>
      </w:pPr>
      <w:r>
        <w:rPr>
          <w:rFonts w:ascii="Arial" w:cs="Arial" w:eastAsia="Arial" w:hAnsi="Arial"/>
          <w:sz w:val="22"/>
          <w:szCs w:val="22"/>
        </w:rPr>
        <w:t xml:space="preserve">User Login Flow:</w:t>
      </w:r>
    </w:p>
    <w:p>
      <w:pPr>
        <w:pStyle w:val="ListParagraph"/>
        <w:numPr>
          <w:ilvl w:val="0"/>
          <w:numId w:val="2"/>
        </w:numPr>
        <w:spacing w:after="60" w:before="60"/>
      </w:pPr>
      <w:r>
        <w:rPr>
          <w:rFonts w:ascii="Arial" w:cs="Arial" w:eastAsia="Arial" w:hAnsi="Arial"/>
          <w:sz w:val="22"/>
          <w:szCs w:val="22"/>
        </w:rPr>
        <w:t xml:space="preserve">User navigates to any EISP-connected application</w:t>
      </w:r>
    </w:p>
    <w:p>
      <w:pPr>
        <w:pStyle w:val="ListParagraph"/>
        <w:numPr>
          <w:ilvl w:val="0"/>
          <w:numId w:val="2"/>
        </w:numPr>
        <w:spacing w:after="60" w:before="60"/>
      </w:pPr>
      <w:r>
        <w:rPr>
          <w:rFonts w:ascii="Arial" w:cs="Arial" w:eastAsia="Arial" w:hAnsi="Arial"/>
          <w:sz w:val="22"/>
          <w:szCs w:val="22"/>
        </w:rPr>
        <w:t xml:space="preserve">Application redirects to authentik IdP login page (SAML 2.0 or OIDC)</w:t>
      </w:r>
    </w:p>
    <w:p>
      <w:pPr>
        <w:pStyle w:val="ListParagraph"/>
        <w:numPr>
          <w:ilvl w:val="0"/>
          <w:numId w:val="2"/>
        </w:numPr>
        <w:spacing w:after="60" w:before="60"/>
      </w:pPr>
      <w:r>
        <w:rPr>
          <w:rFonts w:ascii="Arial" w:cs="Arial" w:eastAsia="Arial" w:hAnsi="Arial"/>
          <w:sz w:val="22"/>
          <w:szCs w:val="22"/>
        </w:rPr>
        <w:t xml:space="preserve">authentik prompts for username + MFA (TOTP or passkey)</w:t>
      </w:r>
    </w:p>
    <w:p>
      <w:pPr>
        <w:pStyle w:val="ListParagraph"/>
        <w:numPr>
          <w:ilvl w:val="0"/>
          <w:numId w:val="2"/>
        </w:numPr>
        <w:spacing w:after="60" w:before="60"/>
      </w:pPr>
      <w:r>
        <w:rPr>
          <w:rFonts w:ascii="Arial" w:cs="Arial" w:eastAsia="Arial" w:hAnsi="Arial"/>
          <w:sz w:val="22"/>
          <w:szCs w:val="22"/>
        </w:rPr>
        <w:t xml:space="preserve">On successful authentication, authentik issues a signed SAML assertion or JWT token</w:t>
      </w:r>
    </w:p>
    <w:p>
      <w:pPr>
        <w:pStyle w:val="ListParagraph"/>
        <w:numPr>
          <w:ilvl w:val="0"/>
          <w:numId w:val="2"/>
        </w:numPr>
        <w:spacing w:after="60" w:before="60"/>
      </w:pPr>
      <w:r>
        <w:rPr>
          <w:rFonts w:ascii="Arial" w:cs="Arial" w:eastAsia="Arial" w:hAnsi="Arial"/>
          <w:sz w:val="22"/>
          <w:szCs w:val="22"/>
        </w:rPr>
        <w:t xml:space="preserve">Application validates the assertion and grants access based on group membership</w:t>
      </w:r>
    </w:p>
    <w:p>
      <w:pPr>
        <w:pStyle w:val="ListParagraph"/>
        <w:numPr>
          <w:ilvl w:val="0"/>
          <w:numId w:val="2"/>
        </w:numPr>
        <w:spacing w:after="60" w:before="60"/>
      </w:pPr>
      <w:r>
        <w:rPr>
          <w:rFonts w:ascii="Arial" w:cs="Arial" w:eastAsia="Arial" w:hAnsi="Arial"/>
          <w:sz w:val="22"/>
          <w:szCs w:val="22"/>
        </w:rPr>
        <w:t xml:space="preserve">All authentication events are logged to Wazuh SIEM via authentik event export</w:t>
      </w:r>
    </w:p>
    <w:p>
      <w:pPr>
        <w:spacing w:after="60" w:before="60"/>
      </w:pPr>
      <w:r>
        <w:t xml:space="preserve"/>
      </w:r>
    </w:p>
    <w:p>
      <w:pPr>
        <w:pStyle w:val="Heading1"/>
        <w:spacing w:after="180" w:before="360"/>
      </w:pPr>
      <w:r>
        <w:rPr>
          <w:rFonts w:ascii="Arial" w:cs="Arial" w:eastAsia="Arial" w:hAnsi="Arial"/>
          <w:b/>
          <w:bCs/>
          <w:color w:val="1B5E20"/>
          <w:sz w:val="32"/>
          <w:szCs w:val="32"/>
        </w:rPr>
        <w:t xml:space="preserve">3. Functional Requirements — Identity Provider (authentik)</w:t>
      </w:r>
    </w:p>
    <w:p>
      <w:pPr>
        <w:pStyle w:val="Heading2"/>
        <w:spacing w:after="120" w:before="240"/>
      </w:pPr>
      <w:r>
        <w:rPr>
          <w:rFonts w:ascii="Arial" w:cs="Arial" w:eastAsia="Arial" w:hAnsi="Arial"/>
          <w:b/>
          <w:bCs/>
          <w:color w:val="2E7D32"/>
          <w:sz w:val="26"/>
          <w:szCs w:val="26"/>
        </w:rPr>
        <w:t xml:space="preserve">3.1 Core IdP Functions</w:t>
      </w:r>
    </w:p>
    <w:p>
      <w:pPr>
        <w:pStyle w:val="Heading3"/>
        <w:spacing w:after="80" w:before="180"/>
      </w:pPr>
      <w:r>
        <w:rPr>
          <w:rFonts w:ascii="Arial" w:cs="Arial" w:eastAsia="Arial" w:hAnsi="Arial"/>
          <w:b/>
          <w:bCs/>
          <w:color w:val="333333"/>
          <w:sz w:val="24"/>
          <w:szCs w:val="24"/>
        </w:rPr>
        <w:t xml:space="preserve">FR-IDP-01 — authentik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Deployment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must be deployed using Docker Compose on the local development environment (MacBook Air M4). The deployment must include PostgreSQL and Redis as required backend services. The admin UI must be accessible via browser on localhost:9000.</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Docker Desktop (ARM64), Docker Compose, authentik official image (ghcr.io/goauthentik/server)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admin console accessible at localhost:9000. Login with admin credentials succeeds. PostgreSQL and Redis containers healthy. authentik logs show no critical errors.</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FR-IDP-02 — User Directory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Directory Management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must serve as the authoritative user directory for all EISP identities. The system must support creation, modification, deactivation, and deletion of user accounts. Users must be organized into Groups that map to RBAC roles.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Admin UI &gt; Directory &gt; Users and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users created in authentik admin UI. Users assigned to groups (Developer, SecurityAnalyst, IAMEngineer). Deactivated users cannot authenticate. User attributes (email, department, role) stored and retrievable.</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FR-IDP-03 — Single Sign-On (SSO) via SAML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Sign-On (SSO) via SAML 2.0</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must function as a SAML 2.0 Identity Provider. At least one Service Provider (SP) must be configured and tested. SSO must enable users to authenticate once and access all connected applications without re-entering credentials.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SAML Provider configuration, AWS IAM SAML federation (for AWS Console SSO)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SAML SP configured in authentik with correct ACS URL and Entity ID. Test user authenticates to SP via authentik SSO flow. SAML assertion received by SP contains correct NameID and group attributes. No re-authentication required for second SP within session.</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FR-IDP-04 — Single Sign-On via OpenID Connect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Sign-On via OpenID Connect (OIDC)</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must function as an OIDC Provider supporting the Authorization Code flow. At least one OIDC client application must be configured and tested. JWT access tokens and ID tokens must be issued correctly.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OAuth2/OIDC Provider configuration, Postman or Python requests for token flow testing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OIDC application created in authentik with client_id and client_secret. Authorization code flow tested using a test client or Postman. JWT token received and decoded to verify correct claims (sub, email, groups). Token expiry enforced.</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FR-IDP-05 — Multi-Factor Authentication (MFA)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Multi-Factor Authentication (MFA) Enforcement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must enforce MFA for all user accounts via a Conditional Access Policy (authentik Flow). MFA must be required at every login session. Supported MFA methods: TOTP authenticator app and WebAuthn (FIDO2 passkey).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Flows and Stages — Authentication Flow with MFA Stage, TOTP and WebAuthn authenticator stages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 Policy in authentik requires MFA stage for all users. Test login with password only is blocked. TOTP registration and login works for test user. WebAuthn registration works in browser. User without MFA cannot complete login.</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FR-IDP-06 — SCIM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SCIM Provisioning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must support SCIM 2.0 outbound provisioning to automatically create, update, and deactivate user accounts in connected applications when the user's status changes in authentik.</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SCIM Provider, connected application with SCIM endpoint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SCIM endpoint configured in authentik. Creating a user in authentik automatically provisions them in the target application. Deactivating user in authentik triggers deprovisioning in the target. SCIM audit log shows provisioning events.</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5E20"/>
          <w:sz w:val="32"/>
          <w:szCs w:val="32"/>
        </w:rPr>
        <w:t xml:space="preserve">4. Functional Requirements — AWS IAM</w:t>
      </w:r>
    </w:p>
    <w:p>
      <w:pPr>
        <w:pStyle w:val="Heading3"/>
        <w:spacing w:after="80" w:before="180"/>
      </w:pPr>
      <w:r>
        <w:rPr>
          <w:rFonts w:ascii="Arial" w:cs="Arial" w:eastAsia="Arial" w:hAnsi="Arial"/>
          <w:b/>
          <w:bCs/>
          <w:color w:val="333333"/>
          <w:sz w:val="24"/>
          <w:szCs w:val="24"/>
        </w:rPr>
        <w:t xml:space="preserve">FR-AWS-01 — VPC and Network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FR-AWS-01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 and Network Infrastructure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 AWS VPC must be provisioned with 4 subnets: Public (jump host), Private-Vault, Private-SIEM, and Isolated-Lab. Correct route tables, Internet Gateway, and Security Groups must be configured for each subnet.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Terraform (main.tf with VPC module) or AWS Console manual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VPC exists with CIDR 10.0.0.0/16. All 4 subnets created with correct CIDRs. Internet Gateway attached, public route table routes 0.0.0.0/0 to IGW. Private subnets have no direct internet route. Security groups restrict traffic to required ports only.</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FR-AWS-02 — IAM Roles and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FR-AWS-02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Roles and Policies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IAM must have 3 RBAC roles defined: Developer (EC2+S3 scoped), Security Analyst (read-only logs and IAM), and IAM Engineer (identity provisioning). Each role must have a custom policy enforcing least privilege. Permission boundaries must be set.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IAM Console, JSON policy documents, aws iam CLI commands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IAM roles exist with correct trust policies. 3 custom policies created and attached. Each policy tested: Developer cannot access IAM management. Security Analyst cannot create resources. IAM Engineer cannot access S3 data. Permission boundaries prevent privilege escalation.</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FR-AWS-03 — SAML Federation with authentik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FR-AWS-03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SAML Federation with authentik</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must be configured to accept SAML 2.0 assertions from authentik as the IdP. Users in authentik groups must be mapped to AWS IAM roles via SAML attribute statements. Console SSO via authentik must work for test users.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IAM &gt; Identity Providers, authentik SAML Provider with AWS as SP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IAM Identity Provider created with authentik SAML metadata. At least 1 role has a trust policy allowing authentik SAML federation. Test user from authentik Developer group successfully assumes Developer IAM role. AWS Console access granted via SAML SSO.</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FR-AWS-04 — CloudTrail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FR-AWS-04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Logging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CloudTrail must be enabled for all regions with logs delivered to an S3 bucket. CloudTrail must capture all management events, IAM changes, and console logins. Logs must be available for SIEM integration.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CloudTrail Console, S3 bucket with appropriate bucket policy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trail created and active. S3 bucket receives CloudTrail log files within 15 minutes of events. Trail captures AssumeRole, CreateUser, AttachRolePolicy events. Logs accessible for SIEM forwarding.</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5E20"/>
          <w:sz w:val="32"/>
          <w:szCs w:val="32"/>
        </w:rPr>
        <w:t xml:space="preserve">5. Functional Requirements — HashiCorp Vault</w:t>
      </w:r>
    </w:p>
    <w:p>
      <w:pPr>
        <w:pStyle w:val="Heading3"/>
        <w:spacing w:after="80" w:before="180"/>
      </w:pPr>
      <w:r>
        <w:rPr>
          <w:rFonts w:ascii="Arial" w:cs="Arial" w:eastAsia="Arial" w:hAnsi="Arial"/>
          <w:b/>
          <w:bCs/>
          <w:color w:val="333333"/>
          <w:sz w:val="24"/>
          <w:szCs w:val="24"/>
        </w:rPr>
        <w:t xml:space="preserve">FR-VLT-01 — Vault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FR-VLT-01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Deployment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HashiCorp Vault Community Edition must be deployed in development mode (for lab) or server mode using Docker on the local environment. Vault UI must be accessible and the root token stored securely.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Docker, vault:latest image, docker-compose.yml for Vault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container running and healthy. Vault UI accessible at localhost:8200. vault status shows initialized and unsealed. Root token generated and stored in secure location (not in code).</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FR-VLT-02 — AppRole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FR-VLT-02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AppRole Authentication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AppRole auth method must be enabled and configured. At least one AppRole must be created for each EISP service (e.g., eisp-app, eisp-monitoring). AppRole role_id and secret_id must be issued with TTL limits.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Vault CLI: vault auth enable approle, vault write auth/approle/role/eisp-app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AppRole auth mounted at auth/approle. eisp-app AppRole created. role_id retrievable. secret_id issued with use_limit=5 and ttl=24h. Python script can authenticate using AppRole and retrieve a Vault token. Token expires as configured.</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FR-VLT-03 — Dynamic Secret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FR-VLT-03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Secret Generation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Should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AWS Secrets Engine must be configured to generate dynamic, short-lived AWS IAM access keys for services. Keys must expire automatically after a defined TTL. No long-lived static AWS keys should be used by services.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Vault AWS Secrets Engine, AWS IAM user with key management permissions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Secrets Engine enabled at aws/. Vault configured with IAM credentials that can create access keys. vault read aws/creds/developer-role generates a new access key. Key appears in AWS IAM under the configured user. Key expires and is auto-revoked after TTL.</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FR-VLT-04 — KV Secrets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FR-VLT-04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 Secrets Store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KV v2 secrets engine must be used to store all static credentials required by the EISP lab (database passwords, API tokens). All secrets must have metadata and version history.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vault secrets enable -version=2 kv, vault kv put secret/eisp/...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 v2 enabled at secret/. At least 3 secrets stored (e.g., db-password, api-token, vault-test). Secret versioning works — update a secret and retrieve previous version. Access controlled by policy — only authorized AppRoles can read specific paths.</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FR-VLT-05 — Vault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FR-VLT-05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Audit Logging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audit logging must be enabled and writing to a file that is forwarded to the SIEM. Every secret access, policy change, and token operation must be logged.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vault audit enable file, Wazuh file monitoring agent on audit log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device enabled: vault audit enable file file_path=/vault/logs/audit.log. Accessing a secret generates a log entry. Log entry contains: timestamp, operation, path, accessor, remote_address. Log file accessible from SIEM agent.</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5E20"/>
          <w:sz w:val="32"/>
          <w:szCs w:val="32"/>
        </w:rPr>
        <w:t xml:space="preserve">6. Functional Requirements — SIEM (Wazuh)</w:t>
      </w:r>
    </w:p>
    <w:p>
      <w:pPr>
        <w:pStyle w:val="Heading3"/>
        <w:spacing w:after="80" w:before="180"/>
      </w:pPr>
      <w:r>
        <w:rPr>
          <w:rFonts w:ascii="Arial" w:cs="Arial" w:eastAsia="Arial" w:hAnsi="Arial"/>
          <w:b/>
          <w:bCs/>
          <w:color w:val="333333"/>
          <w:sz w:val="24"/>
          <w:szCs w:val="24"/>
        </w:rPr>
        <w:t xml:space="preserve">FR-SIEM-01 — Wazuh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FR-SIEM-01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Deployment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must be deployed using Docker Compose with the Wazuh Manager, Wazuh Dashboard, and OpenSearch components. The Wazuh Dashboard must be accessible via browser.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Wazuh Docker Compose from official Wazuh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containers running and healthy (wazuh-manager, wazuh-dashboard, wazuh-indexer). Dashboard accessible at localhost:443 or localhost:5601. Login with admin credentials succeeds. No critical container errors.</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FR-SIEM-02 — Log Source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FR-SIEM-02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Source Integration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must collect logs from: authentik (syslog or file), AWS CloudTrail (S3 integration or Wazuh AWS module), and HashiCorp Vault audit log (file monitoring). All log sources must appear as active agents or integrations in the Wazuh dashboard.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Wazuh ossec.conf configuration, Wazuh AWS S3 module, Filebeat or Wazuh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log sources active in Wazuh. authentik events visible in Wazuh alerts. CloudTrail events visible (at minimum IAM change events). Vault audit log entries visible. Wazuh dashboard shows incoming events from all 3 sources.</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FR-SIEM-03 —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FR-SIEM-03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Rules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must have active detection rules for all 6 mandatory scenarios defined in BR-TD-02: MFA spike, impossible travel, brute force, privilege escalation, unusual secret access, new admin account created.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Wazuh custom rules (local_rules.xml), Wazuh rule syntax, simulated test events via log injection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custom detection rules created in Wazuh rules XML. Each rule tested with a simulated event. Each rule fires an alert with correct severity level (high or critical). Alert appears in Wazuh dashboard within 60 seconds of trigger event.</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FR-SIEM-04 — MFA Spike Detection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FR-SIEM-04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MFA Spike Detection Rule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specific detection rule must identify when 5 or more failed MFA attempts occur on a single account within a 10-minute window. This is the primary detection rule for the Task 12I deliverable.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Wazuh local_rules.xml with &lt;frequency&gt; and &lt;timeframe&gt; tags, authentik MFA failure log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 created with frequency threshold of 5 events in 600 seconds on the same user field. Test: inject 5 simulated MFA failure log entries for the same user within 10 minutes. Alert fires. Alert contains account name, timestamp, and count. Alert severity: High.</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5E20"/>
          <w:sz w:val="32"/>
          <w:szCs w:val="32"/>
        </w:rPr>
        <w:t xml:space="preserve">7. Functional Requirements — Cyber Threat Analysis (Tasks 12A–12J)</w:t>
      </w:r>
    </w:p>
    <w:p>
      <w:pPr>
        <w:pStyle w:val="Heading3"/>
        <w:spacing w:after="80" w:before="180"/>
      </w:pPr>
      <w:r>
        <w:rPr>
          <w:rFonts w:ascii="Arial" w:cs="Arial" w:eastAsia="Arial" w:hAnsi="Arial"/>
          <w:b/>
          <w:bCs/>
          <w:color w:val="333333"/>
          <w:sz w:val="24"/>
          <w:szCs w:val="24"/>
        </w:rPr>
        <w:t xml:space="preserve">FR-TA-01 — Malware Analysis (Task 12A)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Malware Analysis (Task 12A)</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malware sample must be analyzed using VirusTotal (static) and Any.Run or Hybrid Analysis (dynamic sandbox). The analysis must document: detection ratio, file hashes, behavioral IoCs, network indicators, and EISP impact assessment.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VirusTotal web UI, Any.Run free sandbox, safe malware sample from MalwareBazaar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Malware analysis report document produced. VirusTotal scan results captured (screenshot + detection ratio). Behavioral analysis from Any.Run includes: processes spawned, network connections, registry changes. Minimum 3 IoCs documented. EISP impact section explains how this malware could affect the EISP environment.</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FR-TA-02 — Phishing Simulation (Task 12B)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 Simulation (Task 12B)</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phishing credential harvesting page must be created using the Social Engineering Toolkit (SET) on Kali Linux. The template must simulate an authentik or corporate login page to model the EISP credential theft attack vector.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Kali Linux VM, Social Engineering Toolkit (setoolkit), local network only — no real targets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installed and operational on Kali Linux VM. Credential Harvester module used to clone a login page. Phishing page accessible from local test machine. Submitted test credentials captured by SET. Documentation includes: SET configuration steps, screenshot of harvested credentials, EISP relevance explanation.</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FR-TA-03 — APT Campaign Mapping (Task 12C)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 Campaign Mapping (Task 12C)</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real-world APT campaign must be researched and mapped to the MITRE ATT&amp;CK framework. The mapping must focus on identity-relevant techniques: credential access, lateral movement, and privilege escalation.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MITRE ATT&amp;CK Navigator (attack.mitre.org/navigator), MITRE ATT&amp;CK Group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APT group selected (e.g., APT29/Cozy Bear). Minimum 8 MITRE ATT&amp;CK techniques identified and documented. Techniques include at least: 1 Initial Access, 2 Credential Access, 1 Lateral Movement, 1 Privilege Escalation technique. MITRE ATT&amp;CK Navigator layer file exported. Each technique mapped to its EISP relevance.</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FR-TA-04 — Vulnerability Assessment (Tasks 12D–12E)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Vulnerability Assessment (Tasks 12D–12E)</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must be used to perform a port scan and service enumeration against the EISP lab environment (VMs on local network). An asset discovery scan must enumerate all live hosts and services. Findings must be CVSS-classified.</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Nmap (kali or homebrew), draw.io for network map, CVSS v3 calculator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Nmap scan completed against lab network range. Scan results show: open ports, service versions, OS detection. At least 3 hosts discovered in asset inventory. Network map diagram produced (draw.io or similar). CVSS score assigned to at least 2 findings. Vulnerability scan report document produced.</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FR-TA-05 — IoC Analysis (Task 12F)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IoC Analysis (Task 12F)</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 Indicators of Compromise (IoCs) must be analyzed in detail. Each IoC must be documented with: IoC type (IP, hash, domain, URL), source, threat context, detection method, and EISP-specific response recommendation.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OpenCTI, AlienVault OTX, AbuseIPDB, VirusTotal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IoC analysis entries produced. Each IoC entry contains: Type, Value, Source (threat feed or incident), Associated threat actor or campaign, Detection method (SIEM rule, firewall block, hash scan), Recommended EISP response. IoCs sourced from OpenCTI or public threat feeds (AlienVault OTX, AbuseIPDB).</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FR-TA-06 — OpenCTI Deployment (Task 12G)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OpenCTI Deployment (Task 12G)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OpenCTI must be deployed via Docker Compose. At least 2 connectors must be configured and operational: MITRE ATT&amp;CK connector and AlienVault OTX (or equivalent). The platform must ingest and display threat intelligence data.</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Docker Compose, OpenCTI official Docker stack, MITRE ATT&amp;CK connector, AlienVault OTX connector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OpenCTI accessible via browser. Login succeeds. MITRE ATT&amp;CK connector active and importing techniques. Second connector (AlienVault OTX or similar) active and importing IoCs. At least 1 threat report visible in OpenCTI. Screenshots of connector status and ingested data produced.</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FR-TA-07 — Risk Assessment (Task 12H)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Assessment (Task 12H)</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risk register must identify and document 2 critical risks derived from vulnerability scan findings. Each risk must have: risk description, likelihood, impact, CVSS-based severity, treatment recommendation, and a monitoring SOP.</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Risk register template (Word/Excel), CVSS v3 Calculator, Nmap scan findings as input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register document produced with minimum 2 critical risk entries. Each entry contains: Risk ID, Description, Likelihood (High/Medium/Low), Impact (High/Medium/Low), CVSS Score, Risk Rating, Treatment option (Accept/Mitigate/Transfer/Avoid), Mitigation steps (minimum 3), Monitoring procedure, Review frequency.</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FR-TA-08 — Incident Response Scenario (Task 12J)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 Response Scenario (Task 12J)</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IR Plan (EISP-IRP-001) must be supplemented with a fully completed incident scenario simulation. The scenario must walk through all 4 NIST phases for a credential theft event, including a completed Lessons Learned document.</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EISP-IRP-001 document, Lessons Learned template from Section 11.2 of IRP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Scenario narrative written with fictional attacker timeline and affected systems. All 4 NIST phases executed (narrative walkthrough). Lessons Learned template completed with: Time to Detect, Time to Contain, Root Cause, What Worked, What Failed, Action Items with owners and due dates. Document classified and version-controlled.</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5E20"/>
          <w:sz w:val="32"/>
          <w:szCs w:val="32"/>
        </w:rPr>
        <w:t xml:space="preserve">8. Functional Requirements — Automation and IaC</w:t>
      </w:r>
    </w:p>
    <w:p>
      <w:pPr>
        <w:pStyle w:val="Heading3"/>
        <w:spacing w:after="80" w:before="180"/>
      </w:pPr>
      <w:r>
        <w:rPr>
          <w:rFonts w:ascii="Arial" w:cs="Arial" w:eastAsia="Arial" w:hAnsi="Arial"/>
          <w:b/>
          <w:bCs/>
          <w:color w:val="333333"/>
          <w:sz w:val="24"/>
          <w:szCs w:val="24"/>
        </w:rPr>
        <w:t xml:space="preserve">FR-AUTO-01 — Terraform VPC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FR-AUTO-01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VPC Provisioning</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VPC, subnets, route tables, and Internet Gateway must be defined in Terraform configuration files and deployable with terraform apply. Infrastructure must be version-controlled in a local Git repository.</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Terraform CLI, AWS provider, main.tf / variables.tf / outputs.tf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init, terraform plan, and terraform apply complete without errors. VPC and subnets created in AWS matching Terraform configuration. terraform destroy cleanly removes all resources. Terraform state file exists. All resources tagged with EISP project tags.</w:t>
            </w:r>
          </w:p>
        </w:tc>
      </w:tr>
    </w:tbl>
    <w:p>
      <w:pPr>
        <w:spacing w:after="60" w:before="60"/>
      </w:pPr>
      <w:r>
        <w:t xml:space="preserve"/>
      </w:r>
    </w:p>
    <w:p>
      <w:pPr>
        <w:pStyle w:val="Heading3"/>
        <w:spacing w:after="80" w:before="180"/>
      </w:pPr>
      <w:r>
        <w:rPr>
          <w:rFonts w:ascii="Arial" w:cs="Arial" w:eastAsia="Arial" w:hAnsi="Arial"/>
          <w:b/>
          <w:bCs/>
          <w:color w:val="333333"/>
          <w:sz w:val="24"/>
          <w:szCs w:val="24"/>
        </w:rPr>
        <w:t xml:space="preserve">FR-AUTO-02 — Python Identity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Requirement ID</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FR-AUTO-02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Identity Automation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Priority</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Must Have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scripts must be developed to perform at minimum: user creation in authentik via API, user deactivation (Leaver scenario), and Vault secret retrieval. Scripts must use environment variables for credentials — no hardcoded secrets.</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Tools / Implementation</w:t>
            </w:r>
          </w:p>
        </w:tc>
        <w:tc>
          <w:tcPr>
            <w:tcW w:type="dxa" w:w="7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Python 3, authentik REST API, hvac (HashiCorp Vault Python client), python-dotenv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Criteria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 creates a test user in authentik via REST API. Script deactivates a user in authentik (Leaver trigger). Script retrieves a secret from Vault using AppRole token. All scripts use os.environ for credentials. Scripts include error handling and log output.</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B5E20"/>
          <w:sz w:val="32"/>
          <w:szCs w:val="32"/>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500"/>
        <w:gridCol w:w="2360"/>
      </w:tblGrid>
      <w:tr>
        <w:trPr>
          <w:tblHeader/>
        </w:trPr>
        <w:tc>
          <w:tcPr>
            <w:tcW w:type="dxa" w:w="1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NFR-01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Security</w:t>
            </w:r>
          </w:p>
        </w:tc>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credentials must be stored in Vault or environment variables — zero hardcoded secrets in any file</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100% compliance — verified by code review</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admin accounts must have MFA enforced — no exceptions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accounts without MFA after Week 2</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NFR-03</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IdP must remain accessible during all EISP test scenarios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Zero unplanned authentik downtime during testing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Auditability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authentication events must be logged and retained for minimum 30 days in lab environment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auth events captured in Wazuh</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NFR-05</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Portability</w:t>
            </w:r>
          </w:p>
        </w:tc>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Docker-based components must run on ARM64 (MacBook Air M4)</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containers verified on ARM64 before deployment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project artifacts must follow EISP naming convention and version control standards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of documents have Document ID, version, author, classification</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NFR-07</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Recoverability</w:t>
            </w:r>
          </w:p>
        </w:tc>
        <w:tc>
          <w:tcPr>
            <w:tcW w:type="dxa" w:w="4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Lab environment must be rebuildable from IaC and documentation within 4 hours</w:t>
            </w:r>
          </w:p>
        </w:tc>
        <w:tc>
          <w:tcPr>
            <w:tcW w:type="dxa" w:w="2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Terraform + Docker Compose enables full rebuild</w:t>
            </w:r>
          </w:p>
        </w:tc>
      </w:tr>
    </w:tbl>
    <w:p>
      <w:pPr>
        <w:spacing w:after="60" w:before="60"/>
      </w:pPr>
      <w:r>
        <w:t xml:space="preserve"/>
      </w:r>
    </w:p>
    <w:p>
      <w:pPr>
        <w:pStyle w:val="Heading1"/>
        <w:spacing w:after="180" w:before="360"/>
      </w:pPr>
      <w:r>
        <w:rPr>
          <w:rFonts w:ascii="Arial" w:cs="Arial" w:eastAsia="Arial" w:hAnsi="Arial"/>
          <w:b/>
          <w:bCs/>
          <w:color w:val="1B5E20"/>
          <w:sz w:val="32"/>
          <w:szCs w:val="32"/>
        </w:rPr>
        <w:t xml:space="preserve">10.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2500"/>
        <w:gridCol w:w="1360"/>
      </w:tblGrid>
      <w:tr>
        <w:trPr>
          <w:tblHeader/>
        </w:trPr>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FR ID</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BR ID</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BR-IAM-01</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authentik Deployment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Running authentik instance</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FR-IDP-02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BR-IAM-01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Directory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and group structure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FR-IDP-03</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BR-IAM-01</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SAML 2.0 SSO</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Console SSO via SAML</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FR-IDP-04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BR-IAM-01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OIDC SSO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OIDC client application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FR-IDP-05</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BR-IAM-02</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MFA Enforcement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MFA policy active for all users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FR-IDP-06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BR-IAM-03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SCIM Provisioning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Auto-provisioning workflow</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FR-AWS-01</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BR-IAM-05</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VPC Infrastructure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Terraform VPC configuration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FR-AWS-02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BR-IAM-04, 05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Roles and Policies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IAM policies + roles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FR-AWS-03</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BR-IAM-01</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SAML Federation</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SAML IdP configuration</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FR-AWS-04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BR-IAM-07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Logging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CloudTrail trail + S3 bucket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FR-VLT-01 to 05</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BR-SM-01 to 05</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HashiCorp Vault</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Vault with AppRole + dynamic secrets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FR-SIEM-01 to 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BR-TD-01, 02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SIEM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Wazuh with 6 detection rules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FR-TA-01 to 08</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BR-TD-03 to 05</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Threat Analysis Tasks 12A-12J</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10 task deliverables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In Progress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FR-AUTO-01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BR-CO-01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VPC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main.tf deployed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FR-AUTO-02</w:t>
            </w:r>
          </w:p>
        </w:tc>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BR-IAM-03</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Python Automation</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3 Python scripts</w:t>
            </w:r>
          </w:p>
        </w:tc>
        <w:tc>
          <w:tcPr>
            <w:tcW w:type="dxa" w:w="1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Planned</w:t>
            </w:r>
          </w:p>
        </w:tc>
      </w:tr>
    </w:tbl>
    <w:p>
      <w:pPr>
        <w:spacing w:after="60" w:before="60"/>
      </w:pPr>
      <w:r>
        <w:t xml:space="preserve"/>
      </w:r>
    </w:p>
    <w:p>
      <w:pPr>
        <w:pStyle w:val="Heading1"/>
        <w:spacing w:after="180" w:before="360"/>
      </w:pPr>
      <w:r>
        <w:rPr>
          <w:rFonts w:ascii="Arial" w:cs="Arial" w:eastAsia="Arial" w:hAnsi="Arial"/>
          <w:b/>
          <w:bCs/>
          <w:color w:val="1B5E20"/>
          <w:sz w:val="32"/>
          <w:szCs w:val="32"/>
        </w:rPr>
        <w:t xml:space="preserve">11. Implementation Sequence</w:t>
      </w:r>
    </w:p>
    <w:p>
      <w:pPr>
        <w:spacing w:after="80" w:before="80"/>
      </w:pPr>
      <w:r>
        <w:rPr>
          <w:rFonts w:ascii="Arial" w:cs="Arial" w:eastAsia="Arial" w:hAnsi="Arial"/>
          <w:sz w:val="22"/>
          <w:szCs w:val="22"/>
        </w:rPr>
        <w:t xml:space="preserve">The following sequence is recommended for EISP component installation to minimize dependency conflicts: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500"/>
        <w:gridCol w:w="29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9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Week 1</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Account + VPC</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Create VPC, subnets, IGW via Terraform or Console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via Docker Compose on MacBook; configure admin account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Desktop</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Week 1</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HashiCorp Vault</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Deploy via Docker; initialize and unseal; enable AppRole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Docker Desktop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Users + Groups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users, groups, RBAC structure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authentik deployed</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Week 2</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MFA Flows in authentik</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Configure authentication flows with TOTP/WebAuthn MFA stage</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Users created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SAML Federation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authentik metadata to AWS IAM IdP; configure role trust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SAML Provider configured</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Week 3</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IAM Policies</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Create and test 3 RBAC policies and roles</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AWS 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KV + AppRole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secrets paths, create AppRoles, test Python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Vault deployed</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Week 4</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Wazuh SIEM</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Deploy Wazuh Docker stack; connect log sources; write detection rules</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All components deployed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OpenCTI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OpenCTI Docker stack; configure MITRE + OTX connectors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resources available</w:t>
            </w:r>
          </w:p>
        </w:tc>
      </w:tr>
      <w:t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Week 4</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Kali Tasks</w:t>
            </w:r>
          </w:p>
        </w:tc>
        <w:tc>
          <w:tcPr>
            <w:tcW w:type="dxa" w:w="3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Phishing simulation, Nmap scan, SET configuration</w:t>
            </w:r>
          </w:p>
        </w:tc>
        <w:tc>
          <w:tcPr>
            <w:tcW w:type="dxa" w:w="2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Kali Linux VM ready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Terraform IaC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Formalize all AWS resources in Terraform 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resources exist</w:t>
            </w:r>
          </w:p>
        </w:tc>
      </w:tr>
    </w:tbl>
    <w:p>
      <w:pPr>
        <w:spacing w:after="60" w:before="60"/>
      </w:pPr>
      <w:r>
        <w:t xml:space="preserve"/>
      </w:r>
    </w:p>
    <w:p>
      <w:pPr>
        <w:pStyle w:val="Heading1"/>
        <w:spacing w:after="180" w:before="360"/>
      </w:pPr>
      <w:r>
        <w:rPr>
          <w:rFonts w:ascii="Arial" w:cs="Arial" w:eastAsia="Arial" w:hAnsi="Arial"/>
          <w:b/>
          <w:bCs/>
          <w:color w:val="1B5E20"/>
          <w:sz w:val="32"/>
          <w:szCs w:val="32"/>
        </w:rPr>
        <w:t xml:space="preserve">12.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Author / IAM Engineer</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Manisha Gupta</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________________________</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13 April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Reviewer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[Instructor 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________________________</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____________</w:t>
            </w:r>
          </w:p>
        </w:tc>
      </w:tr>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Program Manager</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[PM Name]</w:t>
            </w:r>
          </w:p>
        </w:tc>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________________________</w:t>
            </w:r>
          </w:p>
        </w:tc>
        <w:tc>
          <w:tcPr>
            <w:tcW w:type="dxa" w:w="1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____________</w:t>
            </w:r>
          </w:p>
        </w:tc>
      </w:tr>
    </w:tbl>
    <w:p>
      <w:pPr>
        <w:spacing w:after="60" w:before="60"/>
      </w:pPr>
      <w:r>
        <w:t xml:space="preserve"/>
      </w:r>
    </w:p>
    <w:p>
      <w:pPr>
        <w:spacing w:after="80" w:before="80"/>
      </w:pPr>
      <w:r>
        <w:rPr>
          <w:rFonts w:ascii="Arial" w:cs="Arial" w:eastAsia="Arial" w:hAnsi="Arial"/>
          <w:i/>
          <w:iCs/>
          <w:color w:val="888888"/>
          <w:sz w:val="18"/>
          <w:szCs w:val="18"/>
        </w:rPr>
        <w:t xml:space="preserve">Document ID: EISP-FRD-002  |  Version: 1.0  |  Classification: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6" w:space="1"/>
      </w:pBdr>
      <w:tabs>
        <w:tab w:val="right" w:pos="9360"/>
      </w:tabs>
    </w:pPr>
    <w:r>
      <w:rPr>
        <w:rFonts w:ascii="Arial" w:cs="Arial" w:eastAsia="Arial" w:hAnsi="Arial"/>
        <w:color w:val="555555"/>
        <w:sz w:val="18"/>
        <w:szCs w:val="18"/>
      </w:rPr>
      <w:t xml:space="preserve">Manisha Gupta  |  EISP-FRD-002  |  Version 1.0  |  April 2026</w:t>
    </w:r>
    <w:r>
      <w:rPr>
        <w:rFonts w:ascii="Arial" w:cs="Arial" w:eastAsia="Arial" w:hAnsi="Arial"/>
        <w:color w:val="555555"/>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1"/>
      </w:pBdr>
    </w:pPr>
    <w:r>
      <w:rPr>
        <w:rFonts w:ascii="Arial" w:cs="Arial" w:eastAsia="Arial" w:hAnsi="Arial"/>
        <w:color w:val="1B5E20"/>
        <w:sz w:val="18"/>
        <w:szCs w:val="18"/>
      </w:rPr>
      <w:t xml:space="preserve">Enterprise Identity Security Platform (EISP)  |  Functional Requirements Document</w:t>
    </w:r>
    <w:r>
      <w:rPr>
        <w:rFonts w:ascii="Arial" w:cs="Arial" w:eastAsia="Arial" w:hAnsi="Arial"/>
        <w:b/>
        <w:bCs/>
        <w:color w:val="C0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2026-04-13T16:54:06.488Z</dcterms:created>
  <dcterms:modified xsi:type="dcterms:W3CDTF">2026-04-13T16:54:06.489Z</dcterms:modified>
</cp:coreProperties>
</file>

<file path=docProps/custom.xml><?xml version="1.0" encoding="utf-8"?>
<Properties xmlns="http://schemas.openxmlformats.org/officeDocument/2006/custom-properties" xmlns:vt="http://schemas.openxmlformats.org/officeDocument/2006/docPropsVTypes"/>
</file>