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569B"/>
          <w:sz w:val="48"/>
        </w:rPr>
        <w:t>IKEA GIFTING</w:t>
        <w:br/>
      </w:r>
      <w:r>
        <w:rPr>
          <w:b/>
          <w:sz w:val="28"/>
        </w:rPr>
        <w:t>Customer Analytics &amp; RFM Segmentation Initiative</w:t>
      </w:r>
    </w:p>
    <w:p>
      <w:pPr>
        <w:jc w:val="center"/>
      </w:pPr>
      <w:r>
        <w:t>Business Requirements Document | Portfolio Project</w:t>
      </w:r>
    </w:p>
    <w:p>
      <w:r>
        <w:t>Prepared by: Manish Kumar</w:t>
      </w:r>
    </w:p>
    <w:p>
      <w:r>
        <w:t>Version: 1.1 | Status: Portfolio documentation</w:t>
      </w:r>
    </w:p>
    <w:p>
      <w:pPr>
        <w:pStyle w:val="Heading1"/>
      </w:pPr>
      <w:r>
        <w:t>Disclaimer</w:t>
      </w:r>
    </w:p>
    <w:p>
      <w:r>
        <w:t>IKEA Gifting is a fictional business scenario created for this educational portfolio project. It is not affiliated with, endorsed by, or representative of the real IKEA corporation. The transaction data is sourced from the public Online Retail II dataset. Dashboard metrics describe analysis of that dataset and do not represent the real IKEA corporation's performance.</w:t>
      </w:r>
    </w:p>
    <w:p>
      <w:pPr>
        <w:pStyle w:val="Heading1"/>
      </w:pPr>
      <w:r>
        <w:t>1. Project Background</w:t>
      </w:r>
    </w:p>
    <w:p>
      <w:r>
        <w:t>The fictional business is a UK-based non-store online retailer specializing in all-occasion giftware and home décor. The analysis explores historical transaction records from December 2009 to December 2011. The goal is to develop a structured, data-driven view of customer value and inactivity to support more targeted retention decisions.</w:t>
      </w:r>
    </w:p>
    <w:p>
      <w:pPr>
        <w:pStyle w:val="Heading1"/>
      </w:pPr>
      <w:r>
        <w:t>2. Business Objective</w:t>
      </w:r>
    </w:p>
    <w:p>
      <w:r>
        <w:t>Identify high-value customer segments and quantify inactivity risk so hypothetical marketing, CRM, and retention teams can prioritize effort based on customer value and recency rather than applying one uniform strategy.</w:t>
      </w:r>
    </w:p>
    <w:p>
      <w:pPr>
        <w:pStyle w:val="Heading1"/>
      </w:pPr>
      <w:r>
        <w:t>3. Business Questions</w:t>
      </w:r>
    </w:p>
    <w:p>
      <w:r>
        <w:t>• Who are the most valuable customers and how much revenue do they contribute?</w:t>
      </w:r>
    </w:p>
    <w:p>
      <w:r>
        <w:t>• Which customers have gone quiet and may be at risk of lapsing?</w:t>
      </w:r>
    </w:p>
    <w:p>
      <w:r>
        <w:t>• How do customer value and inactivity indicators change over time?</w:t>
      </w:r>
    </w:p>
    <w:p>
      <w:r>
        <w:t>• How do customer value and churn flags vary across countries?</w:t>
      </w:r>
    </w:p>
    <w:p>
      <w:r>
        <w:t>• What actions should be considered for each segment?</w:t>
      </w:r>
    </w:p>
    <w:p>
      <w:pPr>
        <w:pStyle w:val="Heading1"/>
      </w:pPr>
      <w:r>
        <w:t>4. Scope</w:t>
      </w:r>
    </w:p>
    <w:p>
      <w:r>
        <w:t>In scope: SQL data preparation and profiling; Python RFM calculations and segmentation; a fixed 90-day inactivity flag; and a multi-page interactive Power BI dashboard. Out of scope: predictive churn modeling, individual product recommendations, real-time scoring, and execution of marketing campaigns.</w:t>
      </w:r>
    </w:p>
    <w:p>
      <w:pPr>
        <w:pStyle w:val="Heading1"/>
      </w:pPr>
      <w:r>
        <w:t>5. Data Source</w:t>
      </w:r>
    </w:p>
    <w:p>
      <w:r>
        <w:t>Online Retail II dataset from the UCI Machine Learning Repository, donated by Daqing Chen. The supplied source files contain 1,067,371 data rows combined (excluding headers). The dataset is anonymized and covers transactions from December 2009 to December 2011. Check the source license and attribution terms before redistribution.</w:t>
      </w:r>
    </w:p>
    <w:p>
      <w:pPr>
        <w:pStyle w:val="Heading1"/>
      </w:pPr>
      <w:r>
        <w:t>6. Key Definitions</w:t>
      </w:r>
    </w:p>
    <w:p>
      <w:r>
        <w:t>Recency: days since the customer's most recent purchase relative to the defined snapshot date. Frequency: number of distinct invoices in the analysis period. Monetary: sum of Quantity × Price for included transactions. Churn flag: no recorded purchase in the trailing 90 days, operationalized as Recency &gt; 90 days.</w:t>
      </w:r>
    </w:p>
    <w:p>
      <w:pPr>
        <w:pStyle w:val="Heading1"/>
      </w:pPr>
      <w:r>
        <w:t>7. Customer Segments</w:t>
      </w:r>
    </w:p>
    <w:p>
      <w:r>
        <w:t>Champions: high R, F, and M scores. Loyal: R and F scores at least moderate/high. At Risk: lower recency score with higher frequency. New: high recency score but low frequency. Needs Attention: mid recency with low frequency. Lost: fallback segment for remaining score combinations. See the Python notebook for the exact rule order.</w:t>
      </w:r>
    </w:p>
    <w:p>
      <w:pPr>
        <w:pStyle w:val="Heading1"/>
      </w:pPr>
      <w:r>
        <w:t>8. Deliverables</w:t>
      </w:r>
    </w:p>
    <w:p>
      <w:r>
        <w:t>• Cleaned, deduplicated transaction data</w:t>
      </w:r>
    </w:p>
    <w:p>
      <w:r>
        <w:t>• Customer-level RFM metrics, scores, and segments</w:t>
      </w:r>
    </w:p>
    <w:p>
      <w:r>
        <w:t>• A customer inactivity flag based on the 90-day rule</w:t>
      </w:r>
    </w:p>
    <w:p>
      <w:r>
        <w:t>• Power BI report with home/navigation, business overview, and RFM analysis pages</w:t>
      </w:r>
    </w:p>
    <w:p>
      <w:r>
        <w:t>• Case study report with findings, limitations, and proposed actions</w:t>
      </w:r>
    </w:p>
    <w:p>
      <w:pPr>
        <w:pStyle w:val="Heading1"/>
      </w:pPr>
      <w:r>
        <w:t>9. Success Criteria</w:t>
      </w:r>
    </w:p>
    <w:p>
      <w:r>
        <w:t>The dashboard communicates segment size and revenue contribution, identifies inactivity using a documented rule, and makes findings traceable to a repeatable SQL/Python workflow. Final KPI reconciliation is required before the project is treated as fully validated.</w:t>
      </w:r>
    </w:p>
    <w:p>
      <w:pPr>
        <w:pStyle w:val="Heading1"/>
      </w:pPr>
      <w:r>
        <w:t>10. Stakeholders (Scenario)</w:t>
      </w:r>
    </w:p>
    <w:p>
      <w:r>
        <w:t>Hypothetical marketing, CRM/retention teams, and business leadership.</w:t>
      </w:r>
    </w:p>
    <w:p>
      <w:pPr>
        <w:pStyle w:val="Heading1"/>
      </w:pPr>
      <w:r>
        <w:t>11. Assumptions and Constraints</w:t>
      </w:r>
    </w:p>
    <w:p>
      <w:r>
        <w:t>• The 90-day threshold is a simple, interpretable rule, not a statistically optimized churn threshold.</w:t>
      </w:r>
    </w:p>
    <w:p>
      <w:r>
        <w:t>• Wholesale and individual customers are not separated unless the source supports it.</w:t>
      </w:r>
    </w:p>
    <w:p>
      <w:r>
        <w:t>• The analysis is historical and does not account for promotions or external drivers.</w:t>
      </w:r>
    </w:p>
    <w:p>
      <w:r>
        <w:t>• Dashboard values must be reconciled to final data and DAX measures.</w:t>
      </w:r>
    </w:p>
    <w:p>
      <w:r>
        <w:t>• IKEA Gifting is fictional; the real IKEA corporation is not the subject of the analysis.</w:t>
      </w:r>
    </w:p>
    <w:p>
      <w:r>
        <w:t>Prepared by Manish Kumar | IKEA Gifting Customer Analytics Portfolio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7569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