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TrustChain-AI — Presentation &amp; Viva Technical Summary</w:t>
      </w:r>
    </w:p>
    <w:p>
      <w:pPr>
        <w:spacing w:line="360" w:lineRule="auto" w:before="0" w:after="120"/>
      </w:pPr>
      <w:r>
        <w:rPr>
          <w:rFonts w:ascii="Times New Roman" w:hAnsi="Times New Roman"/>
          <w:b w:val="0"/>
          <w:i/>
          <w:sz w:val="24"/>
        </w:rPr>
        <w:t>Supplementary document for project presentation and viva examination.</w:t>
      </w:r>
    </w:p>
    <w:p>
      <w:pPr>
        <w:pStyle w:val="Heading2"/>
      </w:pPr>
      <w:r>
        <w:t>1. Project Overview (60-second pitch)</w:t>
      </w:r>
    </w:p>
    <w:p>
      <w:pPr>
        <w:spacing w:line="360" w:lineRule="auto" w:before="0" w:after="120"/>
      </w:pPr>
      <w:r>
        <w:rPr>
          <w:rFonts w:ascii="Times New Roman" w:hAnsi="Times New Roman"/>
          <w:b w:val="0"/>
          <w:i w:val="0"/>
          <w:sz w:val="24"/>
        </w:rPr>
        <w:t>TrustChain-AI is a decentralised trust intelligence framework that solves the problem of verifying and continuously monitoring AI agent behaviour in multi-agent collaboration systems. It integrates W3C cryptographic identity (DID:key) with Exponential Moving Average trust scoring and adaptive authorization to provide continuous, auditable trust management for autonomous AI agents.</w:t>
      </w:r>
    </w:p>
    <w:p>
      <w:pPr>
        <w:pStyle w:val="Heading2"/>
      </w:pPr>
      <w:r>
        <w:t>2. Core Trust Model</w:t>
      </w:r>
    </w:p>
    <w:p>
      <w:pPr>
        <w:spacing w:before="80" w:after="80"/>
        <w:ind w:left="720"/>
      </w:pPr>
      <w:r>
        <w:rPr>
          <w:rFonts w:ascii="Courier New" w:hAnsi="Courier New"/>
          <w:b/>
          <w:sz w:val="22"/>
        </w:rPr>
        <w:t>P_i(t) = 0.6*S_i(t) + 0.3*C_i(t) + 0.1*(1 - L_i(t))</w:t>
      </w:r>
      <w:r>
        <w:rPr>
          <w:sz w:val="20"/>
        </w:rPr>
        <w:t xml:space="preserve">  ... (Performance Score)</w:t>
      </w:r>
    </w:p>
    <w:p>
      <w:pPr>
        <w:spacing w:before="80" w:after="80"/>
        <w:ind w:left="720"/>
      </w:pPr>
      <w:r>
        <w:rPr>
          <w:rFonts w:ascii="Courier New" w:hAnsi="Courier New"/>
          <w:b/>
          <w:sz w:val="22"/>
        </w:rPr>
        <w:t>T_i(t) = 0.7*P_i(t) + 0.3*T_i(t-1)</w:t>
      </w:r>
      <w:r>
        <w:rPr>
          <w:sz w:val="20"/>
        </w:rPr>
        <w:t xml:space="preserve">  ... (Temporal Trust (EMA))</w:t>
      </w:r>
    </w:p>
    <w:p>
      <w:pPr>
        <w:spacing w:line="360" w:lineRule="auto" w:before="0" w:after="120"/>
      </w:pPr>
      <w:r>
        <w:rPr>
          <w:rFonts w:ascii="Times New Roman" w:hAnsi="Times New Roman"/>
          <w:b w:val="0"/>
          <w:i w:val="0"/>
          <w:sz w:val="24"/>
        </w:rPr>
        <w:t>States: TRUSTED (T&gt;=0.8) | SUSPICIOUS (0.5&lt;=T&lt;0.8) | QUARANTINED (T&lt;0.5) | REVOKED (admin)</w:t>
      </w:r>
    </w:p>
    <w:p>
      <w:pPr>
        <w:pStyle w:val="Heading2"/>
      </w:pPr>
      <w:r>
        <w:t>3. Key Numbers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Test results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77/77 PASSED (Python 3.12.3, 11.37s)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API endpoints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39 REST endpoints across 4 modules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Database tables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14 (trust, identity, registry, collaboration, workflow, auth)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Frontend components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17 React components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Backend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FastAPI 0.141.1 on port 8050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Frontend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React 19 / Vite 8 on port 5173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Health check latency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SQLite VDR: 4.37 ms (live probe)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Trust weight sum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w1+w2+w3 = 0.6+0.3+0.1 = 1.0 ✓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EMA integrity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lambda+(1-lambda) = 0.7+0.3 = 1.0 ✓</w:t>
            </w:r>
          </w:p>
        </w:tc>
      </w:tr>
    </w:tbl>
    <w:p/>
    <w:p>
      <w:pPr>
        <w:pStyle w:val="Heading2"/>
      </w:pPr>
      <w:r>
        <w:t>4. Anticipated Viva Questions</w:t>
      </w:r>
    </w:p>
    <w:p>
      <w:pPr>
        <w:spacing w:line="360" w:lineRule="auto" w:before="0" w:after="120"/>
      </w:pPr>
      <w:r>
        <w:rPr>
          <w:rFonts w:ascii="Times New Roman" w:hAnsi="Times New Roman"/>
          <w:b/>
          <w:i w:val="0"/>
          <w:sz w:val="24"/>
        </w:rPr>
        <w:t>Q: Why EMA with lambda=0.7?</w:t>
      </w:r>
    </w:p>
    <w:p>
      <w:pPr>
        <w:spacing w:line="360" w:lineRule="auto" w:before="0" w:after="120"/>
      </w:pPr>
      <w:r>
        <w:rPr>
          <w:rFonts w:ascii="Times New Roman" w:hAnsi="Times New Roman"/>
          <w:b w:val="0"/>
          <w:i w:val="0"/>
          <w:sz w:val="24"/>
        </w:rPr>
        <w:t>A: Lambda=0.7 balances responsiveness (fast detection of degradation) and stability (not over-reacting to isolated incidents). Recent behaviour (70%) outweighs history (30%), preventing gaming through a single good window.</w:t>
      </w:r>
    </w:p>
    <w:p/>
    <w:p>
      <w:pPr>
        <w:spacing w:line="360" w:lineRule="auto" w:before="0" w:after="120"/>
      </w:pPr>
      <w:r>
        <w:rPr>
          <w:rFonts w:ascii="Times New Roman" w:hAnsi="Times New Roman"/>
          <w:b/>
          <w:i w:val="0"/>
          <w:sz w:val="24"/>
        </w:rPr>
        <w:t>Q: Why is the VDR a local SQLite and not a blockchain?</w:t>
      </w:r>
    </w:p>
    <w:p>
      <w:pPr>
        <w:spacing w:line="360" w:lineRule="auto" w:before="0" w:after="120"/>
      </w:pPr>
      <w:r>
        <w:rPr>
          <w:rFonts w:ascii="Times New Roman" w:hAnsi="Times New Roman"/>
          <w:b w:val="0"/>
          <w:i w:val="0"/>
          <w:sz w:val="24"/>
        </w:rPr>
        <w:t>A: A local SQLite VDR is explicitly a capstone scope decision: it provides ACID compliance, WAL concurrency, and full auditability within a single deployment. Distributed/blockchain VDR is identified as future scope (Section 6.3.1). We do NOT claim blockchain.</w:t>
      </w:r>
    </w:p>
    <w:p/>
    <w:p>
      <w:pPr>
        <w:spacing w:line="360" w:lineRule="auto" w:before="0" w:after="120"/>
      </w:pPr>
      <w:r>
        <w:rPr>
          <w:rFonts w:ascii="Times New Roman" w:hAnsi="Times New Roman"/>
          <w:b/>
          <w:i w:val="0"/>
          <w:sz w:val="24"/>
        </w:rPr>
        <w:t>Q: How does did:key provide identity without a central authority?</w:t>
      </w:r>
    </w:p>
    <w:p>
      <w:pPr>
        <w:spacing w:line="360" w:lineRule="auto" w:before="0" w:after="120"/>
      </w:pPr>
      <w:r>
        <w:rPr>
          <w:rFonts w:ascii="Times New Roman" w:hAnsi="Times New Roman"/>
          <w:b w:val="0"/>
          <w:i w:val="0"/>
          <w:sz w:val="24"/>
        </w:rPr>
        <w:t>A: The DID URI itself encodes the public key (multicodec + base58). Possession of the private key can be proved by signing a challenge. No external lookup, CA, or infrastructure is needed for verification.</w:t>
      </w:r>
    </w:p>
    <w:p/>
    <w:p>
      <w:pPr>
        <w:spacing w:line="360" w:lineRule="auto" w:before="0" w:after="120"/>
      </w:pPr>
      <w:r>
        <w:rPr>
          <w:rFonts w:ascii="Times New Roman" w:hAnsi="Times New Roman"/>
          <w:b/>
          <w:i w:val="0"/>
          <w:sz w:val="24"/>
        </w:rPr>
        <w:t>Q: What happens if an agent is REVOKED and resubmits telemetry?</w:t>
      </w:r>
    </w:p>
    <w:p>
      <w:pPr>
        <w:spacing w:line="360" w:lineRule="auto" w:before="0" w:after="120"/>
      </w:pPr>
      <w:r>
        <w:rPr>
          <w:rFonts w:ascii="Times New Roman" w:hAnsi="Times New Roman"/>
          <w:b w:val="0"/>
          <w:i w:val="0"/>
          <w:sz w:val="24"/>
        </w:rPr>
        <w:t>A: The trust computation checks REVOKED status before processing telemetry. A REVOKED agent's score is not updated — REVOKED is a terminal state that can only be cleared by administrative de-registration and re-registration.</w:t>
      </w:r>
    </w:p>
    <w:p/>
    <w:p>
      <w:pPr>
        <w:spacing w:line="360" w:lineRule="auto" w:before="0" w:after="120"/>
      </w:pPr>
      <w:r>
        <w:rPr>
          <w:rFonts w:ascii="Times New Roman" w:hAnsi="Times New Roman"/>
          <w:b/>
          <w:i w:val="0"/>
          <w:sz w:val="24"/>
        </w:rPr>
        <w:t>Q: What is the LocalAgentConnector?</w:t>
      </w:r>
    </w:p>
    <w:p>
      <w:pPr>
        <w:spacing w:line="360" w:lineRule="auto" w:before="0" w:after="120"/>
      </w:pPr>
      <w:r>
        <w:rPr>
          <w:rFonts w:ascii="Times New Roman" w:hAnsi="Times New Roman"/>
          <w:b w:val="0"/>
          <w:i w:val="0"/>
          <w:sz w:val="24"/>
        </w:rPr>
        <w:t>A: A structured local execution engine that produces capability-specific deterministic text responses for development and testing. It is NOT live LLM inference. Live LLM integration (OpenAI, Gemini) is identified as future scope.</w:t>
      </w:r>
    </w:p>
    <w:p/>
    <w:p>
      <w:pPr>
        <w:spacing w:line="360" w:lineRule="auto" w:before="0" w:after="120"/>
      </w:pPr>
      <w:r>
        <w:rPr>
          <w:rFonts w:ascii="Times New Roman" w:hAnsi="Times New Roman"/>
          <w:b/>
          <w:i w:val="0"/>
          <w:sz w:val="24"/>
        </w:rPr>
        <w:t>Q: Why are PARALLEL workflows not implemented?</w:t>
      </w:r>
    </w:p>
    <w:p>
      <w:pPr>
        <w:spacing w:line="360" w:lineRule="auto" w:before="0" w:after="120"/>
      </w:pPr>
      <w:r>
        <w:rPr>
          <w:rFonts w:ascii="Times New Roman" w:hAnsi="Times New Roman"/>
          <w:b w:val="0"/>
          <w:i w:val="0"/>
          <w:sz w:val="24"/>
        </w:rPr>
        <w:t>A: The schema supports PARALLEL (WorkflowModel.pattern column) but the execution engine is sequential. Parallel execution requires asyncio task coordination. It is explicitly documented as future scope and NOT claimed as implemented.</w:t>
      </w:r>
    </w:p>
    <w:p/>
    <w:p>
      <w:pPr>
        <w:spacing w:line="360" w:lineRule="auto" w:before="0" w:after="120"/>
      </w:pPr>
      <w:r>
        <w:rPr>
          <w:rFonts w:ascii="Times New Roman" w:hAnsi="Times New Roman"/>
          <w:b/>
          <w:i w:val="0"/>
          <w:sz w:val="24"/>
        </w:rPr>
        <w:t>Q: How does adaptive authorization differ from standard RBAC?</w:t>
      </w:r>
    </w:p>
    <w:p>
      <w:pPr>
        <w:spacing w:line="360" w:lineRule="auto" w:before="0" w:after="120"/>
      </w:pPr>
      <w:r>
        <w:rPr>
          <w:rFonts w:ascii="Times New Roman" w:hAnsi="Times New Roman"/>
          <w:b w:val="0"/>
          <w:i w:val="0"/>
          <w:sz w:val="24"/>
        </w:rPr>
        <w:t>A: RBAC grants fixed permissions by user role at login time. Adaptive authorization adds a trust-state dimension: even an OPERATOR with valid JWT is denied PRIVILEGED operations if their AI agent's trust state is SUSPICIOUS. This operationalises NIST Zero Trust tenet 4 (dynamic policy).</w:t>
      </w:r>
    </w:p>
    <w:p/>
    <w:p>
      <w:pPr>
        <w:pStyle w:val="Heading2"/>
      </w:pPr>
      <w:r>
        <w:t>5. Architecture in One Slide</w:t>
      </w:r>
    </w:p>
    <w:p>
      <w:pPr>
        <w:spacing w:line="360" w:lineRule="auto" w:before="0" w:after="120"/>
      </w:pPr>
      <w:r>
        <w:rPr>
          <w:rFonts w:ascii="Times New Roman" w:hAnsi="Times New Roman"/>
          <w:b w:val="0"/>
          <w:i w:val="0"/>
          <w:sz w:val="24"/>
        </w:rPr>
        <w:t>Layer 1 (Presentation): React 19 · Vite 8 · 17 Components · Recharts · Tailwind</w:t>
      </w:r>
    </w:p>
    <w:p>
      <w:pPr>
        <w:spacing w:line="360" w:lineRule="auto" w:before="0" w:after="120"/>
      </w:pPr>
      <w:r>
        <w:rPr>
          <w:rFonts w:ascii="Times New Roman" w:hAnsi="Times New Roman"/>
          <w:b w:val="0"/>
          <w:i w:val="0"/>
          <w:sz w:val="24"/>
        </w:rPr>
        <w:t>Layer 2 (API Gateway): FastAPI 0.141 · JWT RBAC · Pydantic v2 · OpenTelemetry</w:t>
      </w:r>
    </w:p>
    <w:p>
      <w:pPr>
        <w:spacing w:line="360" w:lineRule="auto" w:before="0" w:after="120"/>
      </w:pPr>
      <w:r>
        <w:rPr>
          <w:rFonts w:ascii="Times New Roman" w:hAnsi="Times New Roman"/>
          <w:b w:val="0"/>
          <w:i w:val="0"/>
          <w:sz w:val="24"/>
        </w:rPr>
        <w:t>Layer 3 (Trust Intelligence): TrustEngine (EMA) · AdaptivePolicyEnforcer · LocalAgentConnector</w:t>
      </w:r>
    </w:p>
    <w:p>
      <w:pPr>
        <w:spacing w:line="360" w:lineRule="auto" w:before="0" w:after="120"/>
      </w:pPr>
      <w:r>
        <w:rPr>
          <w:rFonts w:ascii="Times New Roman" w:hAnsi="Times New Roman"/>
          <w:b w:val="0"/>
          <w:i w:val="0"/>
          <w:sz w:val="24"/>
        </w:rPr>
        <w:t>Layer 4 (Identity): DIDKey (Ed25519) · VerifiableCredential (Ed25519Signature2020) · PyNaCl · PyLD</w:t>
      </w:r>
    </w:p>
    <w:p>
      <w:pPr>
        <w:spacing w:line="360" w:lineRule="auto" w:before="0" w:after="120"/>
      </w:pPr>
      <w:r>
        <w:rPr>
          <w:rFonts w:ascii="Times New Roman" w:hAnsi="Times New Roman"/>
          <w:b w:val="0"/>
          <w:i w:val="0"/>
          <w:sz w:val="24"/>
        </w:rPr>
        <w:t>Layer 5 (Persistence): SQLite WAL VDR · SQLAlchemy 2.0 · 14 Tables · 4-dim Audit Trail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