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475569"/>
          <w:sz w:val="22"/>
        </w:rPr>
        <w:t>SVKM'S NMIMS (DEEMED-TO-BE UNIVERSITY)</w:t>
        <w:br/>
        <w:t>MUKESH PATEL SCHOOL OF TECHNOLOGY MANAGEMENT &amp; ENGINEERING</w:t>
        <w:br/>
        <w:t>DEPARTMENT OF COMPUTER ENGINEERING</w:t>
      </w:r>
    </w:p>
    <w:p>
      <w:pPr>
        <w:spacing w:before="160" w:after="80"/>
        <w:jc w:val="center"/>
      </w:pPr>
      <w:r>
        <w:rPr>
          <w:rFonts w:ascii="Arial" w:hAnsi="Arial"/>
          <w:b/>
          <w:color w:val="0F172A"/>
          <w:sz w:val="36"/>
        </w:rPr>
        <w:t>TrustChain-AI: A Decentralized Trust Intelligence Framework for Secure Autonomous AI Agent Collaboration</w:t>
      </w:r>
    </w:p>
    <w:p>
      <w:pPr>
        <w:spacing w:after="360"/>
        <w:jc w:val="center"/>
      </w:pPr>
      <w:r>
        <w:rPr>
          <w:rFonts w:ascii="Calibri" w:hAnsi="Calibri"/>
          <w:b/>
          <w:color w:val="00A3C4"/>
          <w:sz w:val="23"/>
        </w:rPr>
        <w:t>FINAL CAPSTONE PRESENTATION COMPANION &amp; AUTHORITATIVE EXAMINER DEFENSE GUIDE</w:t>
        <w:br/>
        <w:t>Academic Year 2026–2027 · 18 Slides Deck · 15–20 Minute Oral Defense Plan</w:t>
      </w:r>
    </w:p>
    <w:p>
      <w:pPr>
        <w:pStyle w:val="Heading1"/>
      </w:pPr>
      <w:r>
        <w:t>1. Presentation Delivery Strategy &amp; Time Allocation</w:t>
      </w:r>
    </w:p>
    <w:p>
      <w:pPr>
        <w:spacing w:after="200"/>
      </w:pPr>
      <w:r>
        <w:t>This document serves as the exhaustive speaking script, slide coordination manual, and technical defense dossier for the final B.Tech capstone oral defense. The defense is calibrated for an 18-minute presentation followed by a 12-minute technical grilling by the external examination committee. All statements, metrics, and architectural diagrams are strictly grounded in verified repository artifacts and 80 passing automated tests.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81426"/>
            <w:tcMar>
              <w:top w:w="80" w:type="dxa"/>
              <w:bottom w:w="80" w:type="dxa"/>
              <w:left w:w="100" w:type="dxa"/>
              <w:right w:w="100" w:type="dxa"/>
            </w:tcMar>
          </w:tcPr>
          <w:p>
            <w:r>
              <w:rPr>
                <w:rFonts w:ascii="Calibri" w:hAnsi="Calibri"/>
                <w:b/>
                <w:color w:val="FFFFFF"/>
                <w:sz w:val="19"/>
              </w:rPr>
              <w:t>Slide</w:t>
            </w:r>
          </w:p>
        </w:tc>
        <w:tc>
          <w:tcPr>
            <w:tcW w:type="dxa" w:w="1872"/>
            <w:shd w:fill="081426"/>
            <w:tcMar>
              <w:top w:w="80" w:type="dxa"/>
              <w:bottom w:w="80" w:type="dxa"/>
              <w:left w:w="100" w:type="dxa"/>
              <w:right w:w="100" w:type="dxa"/>
            </w:tcMar>
          </w:tcPr>
          <w:p>
            <w:r>
              <w:rPr>
                <w:rFonts w:ascii="Calibri" w:hAnsi="Calibri"/>
                <w:b/>
                <w:color w:val="FFFFFF"/>
                <w:sz w:val="19"/>
              </w:rPr>
              <w:t>Section / Topic</w:t>
            </w:r>
          </w:p>
        </w:tc>
        <w:tc>
          <w:tcPr>
            <w:tcW w:type="dxa" w:w="1872"/>
            <w:shd w:fill="081426"/>
            <w:tcMar>
              <w:top w:w="80" w:type="dxa"/>
              <w:bottom w:w="80" w:type="dxa"/>
              <w:left w:w="100" w:type="dxa"/>
              <w:right w:w="100" w:type="dxa"/>
            </w:tcMar>
          </w:tcPr>
          <w:p>
            <w:r>
              <w:rPr>
                <w:rFonts w:ascii="Calibri" w:hAnsi="Calibri"/>
                <w:b/>
                <w:color w:val="FFFFFF"/>
                <w:sz w:val="19"/>
              </w:rPr>
              <w:t>Target Time</w:t>
            </w:r>
          </w:p>
        </w:tc>
        <w:tc>
          <w:tcPr>
            <w:tcW w:type="dxa" w:w="1872"/>
            <w:shd w:fill="081426"/>
            <w:tcMar>
              <w:top w:w="80" w:type="dxa"/>
              <w:bottom w:w="80" w:type="dxa"/>
              <w:left w:w="100" w:type="dxa"/>
              <w:right w:w="100" w:type="dxa"/>
            </w:tcMar>
          </w:tcPr>
          <w:p>
            <w:r>
              <w:rPr>
                <w:rFonts w:ascii="Calibri" w:hAnsi="Calibri"/>
                <w:b/>
                <w:color w:val="FFFFFF"/>
                <w:sz w:val="19"/>
              </w:rPr>
              <w:t>Speaker Role</w:t>
            </w:r>
          </w:p>
        </w:tc>
        <w:tc>
          <w:tcPr>
            <w:tcW w:type="dxa" w:w="1872"/>
            <w:shd w:fill="081426"/>
            <w:tcMar>
              <w:top w:w="80" w:type="dxa"/>
              <w:bottom w:w="80" w:type="dxa"/>
              <w:left w:w="100" w:type="dxa"/>
              <w:right w:w="100" w:type="dxa"/>
            </w:tcMar>
          </w:tcPr>
          <w:p>
            <w:r>
              <w:rPr>
                <w:rFonts w:ascii="Calibri" w:hAnsi="Calibri"/>
                <w:b/>
                <w:color w:val="FFFFFF"/>
                <w:sz w:val="19"/>
              </w:rPr>
              <w:t>Key Focus Area</w:t>
            </w:r>
          </w:p>
        </w:tc>
      </w:tr>
      <w:tr>
        <w:tc>
          <w:tcPr>
            <w:tcW w:type="dxa" w:w="1872"/>
            <w:shd w:fill="F8FAFC"/>
            <w:tcMar>
              <w:top w:w="60" w:type="dxa"/>
              <w:bottom w:w="60" w:type="dxa"/>
              <w:left w:w="100" w:type="dxa"/>
              <w:right w:w="100" w:type="dxa"/>
            </w:tcMar>
          </w:tcPr>
          <w:p>
            <w:r>
              <w:rPr>
                <w:rFonts w:ascii="Calibri" w:hAnsi="Calibri"/>
                <w:color w:val="1E293B"/>
                <w:sz w:val="18"/>
              </w:rPr>
              <w:t>Slide 1</w:t>
            </w:r>
          </w:p>
        </w:tc>
        <w:tc>
          <w:tcPr>
            <w:tcW w:type="dxa" w:w="1872"/>
            <w:shd w:fill="F8FAFC"/>
            <w:tcMar>
              <w:top w:w="60" w:type="dxa"/>
              <w:bottom w:w="60" w:type="dxa"/>
              <w:left w:w="100" w:type="dxa"/>
              <w:right w:w="100" w:type="dxa"/>
            </w:tcMar>
          </w:tcPr>
          <w:p>
            <w:r>
              <w:rPr>
                <w:rFonts w:ascii="Calibri" w:hAnsi="Calibri"/>
                <w:color w:val="1E293B"/>
                <w:sz w:val="18"/>
              </w:rPr>
              <w:t>Title &amp; Project Attribution</w:t>
            </w:r>
          </w:p>
        </w:tc>
        <w:tc>
          <w:tcPr>
            <w:tcW w:type="dxa" w:w="1872"/>
            <w:shd w:fill="F8FAFC"/>
            <w:tcMar>
              <w:top w:w="60" w:type="dxa"/>
              <w:bottom w:w="60" w:type="dxa"/>
              <w:left w:w="100" w:type="dxa"/>
              <w:right w:w="100" w:type="dxa"/>
            </w:tcMar>
          </w:tcPr>
          <w:p>
            <w:r>
              <w:rPr>
                <w:rFonts w:ascii="Calibri" w:hAnsi="Calibri"/>
                <w:color w:val="1E293B"/>
                <w:sz w:val="18"/>
              </w:rPr>
              <w:t>0:45 min</w:t>
            </w:r>
          </w:p>
        </w:tc>
        <w:tc>
          <w:tcPr>
            <w:tcW w:type="dxa" w:w="1872"/>
            <w:shd w:fill="F8FAFC"/>
            <w:tcMar>
              <w:top w:w="60" w:type="dxa"/>
              <w:bottom w:w="60" w:type="dxa"/>
              <w:left w:w="100" w:type="dxa"/>
              <w:right w:w="100" w:type="dxa"/>
            </w:tcMar>
          </w:tcPr>
          <w:p>
            <w:r>
              <w:rPr>
                <w:rFonts w:ascii="Calibri" w:hAnsi="Calibri"/>
                <w:color w:val="1E293B"/>
                <w:sz w:val="18"/>
              </w:rPr>
              <w:t>Speaker 1</w:t>
            </w:r>
          </w:p>
        </w:tc>
        <w:tc>
          <w:tcPr>
            <w:tcW w:type="dxa" w:w="1872"/>
            <w:shd w:fill="F8FAFC"/>
            <w:tcMar>
              <w:top w:w="60" w:type="dxa"/>
              <w:bottom w:w="60" w:type="dxa"/>
              <w:left w:w="100" w:type="dxa"/>
              <w:right w:w="100" w:type="dxa"/>
            </w:tcMar>
          </w:tcPr>
          <w:p>
            <w:r>
              <w:rPr>
                <w:rFonts w:ascii="Calibri" w:hAnsi="Calibri"/>
                <w:color w:val="1E293B"/>
                <w:sz w:val="18"/>
              </w:rPr>
              <w:t>Problem motivation, academic context</w:t>
            </w:r>
          </w:p>
        </w:tc>
      </w:tr>
      <w:tr>
        <w:tc>
          <w:tcPr>
            <w:tcW w:type="dxa" w:w="1872"/>
            <w:shd w:fill="FFFFFF"/>
            <w:tcMar>
              <w:top w:w="60" w:type="dxa"/>
              <w:bottom w:w="60" w:type="dxa"/>
              <w:left w:w="100" w:type="dxa"/>
              <w:right w:w="100" w:type="dxa"/>
            </w:tcMar>
          </w:tcPr>
          <w:p>
            <w:r>
              <w:rPr>
                <w:rFonts w:ascii="Calibri" w:hAnsi="Calibri"/>
                <w:color w:val="1E293B"/>
                <w:sz w:val="18"/>
              </w:rPr>
              <w:t>Slide 2</w:t>
            </w:r>
          </w:p>
        </w:tc>
        <w:tc>
          <w:tcPr>
            <w:tcW w:type="dxa" w:w="1872"/>
            <w:shd w:fill="FFFFFF"/>
            <w:tcMar>
              <w:top w:w="60" w:type="dxa"/>
              <w:bottom w:w="60" w:type="dxa"/>
              <w:left w:w="100" w:type="dxa"/>
              <w:right w:w="100" w:type="dxa"/>
            </w:tcMar>
          </w:tcPr>
          <w:p>
            <w:r>
              <w:rPr>
                <w:rFonts w:ascii="Calibri" w:hAnsi="Calibri"/>
                <w:color w:val="1E293B"/>
                <w:sz w:val="18"/>
              </w:rPr>
              <w:t>Executive Summary &amp; Motivation</w:t>
            </w:r>
          </w:p>
        </w:tc>
        <w:tc>
          <w:tcPr>
            <w:tcW w:type="dxa" w:w="1872"/>
            <w:shd w:fill="FFFFFF"/>
            <w:tcMar>
              <w:top w:w="60" w:type="dxa"/>
              <w:bottom w:w="60" w:type="dxa"/>
              <w:left w:w="100" w:type="dxa"/>
              <w:right w:w="100" w:type="dxa"/>
            </w:tcMar>
          </w:tcPr>
          <w:p>
            <w:r>
              <w:rPr>
                <w:rFonts w:ascii="Calibri" w:hAnsi="Calibri"/>
                <w:color w:val="1E293B"/>
                <w:sz w:val="18"/>
              </w:rPr>
              <w:t>1:00 min</w:t>
            </w:r>
          </w:p>
        </w:tc>
        <w:tc>
          <w:tcPr>
            <w:tcW w:type="dxa" w:w="1872"/>
            <w:shd w:fill="FFFFFF"/>
            <w:tcMar>
              <w:top w:w="60" w:type="dxa"/>
              <w:bottom w:w="60" w:type="dxa"/>
              <w:left w:w="100" w:type="dxa"/>
              <w:right w:w="100" w:type="dxa"/>
            </w:tcMar>
          </w:tcPr>
          <w:p>
            <w:r>
              <w:rPr>
                <w:rFonts w:ascii="Calibri" w:hAnsi="Calibri"/>
                <w:color w:val="1E293B"/>
                <w:sz w:val="18"/>
              </w:rPr>
              <w:t>Speaker 1</w:t>
            </w:r>
          </w:p>
        </w:tc>
        <w:tc>
          <w:tcPr>
            <w:tcW w:type="dxa" w:w="1872"/>
            <w:shd w:fill="FFFFFF"/>
            <w:tcMar>
              <w:top w:w="60" w:type="dxa"/>
              <w:bottom w:w="60" w:type="dxa"/>
              <w:left w:w="100" w:type="dxa"/>
              <w:right w:w="100" w:type="dxa"/>
            </w:tcMar>
          </w:tcPr>
          <w:p>
            <w:r>
              <w:rPr>
                <w:rFonts w:ascii="Calibri" w:hAnsi="Calibri"/>
                <w:color w:val="1E293B"/>
                <w:sz w:val="18"/>
              </w:rPr>
              <w:t>Point-in-time failure, cascading drift</w:t>
            </w:r>
          </w:p>
        </w:tc>
      </w:tr>
      <w:tr>
        <w:tc>
          <w:tcPr>
            <w:tcW w:type="dxa" w:w="1872"/>
            <w:shd w:fill="F8FAFC"/>
            <w:tcMar>
              <w:top w:w="60" w:type="dxa"/>
              <w:bottom w:w="60" w:type="dxa"/>
              <w:left w:w="100" w:type="dxa"/>
              <w:right w:w="100" w:type="dxa"/>
            </w:tcMar>
          </w:tcPr>
          <w:p>
            <w:r>
              <w:rPr>
                <w:rFonts w:ascii="Calibri" w:hAnsi="Calibri"/>
                <w:color w:val="1E293B"/>
                <w:sz w:val="18"/>
              </w:rPr>
              <w:t>Slide 3</w:t>
            </w:r>
          </w:p>
        </w:tc>
        <w:tc>
          <w:tcPr>
            <w:tcW w:type="dxa" w:w="1872"/>
            <w:shd w:fill="F8FAFC"/>
            <w:tcMar>
              <w:top w:w="60" w:type="dxa"/>
              <w:bottom w:w="60" w:type="dxa"/>
              <w:left w:w="100" w:type="dxa"/>
              <w:right w:w="100" w:type="dxa"/>
            </w:tcMar>
          </w:tcPr>
          <w:p>
            <w:r>
              <w:rPr>
                <w:rFonts w:ascii="Calibri" w:hAnsi="Calibri"/>
                <w:color w:val="1E293B"/>
                <w:sz w:val="18"/>
              </w:rPr>
              <w:t>Security Failures in MAS</w:t>
            </w:r>
          </w:p>
        </w:tc>
        <w:tc>
          <w:tcPr>
            <w:tcW w:type="dxa" w:w="1872"/>
            <w:shd w:fill="F8FAFC"/>
            <w:tcMar>
              <w:top w:w="60" w:type="dxa"/>
              <w:bottom w:w="60" w:type="dxa"/>
              <w:left w:w="100" w:type="dxa"/>
              <w:right w:w="100" w:type="dxa"/>
            </w:tcMar>
          </w:tcPr>
          <w:p>
            <w:r>
              <w:rPr>
                <w:rFonts w:ascii="Calibri" w:hAnsi="Calibri"/>
                <w:color w:val="1E293B"/>
                <w:sz w:val="18"/>
              </w:rPr>
              <w:t>1:00 min</w:t>
            </w:r>
          </w:p>
        </w:tc>
        <w:tc>
          <w:tcPr>
            <w:tcW w:type="dxa" w:w="1872"/>
            <w:shd w:fill="F8FAFC"/>
            <w:tcMar>
              <w:top w:w="60" w:type="dxa"/>
              <w:bottom w:w="60" w:type="dxa"/>
              <w:left w:w="100" w:type="dxa"/>
              <w:right w:w="100" w:type="dxa"/>
            </w:tcMar>
          </w:tcPr>
          <w:p>
            <w:r>
              <w:rPr>
                <w:rFonts w:ascii="Calibri" w:hAnsi="Calibri"/>
                <w:color w:val="1E293B"/>
                <w:sz w:val="18"/>
              </w:rPr>
              <w:t>Speaker 1</w:t>
            </w:r>
          </w:p>
        </w:tc>
        <w:tc>
          <w:tcPr>
            <w:tcW w:type="dxa" w:w="1872"/>
            <w:shd w:fill="F8FAFC"/>
            <w:tcMar>
              <w:top w:w="60" w:type="dxa"/>
              <w:bottom w:w="60" w:type="dxa"/>
              <w:left w:w="100" w:type="dxa"/>
              <w:right w:w="100" w:type="dxa"/>
            </w:tcMar>
          </w:tcPr>
          <w:p>
            <w:r>
              <w:rPr>
                <w:rFonts w:ascii="Calibri" w:hAnsi="Calibri"/>
                <w:color w:val="1E293B"/>
                <w:sz w:val="18"/>
              </w:rPr>
              <w:t>3 failure modes, static vs continuous</w:t>
            </w:r>
          </w:p>
        </w:tc>
      </w:tr>
      <w:tr>
        <w:tc>
          <w:tcPr>
            <w:tcW w:type="dxa" w:w="1872"/>
            <w:shd w:fill="FFFFFF"/>
            <w:tcMar>
              <w:top w:w="60" w:type="dxa"/>
              <w:bottom w:w="60" w:type="dxa"/>
              <w:left w:w="100" w:type="dxa"/>
              <w:right w:w="100" w:type="dxa"/>
            </w:tcMar>
          </w:tcPr>
          <w:p>
            <w:r>
              <w:rPr>
                <w:rFonts w:ascii="Calibri" w:hAnsi="Calibri"/>
                <w:color w:val="1E293B"/>
                <w:sz w:val="18"/>
              </w:rPr>
              <w:t>Slide 4</w:t>
            </w:r>
          </w:p>
        </w:tc>
        <w:tc>
          <w:tcPr>
            <w:tcW w:type="dxa" w:w="1872"/>
            <w:shd w:fill="FFFFFF"/>
            <w:tcMar>
              <w:top w:w="60" w:type="dxa"/>
              <w:bottom w:w="60" w:type="dxa"/>
              <w:left w:w="100" w:type="dxa"/>
              <w:right w:w="100" w:type="dxa"/>
            </w:tcMar>
          </w:tcPr>
          <w:p>
            <w:r>
              <w:rPr>
                <w:rFonts w:ascii="Calibri" w:hAnsi="Calibri"/>
                <w:color w:val="1E293B"/>
                <w:sz w:val="18"/>
              </w:rPr>
              <w:t>Literature Review &amp; Research Gap</w:t>
            </w:r>
          </w:p>
        </w:tc>
        <w:tc>
          <w:tcPr>
            <w:tcW w:type="dxa" w:w="1872"/>
            <w:shd w:fill="FFFFFF"/>
            <w:tcMar>
              <w:top w:w="60" w:type="dxa"/>
              <w:bottom w:w="60" w:type="dxa"/>
              <w:left w:w="100" w:type="dxa"/>
              <w:right w:w="100" w:type="dxa"/>
            </w:tcMar>
          </w:tcPr>
          <w:p>
            <w:r>
              <w:rPr>
                <w:rFonts w:ascii="Calibri" w:hAnsi="Calibri"/>
                <w:color w:val="1E293B"/>
                <w:sz w:val="18"/>
              </w:rPr>
              <w:t>1:00 min</w:t>
            </w:r>
          </w:p>
        </w:tc>
        <w:tc>
          <w:tcPr>
            <w:tcW w:type="dxa" w:w="1872"/>
            <w:shd w:fill="FFFFFF"/>
            <w:tcMar>
              <w:top w:w="60" w:type="dxa"/>
              <w:bottom w:w="60" w:type="dxa"/>
              <w:left w:w="100" w:type="dxa"/>
              <w:right w:w="100" w:type="dxa"/>
            </w:tcMar>
          </w:tcPr>
          <w:p>
            <w:r>
              <w:rPr>
                <w:rFonts w:ascii="Calibri" w:hAnsi="Calibri"/>
                <w:color w:val="1E293B"/>
                <w:sz w:val="18"/>
              </w:rPr>
              <w:t>Speaker 1</w:t>
            </w:r>
          </w:p>
        </w:tc>
        <w:tc>
          <w:tcPr>
            <w:tcW w:type="dxa" w:w="1872"/>
            <w:shd w:fill="FFFFFF"/>
            <w:tcMar>
              <w:top w:w="60" w:type="dxa"/>
              <w:bottom w:w="60" w:type="dxa"/>
              <w:left w:w="100" w:type="dxa"/>
              <w:right w:w="100" w:type="dxa"/>
            </w:tcMar>
          </w:tcPr>
          <w:p>
            <w:r>
              <w:rPr>
                <w:rFonts w:ascii="Calibri" w:hAnsi="Calibri"/>
                <w:color w:val="1E293B"/>
                <w:sz w:val="18"/>
              </w:rPr>
              <w:t>SSI, EigenTrust, Zero Trust synthesis</w:t>
            </w:r>
          </w:p>
        </w:tc>
      </w:tr>
      <w:tr>
        <w:tc>
          <w:tcPr>
            <w:tcW w:type="dxa" w:w="1872"/>
            <w:shd w:fill="F8FAFC"/>
            <w:tcMar>
              <w:top w:w="60" w:type="dxa"/>
              <w:bottom w:w="60" w:type="dxa"/>
              <w:left w:w="100" w:type="dxa"/>
              <w:right w:w="100" w:type="dxa"/>
            </w:tcMar>
          </w:tcPr>
          <w:p>
            <w:r>
              <w:rPr>
                <w:rFonts w:ascii="Calibri" w:hAnsi="Calibri"/>
                <w:color w:val="1E293B"/>
                <w:sz w:val="18"/>
              </w:rPr>
              <w:t>Slide 5</w:t>
            </w:r>
          </w:p>
        </w:tc>
        <w:tc>
          <w:tcPr>
            <w:tcW w:type="dxa" w:w="1872"/>
            <w:shd w:fill="F8FAFC"/>
            <w:tcMar>
              <w:top w:w="60" w:type="dxa"/>
              <w:bottom w:w="60" w:type="dxa"/>
              <w:left w:w="100" w:type="dxa"/>
              <w:right w:w="100" w:type="dxa"/>
            </w:tcMar>
          </w:tcPr>
          <w:p>
            <w:r>
              <w:rPr>
                <w:rFonts w:ascii="Calibri" w:hAnsi="Calibri"/>
                <w:color w:val="1E293B"/>
                <w:sz w:val="18"/>
              </w:rPr>
              <w:t>Research Objectives &amp; Boundaries</w:t>
            </w:r>
          </w:p>
        </w:tc>
        <w:tc>
          <w:tcPr>
            <w:tcW w:type="dxa" w:w="1872"/>
            <w:shd w:fill="F8FAFC"/>
            <w:tcMar>
              <w:top w:w="60" w:type="dxa"/>
              <w:bottom w:w="60" w:type="dxa"/>
              <w:left w:w="100" w:type="dxa"/>
              <w:right w:w="100" w:type="dxa"/>
            </w:tcMar>
          </w:tcPr>
          <w:p>
            <w:r>
              <w:rPr>
                <w:rFonts w:ascii="Calibri" w:hAnsi="Calibri"/>
                <w:color w:val="1E293B"/>
                <w:sz w:val="18"/>
              </w:rPr>
              <w:t>0:50 min</w:t>
            </w:r>
          </w:p>
        </w:tc>
        <w:tc>
          <w:tcPr>
            <w:tcW w:type="dxa" w:w="1872"/>
            <w:shd w:fill="F8FAFC"/>
            <w:tcMar>
              <w:top w:w="60" w:type="dxa"/>
              <w:bottom w:w="60" w:type="dxa"/>
              <w:left w:w="100" w:type="dxa"/>
              <w:right w:w="100" w:type="dxa"/>
            </w:tcMar>
          </w:tcPr>
          <w:p>
            <w:r>
              <w:rPr>
                <w:rFonts w:ascii="Calibri" w:hAnsi="Calibri"/>
                <w:color w:val="1E293B"/>
                <w:sz w:val="18"/>
              </w:rPr>
              <w:t>Speaker 1</w:t>
            </w:r>
          </w:p>
        </w:tc>
        <w:tc>
          <w:tcPr>
            <w:tcW w:type="dxa" w:w="1872"/>
            <w:shd w:fill="F8FAFC"/>
            <w:tcMar>
              <w:top w:w="60" w:type="dxa"/>
              <w:bottom w:w="60" w:type="dxa"/>
              <w:left w:w="100" w:type="dxa"/>
              <w:right w:w="100" w:type="dxa"/>
            </w:tcMar>
          </w:tcPr>
          <w:p>
            <w:r>
              <w:rPr>
                <w:rFonts w:ascii="Calibri" w:hAnsi="Calibri"/>
                <w:color w:val="1E293B"/>
                <w:sz w:val="18"/>
              </w:rPr>
              <w:t>6 formal objectives, SQLite VDR scope</w:t>
            </w:r>
          </w:p>
        </w:tc>
      </w:tr>
      <w:tr>
        <w:tc>
          <w:tcPr>
            <w:tcW w:type="dxa" w:w="1872"/>
            <w:shd w:fill="FFFFFF"/>
            <w:tcMar>
              <w:top w:w="60" w:type="dxa"/>
              <w:bottom w:w="60" w:type="dxa"/>
              <w:left w:w="100" w:type="dxa"/>
              <w:right w:w="100" w:type="dxa"/>
            </w:tcMar>
          </w:tcPr>
          <w:p>
            <w:r>
              <w:rPr>
                <w:rFonts w:ascii="Calibri" w:hAnsi="Calibri"/>
                <w:color w:val="1E293B"/>
                <w:sz w:val="18"/>
              </w:rPr>
              <w:t>Slide 6</w:t>
            </w:r>
          </w:p>
        </w:tc>
        <w:tc>
          <w:tcPr>
            <w:tcW w:type="dxa" w:w="1872"/>
            <w:shd w:fill="FFFFFF"/>
            <w:tcMar>
              <w:top w:w="60" w:type="dxa"/>
              <w:bottom w:w="60" w:type="dxa"/>
              <w:left w:w="100" w:type="dxa"/>
              <w:right w:w="100" w:type="dxa"/>
            </w:tcMar>
          </w:tcPr>
          <w:p>
            <w:r>
              <w:rPr>
                <w:rFonts w:ascii="Calibri" w:hAnsi="Calibri"/>
                <w:color w:val="1E293B"/>
                <w:sz w:val="18"/>
              </w:rPr>
              <w:t>System Architecture &amp; 5 Tiers</w:t>
            </w:r>
          </w:p>
        </w:tc>
        <w:tc>
          <w:tcPr>
            <w:tcW w:type="dxa" w:w="1872"/>
            <w:shd w:fill="FFFFFF"/>
            <w:tcMar>
              <w:top w:w="60" w:type="dxa"/>
              <w:bottom w:w="60" w:type="dxa"/>
              <w:left w:w="100" w:type="dxa"/>
              <w:right w:w="100" w:type="dxa"/>
            </w:tcMar>
          </w:tcPr>
          <w:p>
            <w:r>
              <w:rPr>
                <w:rFonts w:ascii="Calibri" w:hAnsi="Calibri"/>
                <w:color w:val="1E293B"/>
                <w:sz w:val="18"/>
              </w:rPr>
              <w:t>1:15 min</w:t>
            </w:r>
          </w:p>
        </w:tc>
        <w:tc>
          <w:tcPr>
            <w:tcW w:type="dxa" w:w="1872"/>
            <w:shd w:fill="FFFFFF"/>
            <w:tcMar>
              <w:top w:w="60" w:type="dxa"/>
              <w:bottom w:w="60" w:type="dxa"/>
              <w:left w:w="100" w:type="dxa"/>
              <w:right w:w="100" w:type="dxa"/>
            </w:tcMar>
          </w:tcPr>
          <w:p>
            <w:r>
              <w:rPr>
                <w:rFonts w:ascii="Calibri" w:hAnsi="Calibri"/>
                <w:color w:val="1E293B"/>
                <w:sz w:val="18"/>
              </w:rPr>
              <w:t>Speaker 1</w:t>
            </w:r>
          </w:p>
        </w:tc>
        <w:tc>
          <w:tcPr>
            <w:tcW w:type="dxa" w:w="1872"/>
            <w:shd w:fill="FFFFFF"/>
            <w:tcMar>
              <w:top w:w="60" w:type="dxa"/>
              <w:bottom w:w="60" w:type="dxa"/>
              <w:left w:w="100" w:type="dxa"/>
              <w:right w:w="100" w:type="dxa"/>
            </w:tcMar>
          </w:tcPr>
          <w:p>
            <w:r>
              <w:rPr>
                <w:rFonts w:ascii="Calibri" w:hAnsi="Calibri"/>
                <w:color w:val="1E293B"/>
                <w:sz w:val="18"/>
              </w:rPr>
              <w:t>Tier 1-5 dataflow, request lifecycle</w:t>
            </w:r>
          </w:p>
        </w:tc>
      </w:tr>
      <w:tr>
        <w:tc>
          <w:tcPr>
            <w:tcW w:type="dxa" w:w="1872"/>
            <w:shd w:fill="F8FAFC"/>
            <w:tcMar>
              <w:top w:w="60" w:type="dxa"/>
              <w:bottom w:w="60" w:type="dxa"/>
              <w:left w:w="100" w:type="dxa"/>
              <w:right w:w="100" w:type="dxa"/>
            </w:tcMar>
          </w:tcPr>
          <w:p>
            <w:r>
              <w:rPr>
                <w:rFonts w:ascii="Calibri" w:hAnsi="Calibri"/>
                <w:color w:val="1E293B"/>
                <w:sz w:val="18"/>
              </w:rPr>
              <w:t>Slide 7</w:t>
            </w:r>
          </w:p>
        </w:tc>
        <w:tc>
          <w:tcPr>
            <w:tcW w:type="dxa" w:w="1872"/>
            <w:shd w:fill="F8FAFC"/>
            <w:tcMar>
              <w:top w:w="60" w:type="dxa"/>
              <w:bottom w:w="60" w:type="dxa"/>
              <w:left w:w="100" w:type="dxa"/>
              <w:right w:w="100" w:type="dxa"/>
            </w:tcMar>
          </w:tcPr>
          <w:p>
            <w:r>
              <w:rPr>
                <w:rFonts w:ascii="Calibri" w:hAnsi="Calibri"/>
                <w:color w:val="1E293B"/>
                <w:sz w:val="18"/>
              </w:rPr>
              <w:t>W3C did:key &amp; Verifiable Credentials</w:t>
            </w:r>
          </w:p>
        </w:tc>
        <w:tc>
          <w:tcPr>
            <w:tcW w:type="dxa" w:w="1872"/>
            <w:shd w:fill="F8FAFC"/>
            <w:tcMar>
              <w:top w:w="60" w:type="dxa"/>
              <w:bottom w:w="60" w:type="dxa"/>
              <w:left w:w="100" w:type="dxa"/>
              <w:right w:w="100" w:type="dxa"/>
            </w:tcMar>
          </w:tcPr>
          <w:p>
            <w:r>
              <w:rPr>
                <w:rFonts w:ascii="Calibri" w:hAnsi="Calibri"/>
                <w:color w:val="1E293B"/>
                <w:sz w:val="18"/>
              </w:rPr>
              <w:t>1:00 min</w:t>
            </w:r>
          </w:p>
        </w:tc>
        <w:tc>
          <w:tcPr>
            <w:tcW w:type="dxa" w:w="1872"/>
            <w:shd w:fill="F8FAFC"/>
            <w:tcMar>
              <w:top w:w="60" w:type="dxa"/>
              <w:bottom w:w="60" w:type="dxa"/>
              <w:left w:w="100" w:type="dxa"/>
              <w:right w:w="100" w:type="dxa"/>
            </w:tcMar>
          </w:tcPr>
          <w:p>
            <w:r>
              <w:rPr>
                <w:rFonts w:ascii="Calibri" w:hAnsi="Calibri"/>
                <w:color w:val="1E293B"/>
                <w:sz w:val="18"/>
              </w:rPr>
              <w:t>Speaker 1</w:t>
            </w:r>
          </w:p>
        </w:tc>
        <w:tc>
          <w:tcPr>
            <w:tcW w:type="dxa" w:w="1872"/>
            <w:shd w:fill="F8FAFC"/>
            <w:tcMar>
              <w:top w:w="60" w:type="dxa"/>
              <w:bottom w:w="60" w:type="dxa"/>
              <w:left w:w="100" w:type="dxa"/>
              <w:right w:w="100" w:type="dxa"/>
            </w:tcMar>
          </w:tcPr>
          <w:p>
            <w:r>
              <w:rPr>
                <w:rFonts w:ascii="Calibri" w:hAnsi="Calibri"/>
                <w:color w:val="1E293B"/>
                <w:sz w:val="18"/>
              </w:rPr>
              <w:t>Ed25519, multicodec, URDNA2015 canonicalization</w:t>
            </w:r>
          </w:p>
        </w:tc>
      </w:tr>
      <w:tr>
        <w:tc>
          <w:tcPr>
            <w:tcW w:type="dxa" w:w="1872"/>
            <w:shd w:fill="FFFFFF"/>
            <w:tcMar>
              <w:top w:w="60" w:type="dxa"/>
              <w:bottom w:w="60" w:type="dxa"/>
              <w:left w:w="100" w:type="dxa"/>
              <w:right w:w="100" w:type="dxa"/>
            </w:tcMar>
          </w:tcPr>
          <w:p>
            <w:r>
              <w:rPr>
                <w:rFonts w:ascii="Calibri" w:hAnsi="Calibri"/>
                <w:color w:val="1E293B"/>
                <w:sz w:val="18"/>
              </w:rPr>
              <w:t>Slide 8</w:t>
            </w:r>
          </w:p>
        </w:tc>
        <w:tc>
          <w:tcPr>
            <w:tcW w:type="dxa" w:w="1872"/>
            <w:shd w:fill="FFFFFF"/>
            <w:tcMar>
              <w:top w:w="60" w:type="dxa"/>
              <w:bottom w:w="60" w:type="dxa"/>
              <w:left w:w="100" w:type="dxa"/>
              <w:right w:w="100" w:type="dxa"/>
            </w:tcMar>
          </w:tcPr>
          <w:p>
            <w:r>
              <w:rPr>
                <w:rFonts w:ascii="Calibri" w:hAnsi="Calibri"/>
                <w:color w:val="1E293B"/>
                <w:sz w:val="18"/>
              </w:rPr>
              <w:t>Dynamic Trust Engine Formulation</w:t>
            </w:r>
          </w:p>
        </w:tc>
        <w:tc>
          <w:tcPr>
            <w:tcW w:type="dxa" w:w="1872"/>
            <w:shd w:fill="FFFFFF"/>
            <w:tcMar>
              <w:top w:w="60" w:type="dxa"/>
              <w:bottom w:w="60" w:type="dxa"/>
              <w:left w:w="100" w:type="dxa"/>
              <w:right w:w="100" w:type="dxa"/>
            </w:tcMar>
          </w:tcPr>
          <w:p>
            <w:r>
              <w:rPr>
                <w:rFonts w:ascii="Calibri" w:hAnsi="Calibri"/>
                <w:color w:val="1E293B"/>
                <w:sz w:val="18"/>
              </w:rPr>
              <w:t>1:10 min</w:t>
            </w:r>
          </w:p>
        </w:tc>
        <w:tc>
          <w:tcPr>
            <w:tcW w:type="dxa" w:w="1872"/>
            <w:shd w:fill="FFFFFF"/>
            <w:tcMar>
              <w:top w:w="60" w:type="dxa"/>
              <w:bottom w:w="60" w:type="dxa"/>
              <w:left w:w="100" w:type="dxa"/>
              <w:right w:w="100" w:type="dxa"/>
            </w:tcMar>
          </w:tcPr>
          <w:p>
            <w:r>
              <w:rPr>
                <w:rFonts w:ascii="Calibri" w:hAnsi="Calibri"/>
                <w:color w:val="1E293B"/>
                <w:sz w:val="18"/>
              </w:rPr>
              <w:t>Speaker 1</w:t>
            </w:r>
          </w:p>
        </w:tc>
        <w:tc>
          <w:tcPr>
            <w:tcW w:type="dxa" w:w="1872"/>
            <w:shd w:fill="FFFFFF"/>
            <w:tcMar>
              <w:top w:w="60" w:type="dxa"/>
              <w:bottom w:w="60" w:type="dxa"/>
              <w:left w:w="100" w:type="dxa"/>
              <w:right w:w="100" w:type="dxa"/>
            </w:tcMar>
          </w:tcPr>
          <w:p>
            <w:r>
              <w:rPr>
                <w:rFonts w:ascii="Calibri" w:hAnsi="Calibri"/>
                <w:color w:val="1E293B"/>
                <w:sz w:val="18"/>
              </w:rPr>
              <w:t>P_i(t) weights: 0.6 S + 0.3 C + 0.1 (1-L)</w:t>
            </w:r>
          </w:p>
        </w:tc>
      </w:tr>
      <w:tr>
        <w:tc>
          <w:tcPr>
            <w:tcW w:type="dxa" w:w="1872"/>
            <w:shd w:fill="F8FAFC"/>
            <w:tcMar>
              <w:top w:w="60" w:type="dxa"/>
              <w:bottom w:w="60" w:type="dxa"/>
              <w:left w:w="100" w:type="dxa"/>
              <w:right w:w="100" w:type="dxa"/>
            </w:tcMar>
          </w:tcPr>
          <w:p>
            <w:r>
              <w:rPr>
                <w:rFonts w:ascii="Calibri" w:hAnsi="Calibri"/>
                <w:color w:val="1E293B"/>
                <w:sz w:val="18"/>
              </w:rPr>
              <w:t>Slide 9</w:t>
            </w:r>
          </w:p>
        </w:tc>
        <w:tc>
          <w:tcPr>
            <w:tcW w:type="dxa" w:w="1872"/>
            <w:shd w:fill="F8FAFC"/>
            <w:tcMar>
              <w:top w:w="60" w:type="dxa"/>
              <w:bottom w:w="60" w:type="dxa"/>
              <w:left w:w="100" w:type="dxa"/>
              <w:right w:w="100" w:type="dxa"/>
            </w:tcMar>
          </w:tcPr>
          <w:p>
            <w:r>
              <w:rPr>
                <w:rFonts w:ascii="Calibri" w:hAnsi="Calibri"/>
                <w:color w:val="1E293B"/>
                <w:sz w:val="18"/>
              </w:rPr>
              <w:t>Worked Mathematical Trust Timeline</w:t>
            </w:r>
          </w:p>
        </w:tc>
        <w:tc>
          <w:tcPr>
            <w:tcW w:type="dxa" w:w="1872"/>
            <w:shd w:fill="F8FAFC"/>
            <w:tcMar>
              <w:top w:w="60" w:type="dxa"/>
              <w:bottom w:w="60" w:type="dxa"/>
              <w:left w:w="100" w:type="dxa"/>
              <w:right w:w="100" w:type="dxa"/>
            </w:tcMar>
          </w:tcPr>
          <w:p>
            <w:r>
              <w:rPr>
                <w:rFonts w:ascii="Calibri" w:hAnsi="Calibri"/>
                <w:color w:val="1E293B"/>
                <w:sz w:val="18"/>
              </w:rPr>
              <w:t>1:15 min</w:t>
            </w:r>
          </w:p>
        </w:tc>
        <w:tc>
          <w:tcPr>
            <w:tcW w:type="dxa" w:w="1872"/>
            <w:shd w:fill="F8FAFC"/>
            <w:tcMar>
              <w:top w:w="60" w:type="dxa"/>
              <w:bottom w:w="60" w:type="dxa"/>
              <w:left w:w="100" w:type="dxa"/>
              <w:right w:w="100" w:type="dxa"/>
            </w:tcMar>
          </w:tcPr>
          <w:p>
            <w:r>
              <w:rPr>
                <w:rFonts w:ascii="Calibri" w:hAnsi="Calibri"/>
                <w:color w:val="1E293B"/>
                <w:sz w:val="18"/>
              </w:rPr>
              <w:t>Speaker 1</w:t>
            </w:r>
          </w:p>
        </w:tc>
        <w:tc>
          <w:tcPr>
            <w:tcW w:type="dxa" w:w="1872"/>
            <w:shd w:fill="F8FAFC"/>
            <w:tcMar>
              <w:top w:w="60" w:type="dxa"/>
              <w:bottom w:w="60" w:type="dxa"/>
              <w:left w:w="100" w:type="dxa"/>
              <w:right w:w="100" w:type="dxa"/>
            </w:tcMar>
          </w:tcPr>
          <w:p>
            <w:r>
              <w:rPr>
                <w:rFonts w:ascii="Calibri" w:hAnsi="Calibri"/>
                <w:color w:val="1E293B"/>
                <w:sz w:val="18"/>
              </w:rPr>
              <w:t>Degradation (1.00-&gt;0.364) &amp; Recovery chart</w:t>
            </w:r>
          </w:p>
        </w:tc>
      </w:tr>
      <w:tr>
        <w:tc>
          <w:tcPr>
            <w:tcW w:type="dxa" w:w="1872"/>
            <w:shd w:fill="FFFFFF"/>
            <w:tcMar>
              <w:top w:w="60" w:type="dxa"/>
              <w:bottom w:w="60" w:type="dxa"/>
              <w:left w:w="100" w:type="dxa"/>
              <w:right w:w="100" w:type="dxa"/>
            </w:tcMar>
          </w:tcPr>
          <w:p>
            <w:r>
              <w:rPr>
                <w:rFonts w:ascii="Calibri" w:hAnsi="Calibri"/>
                <w:color w:val="1E293B"/>
                <w:sz w:val="18"/>
              </w:rPr>
              <w:t>Slide 10</w:t>
            </w:r>
          </w:p>
        </w:tc>
        <w:tc>
          <w:tcPr>
            <w:tcW w:type="dxa" w:w="1872"/>
            <w:shd w:fill="FFFFFF"/>
            <w:tcMar>
              <w:top w:w="60" w:type="dxa"/>
              <w:bottom w:w="60" w:type="dxa"/>
              <w:left w:w="100" w:type="dxa"/>
              <w:right w:w="100" w:type="dxa"/>
            </w:tcMar>
          </w:tcPr>
          <w:p>
            <w:r>
              <w:rPr>
                <w:rFonts w:ascii="Calibri" w:hAnsi="Calibri"/>
                <w:color w:val="1E293B"/>
                <w:sz w:val="18"/>
              </w:rPr>
              <w:t>Adaptive Auth &amp; Zero-Trust Control</w:t>
            </w:r>
          </w:p>
        </w:tc>
        <w:tc>
          <w:tcPr>
            <w:tcW w:type="dxa" w:w="1872"/>
            <w:shd w:fill="FFFFFF"/>
            <w:tcMar>
              <w:top w:w="60" w:type="dxa"/>
              <w:bottom w:w="60" w:type="dxa"/>
              <w:left w:w="100" w:type="dxa"/>
              <w:right w:w="100" w:type="dxa"/>
            </w:tcMar>
          </w:tcPr>
          <w:p>
            <w:r>
              <w:rPr>
                <w:rFonts w:ascii="Calibri" w:hAnsi="Calibri"/>
                <w:color w:val="1E293B"/>
                <w:sz w:val="18"/>
              </w:rPr>
              <w:t>1:00 min</w:t>
            </w:r>
          </w:p>
        </w:tc>
        <w:tc>
          <w:tcPr>
            <w:tcW w:type="dxa" w:w="1872"/>
            <w:shd w:fill="FFFFFF"/>
            <w:tcMar>
              <w:top w:w="60" w:type="dxa"/>
              <w:bottom w:w="60" w:type="dxa"/>
              <w:left w:w="100" w:type="dxa"/>
              <w:right w:w="100" w:type="dxa"/>
            </w:tcMar>
          </w:tcPr>
          <w:p>
            <w:r>
              <w:rPr>
                <w:rFonts w:ascii="Calibri" w:hAnsi="Calibri"/>
                <w:color w:val="1E293B"/>
                <w:sz w:val="18"/>
              </w:rPr>
              <w:t>Speaker 2</w:t>
            </w:r>
          </w:p>
        </w:tc>
        <w:tc>
          <w:tcPr>
            <w:tcW w:type="dxa" w:w="1872"/>
            <w:shd w:fill="FFFFFF"/>
            <w:tcMar>
              <w:top w:w="60" w:type="dxa"/>
              <w:bottom w:w="60" w:type="dxa"/>
              <w:left w:w="100" w:type="dxa"/>
              <w:right w:w="100" w:type="dxa"/>
            </w:tcMar>
          </w:tcPr>
          <w:p>
            <w:r>
              <w:rPr>
                <w:rFonts w:ascii="Calibri" w:hAnsi="Calibri"/>
                <w:color w:val="1E293B"/>
                <w:sz w:val="18"/>
              </w:rPr>
              <w:t>RBAC (Admin/Op/Viewer) + ABAC gating</w:t>
            </w:r>
          </w:p>
        </w:tc>
      </w:tr>
      <w:tr>
        <w:tc>
          <w:tcPr>
            <w:tcW w:type="dxa" w:w="1872"/>
            <w:shd w:fill="F8FAFC"/>
            <w:tcMar>
              <w:top w:w="60" w:type="dxa"/>
              <w:bottom w:w="60" w:type="dxa"/>
              <w:left w:w="100" w:type="dxa"/>
              <w:right w:w="100" w:type="dxa"/>
            </w:tcMar>
          </w:tcPr>
          <w:p>
            <w:r>
              <w:rPr>
                <w:rFonts w:ascii="Calibri" w:hAnsi="Calibri"/>
                <w:color w:val="1E293B"/>
                <w:sz w:val="18"/>
              </w:rPr>
              <w:t>Slide 11</w:t>
            </w:r>
          </w:p>
        </w:tc>
        <w:tc>
          <w:tcPr>
            <w:tcW w:type="dxa" w:w="1872"/>
            <w:shd w:fill="F8FAFC"/>
            <w:tcMar>
              <w:top w:w="60" w:type="dxa"/>
              <w:bottom w:w="60" w:type="dxa"/>
              <w:left w:w="100" w:type="dxa"/>
              <w:right w:w="100" w:type="dxa"/>
            </w:tcMar>
          </w:tcPr>
          <w:p>
            <w:r>
              <w:rPr>
                <w:rFonts w:ascii="Calibri" w:hAnsi="Calibri"/>
                <w:color w:val="1E293B"/>
                <w:sz w:val="18"/>
              </w:rPr>
              <w:t>Agent Capability Discovery</w:t>
            </w:r>
          </w:p>
        </w:tc>
        <w:tc>
          <w:tcPr>
            <w:tcW w:type="dxa" w:w="1872"/>
            <w:shd w:fill="F8FAFC"/>
            <w:tcMar>
              <w:top w:w="60" w:type="dxa"/>
              <w:bottom w:w="60" w:type="dxa"/>
              <w:left w:w="100" w:type="dxa"/>
              <w:right w:w="100" w:type="dxa"/>
            </w:tcMar>
          </w:tcPr>
          <w:p>
            <w:r>
              <w:rPr>
                <w:rFonts w:ascii="Calibri" w:hAnsi="Calibri"/>
                <w:color w:val="1E293B"/>
                <w:sz w:val="18"/>
              </w:rPr>
              <w:t>1:00 min</w:t>
            </w:r>
          </w:p>
        </w:tc>
        <w:tc>
          <w:tcPr>
            <w:tcW w:type="dxa" w:w="1872"/>
            <w:shd w:fill="F8FAFC"/>
            <w:tcMar>
              <w:top w:w="60" w:type="dxa"/>
              <w:bottom w:w="60" w:type="dxa"/>
              <w:left w:w="100" w:type="dxa"/>
              <w:right w:w="100" w:type="dxa"/>
            </w:tcMar>
          </w:tcPr>
          <w:p>
            <w:r>
              <w:rPr>
                <w:rFonts w:ascii="Calibri" w:hAnsi="Calibri"/>
                <w:color w:val="1E293B"/>
                <w:sz w:val="18"/>
              </w:rPr>
              <w:t>Speaker 2</w:t>
            </w:r>
          </w:p>
        </w:tc>
        <w:tc>
          <w:tcPr>
            <w:tcW w:type="dxa" w:w="1872"/>
            <w:shd w:fill="F8FAFC"/>
            <w:tcMar>
              <w:top w:w="60" w:type="dxa"/>
              <w:bottom w:w="60" w:type="dxa"/>
              <w:left w:w="100" w:type="dxa"/>
              <w:right w:w="100" w:type="dxa"/>
            </w:tcMar>
          </w:tcPr>
          <w:p>
            <w:r>
              <w:rPr>
                <w:rFonts w:ascii="Calibri" w:hAnsi="Calibri"/>
                <w:color w:val="1E293B"/>
                <w:sz w:val="18"/>
              </w:rPr>
              <w:t>Filters vs explainable exclusion rationales</w:t>
            </w:r>
          </w:p>
        </w:tc>
      </w:tr>
      <w:tr>
        <w:tc>
          <w:tcPr>
            <w:tcW w:type="dxa" w:w="1872"/>
            <w:shd w:fill="FFFFFF"/>
            <w:tcMar>
              <w:top w:w="60" w:type="dxa"/>
              <w:bottom w:w="60" w:type="dxa"/>
              <w:left w:w="100" w:type="dxa"/>
              <w:right w:w="100" w:type="dxa"/>
            </w:tcMar>
          </w:tcPr>
          <w:p>
            <w:r>
              <w:rPr>
                <w:rFonts w:ascii="Calibri" w:hAnsi="Calibri"/>
                <w:color w:val="1E293B"/>
                <w:sz w:val="18"/>
              </w:rPr>
              <w:t>Slide 12</w:t>
            </w:r>
          </w:p>
        </w:tc>
        <w:tc>
          <w:tcPr>
            <w:tcW w:type="dxa" w:w="1872"/>
            <w:shd w:fill="FFFFFF"/>
            <w:tcMar>
              <w:top w:w="60" w:type="dxa"/>
              <w:bottom w:w="60" w:type="dxa"/>
              <w:left w:w="100" w:type="dxa"/>
              <w:right w:w="100" w:type="dxa"/>
            </w:tcMar>
          </w:tcPr>
          <w:p>
            <w:r>
              <w:rPr>
                <w:rFonts w:ascii="Calibri" w:hAnsi="Calibri"/>
                <w:color w:val="1E293B"/>
                <w:sz w:val="18"/>
              </w:rPr>
              <w:t>Task-Driven Matching Algorithm</w:t>
            </w:r>
          </w:p>
        </w:tc>
        <w:tc>
          <w:tcPr>
            <w:tcW w:type="dxa" w:w="1872"/>
            <w:shd w:fill="FFFFFF"/>
            <w:tcMar>
              <w:top w:w="60" w:type="dxa"/>
              <w:bottom w:w="60" w:type="dxa"/>
              <w:left w:w="100" w:type="dxa"/>
              <w:right w:w="100" w:type="dxa"/>
            </w:tcMar>
          </w:tcPr>
          <w:p>
            <w:r>
              <w:rPr>
                <w:rFonts w:ascii="Calibri" w:hAnsi="Calibri"/>
                <w:color w:val="1E293B"/>
                <w:sz w:val="18"/>
              </w:rPr>
              <w:t>1:10 min</w:t>
            </w:r>
          </w:p>
        </w:tc>
        <w:tc>
          <w:tcPr>
            <w:tcW w:type="dxa" w:w="1872"/>
            <w:shd w:fill="FFFFFF"/>
            <w:tcMar>
              <w:top w:w="60" w:type="dxa"/>
              <w:bottom w:w="60" w:type="dxa"/>
              <w:left w:w="100" w:type="dxa"/>
              <w:right w:w="100" w:type="dxa"/>
            </w:tcMar>
          </w:tcPr>
          <w:p>
            <w:r>
              <w:rPr>
                <w:rFonts w:ascii="Calibri" w:hAnsi="Calibri"/>
                <w:color w:val="1E293B"/>
                <w:sz w:val="18"/>
              </w:rPr>
              <w:t>Speaker 2</w:t>
            </w:r>
          </w:p>
        </w:tc>
        <w:tc>
          <w:tcPr>
            <w:tcW w:type="dxa" w:w="1872"/>
            <w:shd w:fill="FFFFFF"/>
            <w:tcMar>
              <w:top w:w="60" w:type="dxa"/>
              <w:bottom w:w="60" w:type="dxa"/>
              <w:left w:w="100" w:type="dxa"/>
              <w:right w:w="100" w:type="dxa"/>
            </w:tcMar>
          </w:tcPr>
          <w:p>
            <w:r>
              <w:rPr>
                <w:rFonts w:ascii="Calibri" w:hAnsi="Calibri"/>
                <w:color w:val="1E293B"/>
                <w:sz w:val="18"/>
              </w:rPr>
              <w:t>MatchScore formula, top candidate spotlight</w:t>
            </w:r>
          </w:p>
        </w:tc>
      </w:tr>
      <w:tr>
        <w:tc>
          <w:tcPr>
            <w:tcW w:type="dxa" w:w="1872"/>
            <w:shd w:fill="F8FAFC"/>
            <w:tcMar>
              <w:top w:w="60" w:type="dxa"/>
              <w:bottom w:w="60" w:type="dxa"/>
              <w:left w:w="100" w:type="dxa"/>
              <w:right w:w="100" w:type="dxa"/>
            </w:tcMar>
          </w:tcPr>
          <w:p>
            <w:r>
              <w:rPr>
                <w:rFonts w:ascii="Calibri" w:hAnsi="Calibri"/>
                <w:color w:val="1E293B"/>
                <w:sz w:val="18"/>
              </w:rPr>
              <w:t>Slide 13</w:t>
            </w:r>
          </w:p>
        </w:tc>
        <w:tc>
          <w:tcPr>
            <w:tcW w:type="dxa" w:w="1872"/>
            <w:shd w:fill="F8FAFC"/>
            <w:tcMar>
              <w:top w:w="60" w:type="dxa"/>
              <w:bottom w:w="60" w:type="dxa"/>
              <w:left w:w="100" w:type="dxa"/>
              <w:right w:w="100" w:type="dxa"/>
            </w:tcMar>
          </w:tcPr>
          <w:p>
            <w:r>
              <w:rPr>
                <w:rFonts w:ascii="Calibri" w:hAnsi="Calibri"/>
                <w:color w:val="1E293B"/>
                <w:sz w:val="18"/>
              </w:rPr>
              <w:t>Collaboration Sessions &amp; Pipelines</w:t>
            </w:r>
          </w:p>
        </w:tc>
        <w:tc>
          <w:tcPr>
            <w:tcW w:type="dxa" w:w="1872"/>
            <w:shd w:fill="F8FAFC"/>
            <w:tcMar>
              <w:top w:w="60" w:type="dxa"/>
              <w:bottom w:w="60" w:type="dxa"/>
              <w:left w:w="100" w:type="dxa"/>
              <w:right w:w="100" w:type="dxa"/>
            </w:tcMar>
          </w:tcPr>
          <w:p>
            <w:r>
              <w:rPr>
                <w:rFonts w:ascii="Calibri" w:hAnsi="Calibri"/>
                <w:color w:val="1E293B"/>
                <w:sz w:val="18"/>
              </w:rPr>
              <w:t>1:00 min</w:t>
            </w:r>
          </w:p>
        </w:tc>
        <w:tc>
          <w:tcPr>
            <w:tcW w:type="dxa" w:w="1872"/>
            <w:shd w:fill="F8FAFC"/>
            <w:tcMar>
              <w:top w:w="60" w:type="dxa"/>
              <w:bottom w:w="60" w:type="dxa"/>
              <w:left w:w="100" w:type="dxa"/>
              <w:right w:w="100" w:type="dxa"/>
            </w:tcMar>
          </w:tcPr>
          <w:p>
            <w:r>
              <w:rPr>
                <w:rFonts w:ascii="Calibri" w:hAnsi="Calibri"/>
                <w:color w:val="1E293B"/>
                <w:sz w:val="18"/>
              </w:rPr>
              <w:t>Speaker 2</w:t>
            </w:r>
          </w:p>
        </w:tc>
        <w:tc>
          <w:tcPr>
            <w:tcW w:type="dxa" w:w="1872"/>
            <w:shd w:fill="F8FAFC"/>
            <w:tcMar>
              <w:top w:w="60" w:type="dxa"/>
              <w:bottom w:w="60" w:type="dxa"/>
              <w:left w:w="100" w:type="dxa"/>
              <w:right w:w="100" w:type="dxa"/>
            </w:tcMar>
          </w:tcPr>
          <w:p>
            <w:r>
              <w:rPr>
                <w:rFonts w:ascii="Calibri" w:hAnsi="Calibri"/>
                <w:color w:val="1E293B"/>
                <w:sz w:val="18"/>
              </w:rPr>
              <w:t>Bilateral state machine, sequential DAG</w:t>
            </w:r>
          </w:p>
        </w:tc>
      </w:tr>
      <w:tr>
        <w:tc>
          <w:tcPr>
            <w:tcW w:type="dxa" w:w="1872"/>
            <w:shd w:fill="FFFFFF"/>
            <w:tcMar>
              <w:top w:w="60" w:type="dxa"/>
              <w:bottom w:w="60" w:type="dxa"/>
              <w:left w:w="100" w:type="dxa"/>
              <w:right w:w="100" w:type="dxa"/>
            </w:tcMar>
          </w:tcPr>
          <w:p>
            <w:r>
              <w:rPr>
                <w:rFonts w:ascii="Calibri" w:hAnsi="Calibri"/>
                <w:color w:val="1E293B"/>
                <w:sz w:val="18"/>
              </w:rPr>
              <w:t>Slide 14</w:t>
            </w:r>
          </w:p>
        </w:tc>
        <w:tc>
          <w:tcPr>
            <w:tcW w:type="dxa" w:w="1872"/>
            <w:shd w:fill="FFFFFF"/>
            <w:tcMar>
              <w:top w:w="60" w:type="dxa"/>
              <w:bottom w:w="60" w:type="dxa"/>
              <w:left w:w="100" w:type="dxa"/>
              <w:right w:w="100" w:type="dxa"/>
            </w:tcMar>
          </w:tcPr>
          <w:p>
            <w:r>
              <w:rPr>
                <w:rFonts w:ascii="Calibri" w:hAnsi="Calibri"/>
                <w:color w:val="1E293B"/>
                <w:sz w:val="18"/>
              </w:rPr>
              <w:t>13-Table VDR &amp; Quad Auditability</w:t>
            </w:r>
          </w:p>
        </w:tc>
        <w:tc>
          <w:tcPr>
            <w:tcW w:type="dxa" w:w="1872"/>
            <w:shd w:fill="FFFFFF"/>
            <w:tcMar>
              <w:top w:w="60" w:type="dxa"/>
              <w:bottom w:w="60" w:type="dxa"/>
              <w:left w:w="100" w:type="dxa"/>
              <w:right w:w="100" w:type="dxa"/>
            </w:tcMar>
          </w:tcPr>
          <w:p>
            <w:r>
              <w:rPr>
                <w:rFonts w:ascii="Calibri" w:hAnsi="Calibri"/>
                <w:color w:val="1E293B"/>
                <w:sz w:val="18"/>
              </w:rPr>
              <w:t>1:00 min</w:t>
            </w:r>
          </w:p>
        </w:tc>
        <w:tc>
          <w:tcPr>
            <w:tcW w:type="dxa" w:w="1872"/>
            <w:shd w:fill="FFFFFF"/>
            <w:tcMar>
              <w:top w:w="60" w:type="dxa"/>
              <w:bottom w:w="60" w:type="dxa"/>
              <w:left w:w="100" w:type="dxa"/>
              <w:right w:w="100" w:type="dxa"/>
            </w:tcMar>
          </w:tcPr>
          <w:p>
            <w:r>
              <w:rPr>
                <w:rFonts w:ascii="Calibri" w:hAnsi="Calibri"/>
                <w:color w:val="1E293B"/>
                <w:sz w:val="18"/>
              </w:rPr>
              <w:t>Speaker 2</w:t>
            </w:r>
          </w:p>
        </w:tc>
        <w:tc>
          <w:tcPr>
            <w:tcW w:type="dxa" w:w="1872"/>
            <w:shd w:fill="FFFFFF"/>
            <w:tcMar>
              <w:top w:w="60" w:type="dxa"/>
              <w:bottom w:w="60" w:type="dxa"/>
              <w:left w:w="100" w:type="dxa"/>
              <w:right w:w="100" w:type="dxa"/>
            </w:tcMar>
          </w:tcPr>
          <w:p>
            <w:r>
              <w:rPr>
                <w:rFonts w:ascii="Calibri" w:hAnsi="Calibri"/>
                <w:color w:val="1E293B"/>
                <w:sz w:val="18"/>
              </w:rPr>
              <w:t>SQLite WAL sub-5ms, 4 audit streams</w:t>
            </w:r>
          </w:p>
        </w:tc>
      </w:tr>
      <w:tr>
        <w:tc>
          <w:tcPr>
            <w:tcW w:type="dxa" w:w="1872"/>
            <w:shd w:fill="F8FAFC"/>
            <w:tcMar>
              <w:top w:w="60" w:type="dxa"/>
              <w:bottom w:w="60" w:type="dxa"/>
              <w:left w:w="100" w:type="dxa"/>
              <w:right w:w="100" w:type="dxa"/>
            </w:tcMar>
          </w:tcPr>
          <w:p>
            <w:r>
              <w:rPr>
                <w:rFonts w:ascii="Calibri" w:hAnsi="Calibri"/>
                <w:color w:val="1E293B"/>
                <w:sz w:val="18"/>
              </w:rPr>
              <w:t>Slide 15</w:t>
            </w:r>
          </w:p>
        </w:tc>
        <w:tc>
          <w:tcPr>
            <w:tcW w:type="dxa" w:w="1872"/>
            <w:shd w:fill="F8FAFC"/>
            <w:tcMar>
              <w:top w:w="60" w:type="dxa"/>
              <w:bottom w:w="60" w:type="dxa"/>
              <w:left w:w="100" w:type="dxa"/>
              <w:right w:w="100" w:type="dxa"/>
            </w:tcMar>
          </w:tcPr>
          <w:p>
            <w:r>
              <w:rPr>
                <w:rFonts w:ascii="Calibri" w:hAnsi="Calibri"/>
                <w:color w:val="1E293B"/>
                <w:sz w:val="18"/>
              </w:rPr>
              <w:t>SOC Portal &amp; Investigation Drawer</w:t>
            </w:r>
          </w:p>
        </w:tc>
        <w:tc>
          <w:tcPr>
            <w:tcW w:type="dxa" w:w="1872"/>
            <w:shd w:fill="F8FAFC"/>
            <w:tcMar>
              <w:top w:w="60" w:type="dxa"/>
              <w:bottom w:w="60" w:type="dxa"/>
              <w:left w:w="100" w:type="dxa"/>
              <w:right w:w="100" w:type="dxa"/>
            </w:tcMar>
          </w:tcPr>
          <w:p>
            <w:r>
              <w:rPr>
                <w:rFonts w:ascii="Calibri" w:hAnsi="Calibri"/>
                <w:color w:val="1E293B"/>
                <w:sz w:val="18"/>
              </w:rPr>
              <w:t>1:15 min</w:t>
            </w:r>
          </w:p>
        </w:tc>
        <w:tc>
          <w:tcPr>
            <w:tcW w:type="dxa" w:w="1872"/>
            <w:shd w:fill="F8FAFC"/>
            <w:tcMar>
              <w:top w:w="60" w:type="dxa"/>
              <w:bottom w:w="60" w:type="dxa"/>
              <w:left w:w="100" w:type="dxa"/>
              <w:right w:w="100" w:type="dxa"/>
            </w:tcMar>
          </w:tcPr>
          <w:p>
            <w:r>
              <w:rPr>
                <w:rFonts w:ascii="Calibri" w:hAnsi="Calibri"/>
                <w:color w:val="1E293B"/>
                <w:sz w:val="18"/>
              </w:rPr>
              <w:t>Speaker 2</w:t>
            </w:r>
          </w:p>
        </w:tc>
        <w:tc>
          <w:tcPr>
            <w:tcW w:type="dxa" w:w="1872"/>
            <w:shd w:fill="F8FAFC"/>
            <w:tcMar>
              <w:top w:w="60" w:type="dxa"/>
              <w:bottom w:w="60" w:type="dxa"/>
              <w:left w:w="100" w:type="dxa"/>
              <w:right w:w="100" w:type="dxa"/>
            </w:tcMar>
          </w:tcPr>
          <w:p>
            <w:r>
              <w:rPr>
                <w:rFonts w:ascii="Calibri" w:hAnsi="Calibri"/>
                <w:color w:val="1E293B"/>
                <w:sz w:val="18"/>
              </w:rPr>
              <w:t>React 19 UI, 5-tab drawer, dark/light theme</w:t>
            </w:r>
          </w:p>
        </w:tc>
      </w:tr>
      <w:tr>
        <w:tc>
          <w:tcPr>
            <w:tcW w:type="dxa" w:w="1872"/>
            <w:shd w:fill="FFFFFF"/>
            <w:tcMar>
              <w:top w:w="60" w:type="dxa"/>
              <w:bottom w:w="60" w:type="dxa"/>
              <w:left w:w="100" w:type="dxa"/>
              <w:right w:w="100" w:type="dxa"/>
            </w:tcMar>
          </w:tcPr>
          <w:p>
            <w:r>
              <w:rPr>
                <w:rFonts w:ascii="Calibri" w:hAnsi="Calibri"/>
                <w:color w:val="1E293B"/>
                <w:sz w:val="18"/>
              </w:rPr>
              <w:t>Slide 16</w:t>
            </w:r>
          </w:p>
        </w:tc>
        <w:tc>
          <w:tcPr>
            <w:tcW w:type="dxa" w:w="1872"/>
            <w:shd w:fill="FFFFFF"/>
            <w:tcMar>
              <w:top w:w="60" w:type="dxa"/>
              <w:bottom w:w="60" w:type="dxa"/>
              <w:left w:w="100" w:type="dxa"/>
              <w:right w:w="100" w:type="dxa"/>
            </w:tcMar>
          </w:tcPr>
          <w:p>
            <w:r>
              <w:rPr>
                <w:rFonts w:ascii="Calibri" w:hAnsi="Calibri"/>
                <w:color w:val="1E293B"/>
                <w:sz w:val="18"/>
              </w:rPr>
              <w:t>Empirical Testing &amp; Subsystem Health</w:t>
            </w:r>
          </w:p>
        </w:tc>
        <w:tc>
          <w:tcPr>
            <w:tcW w:type="dxa" w:w="1872"/>
            <w:shd w:fill="FFFFFF"/>
            <w:tcMar>
              <w:top w:w="60" w:type="dxa"/>
              <w:bottom w:w="60" w:type="dxa"/>
              <w:left w:w="100" w:type="dxa"/>
              <w:right w:w="100" w:type="dxa"/>
            </w:tcMar>
          </w:tcPr>
          <w:p>
            <w:r>
              <w:rPr>
                <w:rFonts w:ascii="Calibri" w:hAnsi="Calibri"/>
                <w:color w:val="1E293B"/>
                <w:sz w:val="18"/>
              </w:rPr>
              <w:t>1:00 min</w:t>
            </w:r>
          </w:p>
        </w:tc>
        <w:tc>
          <w:tcPr>
            <w:tcW w:type="dxa" w:w="1872"/>
            <w:shd w:fill="FFFFFF"/>
            <w:tcMar>
              <w:top w:w="60" w:type="dxa"/>
              <w:bottom w:w="60" w:type="dxa"/>
              <w:left w:w="100" w:type="dxa"/>
              <w:right w:w="100" w:type="dxa"/>
            </w:tcMar>
          </w:tcPr>
          <w:p>
            <w:r>
              <w:rPr>
                <w:rFonts w:ascii="Calibri" w:hAnsi="Calibri"/>
                <w:color w:val="1E293B"/>
                <w:sz w:val="18"/>
              </w:rPr>
              <w:t>Speaker 2</w:t>
            </w:r>
          </w:p>
        </w:tc>
        <w:tc>
          <w:tcPr>
            <w:tcW w:type="dxa" w:w="1872"/>
            <w:shd w:fill="FFFFFF"/>
            <w:tcMar>
              <w:top w:w="60" w:type="dxa"/>
              <w:bottom w:w="60" w:type="dxa"/>
              <w:left w:w="100" w:type="dxa"/>
              <w:right w:w="100" w:type="dxa"/>
            </w:tcMar>
          </w:tcPr>
          <w:p>
            <w:r>
              <w:rPr>
                <w:rFonts w:ascii="Calibri" w:hAnsi="Calibri"/>
                <w:color w:val="1E293B"/>
                <w:sz w:val="18"/>
              </w:rPr>
              <w:t>80/80 pytest pass, /health live probe</w:t>
            </w:r>
          </w:p>
        </w:tc>
      </w:tr>
      <w:tr>
        <w:tc>
          <w:tcPr>
            <w:tcW w:type="dxa" w:w="1872"/>
            <w:shd w:fill="F8FAFC"/>
            <w:tcMar>
              <w:top w:w="60" w:type="dxa"/>
              <w:bottom w:w="60" w:type="dxa"/>
              <w:left w:w="100" w:type="dxa"/>
              <w:right w:w="100" w:type="dxa"/>
            </w:tcMar>
          </w:tcPr>
          <w:p>
            <w:r>
              <w:rPr>
                <w:rFonts w:ascii="Calibri" w:hAnsi="Calibri"/>
                <w:color w:val="1E293B"/>
                <w:sz w:val="18"/>
              </w:rPr>
              <w:t>Slide 17</w:t>
            </w:r>
          </w:p>
        </w:tc>
        <w:tc>
          <w:tcPr>
            <w:tcW w:type="dxa" w:w="1872"/>
            <w:shd w:fill="F8FAFC"/>
            <w:tcMar>
              <w:top w:w="60" w:type="dxa"/>
              <w:bottom w:w="60" w:type="dxa"/>
              <w:left w:w="100" w:type="dxa"/>
              <w:right w:w="100" w:type="dxa"/>
            </w:tcMar>
          </w:tcPr>
          <w:p>
            <w:r>
              <w:rPr>
                <w:rFonts w:ascii="Calibri" w:hAnsi="Calibri"/>
                <w:color w:val="1E293B"/>
                <w:sz w:val="18"/>
              </w:rPr>
              <w:t>7 Transparent Limitations &amp; Roadmap</w:t>
            </w:r>
          </w:p>
        </w:tc>
        <w:tc>
          <w:tcPr>
            <w:tcW w:type="dxa" w:w="1872"/>
            <w:shd w:fill="F8FAFC"/>
            <w:tcMar>
              <w:top w:w="60" w:type="dxa"/>
              <w:bottom w:w="60" w:type="dxa"/>
              <w:left w:w="100" w:type="dxa"/>
              <w:right w:w="100" w:type="dxa"/>
            </w:tcMar>
          </w:tcPr>
          <w:p>
            <w:r>
              <w:rPr>
                <w:rFonts w:ascii="Calibri" w:hAnsi="Calibri"/>
                <w:color w:val="1E293B"/>
                <w:sz w:val="18"/>
              </w:rPr>
              <w:t>1:00 min</w:t>
            </w:r>
          </w:p>
        </w:tc>
        <w:tc>
          <w:tcPr>
            <w:tcW w:type="dxa" w:w="1872"/>
            <w:shd w:fill="F8FAFC"/>
            <w:tcMar>
              <w:top w:w="60" w:type="dxa"/>
              <w:bottom w:w="60" w:type="dxa"/>
              <w:left w:w="100" w:type="dxa"/>
              <w:right w:w="100" w:type="dxa"/>
            </w:tcMar>
          </w:tcPr>
          <w:p>
            <w:r>
              <w:rPr>
                <w:rFonts w:ascii="Calibri" w:hAnsi="Calibri"/>
                <w:color w:val="1E293B"/>
                <w:sz w:val="18"/>
              </w:rPr>
              <w:t>Speaker 2</w:t>
            </w:r>
          </w:p>
        </w:tc>
        <w:tc>
          <w:tcPr>
            <w:tcW w:type="dxa" w:w="1872"/>
            <w:shd w:fill="F8FAFC"/>
            <w:tcMar>
              <w:top w:w="60" w:type="dxa"/>
              <w:bottom w:w="60" w:type="dxa"/>
              <w:left w:w="100" w:type="dxa"/>
              <w:right w:w="100" w:type="dxa"/>
            </w:tcMar>
          </w:tcPr>
          <w:p>
            <w:r>
              <w:rPr>
                <w:rFonts w:ascii="Calibri" w:hAnsi="Calibri"/>
                <w:color w:val="1E293B"/>
                <w:sz w:val="18"/>
              </w:rPr>
              <w:t>Honest caveats: local VDR, simulation, static w</w:t>
            </w:r>
          </w:p>
        </w:tc>
      </w:tr>
      <w:tr>
        <w:tc>
          <w:tcPr>
            <w:tcW w:type="dxa" w:w="1872"/>
            <w:shd w:fill="FFFFFF"/>
            <w:tcMar>
              <w:top w:w="60" w:type="dxa"/>
              <w:bottom w:w="60" w:type="dxa"/>
              <w:left w:w="100" w:type="dxa"/>
              <w:right w:w="100" w:type="dxa"/>
            </w:tcMar>
          </w:tcPr>
          <w:p>
            <w:r>
              <w:rPr>
                <w:rFonts w:ascii="Calibri" w:hAnsi="Calibri"/>
                <w:color w:val="1E293B"/>
                <w:sz w:val="18"/>
              </w:rPr>
              <w:t>Slide 18</w:t>
            </w:r>
          </w:p>
        </w:tc>
        <w:tc>
          <w:tcPr>
            <w:tcW w:type="dxa" w:w="1872"/>
            <w:shd w:fill="FFFFFF"/>
            <w:tcMar>
              <w:top w:w="60" w:type="dxa"/>
              <w:bottom w:w="60" w:type="dxa"/>
              <w:left w:w="100" w:type="dxa"/>
              <w:right w:w="100" w:type="dxa"/>
            </w:tcMar>
          </w:tcPr>
          <w:p>
            <w:r>
              <w:rPr>
                <w:rFonts w:ascii="Calibri" w:hAnsi="Calibri"/>
                <w:color w:val="1E293B"/>
                <w:sz w:val="18"/>
              </w:rPr>
              <w:t>Conclusion, Contributions &amp; Q&amp;A</w:t>
            </w:r>
          </w:p>
        </w:tc>
        <w:tc>
          <w:tcPr>
            <w:tcW w:type="dxa" w:w="1872"/>
            <w:shd w:fill="FFFFFF"/>
            <w:tcMar>
              <w:top w:w="60" w:type="dxa"/>
              <w:bottom w:w="60" w:type="dxa"/>
              <w:left w:w="100" w:type="dxa"/>
              <w:right w:w="100" w:type="dxa"/>
            </w:tcMar>
          </w:tcPr>
          <w:p>
            <w:r>
              <w:rPr>
                <w:rFonts w:ascii="Calibri" w:hAnsi="Calibri"/>
                <w:color w:val="1E293B"/>
                <w:sz w:val="18"/>
              </w:rPr>
              <w:t>0:45 min</w:t>
            </w:r>
          </w:p>
        </w:tc>
        <w:tc>
          <w:tcPr>
            <w:tcW w:type="dxa" w:w="1872"/>
            <w:shd w:fill="FFFFFF"/>
            <w:tcMar>
              <w:top w:w="60" w:type="dxa"/>
              <w:bottom w:w="60" w:type="dxa"/>
              <w:left w:w="100" w:type="dxa"/>
              <w:right w:w="100" w:type="dxa"/>
            </w:tcMar>
          </w:tcPr>
          <w:p>
            <w:r>
              <w:rPr>
                <w:rFonts w:ascii="Calibri" w:hAnsi="Calibri"/>
                <w:color w:val="1E293B"/>
                <w:sz w:val="18"/>
              </w:rPr>
              <w:t>Both</w:t>
            </w:r>
          </w:p>
        </w:tc>
        <w:tc>
          <w:tcPr>
            <w:tcW w:type="dxa" w:w="1872"/>
            <w:shd w:fill="FFFFFF"/>
            <w:tcMar>
              <w:top w:w="60" w:type="dxa"/>
              <w:bottom w:w="60" w:type="dxa"/>
              <w:left w:w="100" w:type="dxa"/>
              <w:right w:w="100" w:type="dxa"/>
            </w:tcMar>
          </w:tcPr>
          <w:p>
            <w:r>
              <w:rPr>
                <w:rFonts w:ascii="Calibri" w:hAnsi="Calibri"/>
                <w:color w:val="1E293B"/>
                <w:sz w:val="18"/>
              </w:rPr>
              <w:t>3 core contributions, defense open</w:t>
            </w:r>
          </w:p>
        </w:tc>
      </w:tr>
    </w:tbl>
    <w:p>
      <w:pPr>
        <w:spacing w:after="240"/>
      </w:pPr>
    </w:p>
    <w:p>
      <w:pPr>
        <w:pStyle w:val="Heading1"/>
      </w:pPr>
      <w:r>
        <w:t>2. Slide-by-Slide Spoken Script &amp; Implementation Grounding</w:t>
      </w:r>
    </w:p>
    <w:p>
      <w:pPr>
        <w:pStyle w:val="Heading2"/>
        <w:spacing w:before="280" w:after="80"/>
      </w:pPr>
      <w:r>
        <w:t>Slide 1: Title Slide: Project Identification &amp; Attributions</w:t>
      </w:r>
    </w:p>
    <w:p>
      <w:pPr>
        <w:spacing w:after="80"/>
      </w:pPr>
      <w:r>
        <w:rPr>
          <w:rFonts w:ascii="Calibri" w:hAnsi="Calibri"/>
          <w:b/>
          <w:color w:val="00A3C4"/>
          <w:sz w:val="19"/>
        </w:rPr>
        <w:t>Target Delivery Time: 45 seconds   |   Section Status: Grounded &amp; Verified</w:t>
      </w:r>
    </w:p>
    <w:p>
      <w:pPr>
        <w:spacing w:before="80" w:after="40"/>
      </w:pPr>
      <w:r>
        <w:rPr>
          <w:rFonts w:ascii="Calibri" w:hAnsi="Calibri"/>
          <w:b/>
          <w:color w:val="0F172A"/>
          <w:sz w:val="21"/>
        </w:rPr>
        <w:t>Verbal Presentation Script (Spoken Aloud):</w:t>
      </w:r>
    </w:p>
    <w:p>
      <w:pPr>
        <w:spacing w:after="120"/>
      </w:pPr>
      <w:r>
        <w:rPr>
          <w:rFonts w:ascii="Calibri" w:hAnsi="Calibri"/>
          <w:color w:val="334155"/>
          <w:sz w:val="20"/>
        </w:rPr>
        <w:t>Good morning, respected members of the evaluation committee, project guide, and external examiner. We are privileged to present our B.Tech final-year capstone project: 'TrustChain-AI: A Decentralized Trust Intelligence Framework for Secure Autonomous AI Agent Collaboration.' In modern distributed AI systems, autonomous agents communicate, delegate sub-tasks, and execute sensitive tools without human supervision. However, current systems suffer from a fatal security vulnerability: static point-in-time authentication verifies who an agent is at the start of a session, but has zero visibility into whether that agent remains safe, reliable, and compliant during execution. TrustChain-AI solves this fundamentally by unifying W3C decentralized public-key identity with continuous mathematical trust scoring and zero-trust policy gating.</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top w:val="none"/>
              <w:left w:val="single" w:sz="24" w:space="0" w:color="00A3C4"/>
              <w:bottom w:val="none"/>
              <w:right w:val="none"/>
            </w:tcBorders>
          </w:tcPr>
          <w:p>
            <w:pPr>
              <w:spacing w:before="40" w:after="40"/>
            </w:pPr>
            <w:r>
              <w:rPr>
                <w:rFonts w:ascii="Calibri" w:hAnsi="Calibri"/>
                <w:b/>
                <w:color w:val="00A3C4"/>
                <w:sz w:val="21"/>
              </w:rPr>
              <w:t xml:space="preserve">Key Visuals to Highlight: </w:t>
            </w:r>
            <w:r>
              <w:rPr>
                <w:rFonts w:ascii="Calibri" w:hAnsi="Calibri"/>
                <w:color w:val="1E293B"/>
                <w:sz w:val="20"/>
              </w:rPr>
              <w:t>Highlight the 3 foundational pillar cards (Identity, Trust Intelligence, Zero-Trust Gating) and institutional credentials.</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Core Technical Takeaway: </w:t>
            </w:r>
            <w:r>
              <w:rPr>
                <w:rFonts w:ascii="Calibri" w:hAnsi="Calibri"/>
                <w:color w:val="1E293B"/>
                <w:sz w:val="20"/>
              </w:rPr>
              <w:t>TrustChain-AI replaces static one-time authentication with a closed-loop zero-trust architecture combining W3C did:key and dynamic behavioral telemetry.</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EF2FF"/>
            <w:tcMar>
              <w:top w:w="140" w:type="dxa"/>
              <w:bottom w:w="140" w:type="dxa"/>
              <w:left w:w="200" w:type="dxa"/>
              <w:right w:w="200" w:type="dxa"/>
            </w:tcMar>
            <w:tcBorders>
              <w:top w:val="none"/>
              <w:left w:val="single" w:sz="24" w:space="0" w:color="6366F1"/>
              <w:bottom w:val="none"/>
              <w:right w:val="none"/>
            </w:tcBorders>
          </w:tcPr>
          <w:p>
            <w:pPr>
              <w:spacing w:before="40" w:after="40"/>
            </w:pPr>
            <w:r>
              <w:rPr>
                <w:rFonts w:ascii="Calibri" w:hAnsi="Calibri"/>
                <w:b/>
                <w:color w:val="6366F1"/>
                <w:sz w:val="21"/>
              </w:rPr>
              <w:t xml:space="preserve">Grounding Code &amp; Files: </w:t>
            </w:r>
            <w:r>
              <w:rPr>
                <w:rFonts w:ascii="Calibri" w:hAnsi="Calibri"/>
                <w:color w:val="1E293B"/>
                <w:sz w:val="20"/>
              </w:rPr>
              <w:t>docs/blackbook/TrustChain_AI_Final_Blackbook.docx, akta/did.py, akta/trust_engine.py, akta/server.py</w:t>
            </w:r>
          </w:p>
        </w:tc>
      </w:tr>
    </w:tbl>
    <w:p>
      <w:pPr>
        <w:spacing w:before="0" w:after="80"/>
      </w:pPr>
    </w:p>
    <w:p>
      <w:pPr>
        <w:spacing w:before="80" w:after="40"/>
      </w:pPr>
      <w:r>
        <w:rPr>
          <w:rFonts w:ascii="Calibri" w:hAnsi="Calibri"/>
          <w:b/>
          <w:color w:val="B45309"/>
          <w:sz w:val="20"/>
        </w:rPr>
        <w:t>Likely Slide-Specific Question &amp; Defense:</w:t>
      </w:r>
    </w:p>
    <w:p>
      <w:pPr>
        <w:spacing w:after="120"/>
      </w:pPr>
      <w:r>
        <w:rPr>
          <w:rFonts w:ascii="Calibri" w:hAnsi="Calibri"/>
          <w:color w:val="475569"/>
          <w:sz w:val="19"/>
        </w:rPr>
        <w:t>Q: What is the single biggest motivation for this capstone?</w:t>
        <w:br/>
        <w:t>A: Autonomous AI agents are prone to hallucination, SLA timeouts, and prompt injection drift. Once authenticated via API key, existing frameworks leave them unmonitored. TrustChain-AI enforces continuous behavioral evaluation.</w:t>
      </w:r>
    </w:p>
    <w:p>
      <w:pPr>
        <w:spacing w:after="120"/>
      </w:pPr>
    </w:p>
    <w:p>
      <w:pPr>
        <w:pStyle w:val="Heading2"/>
        <w:spacing w:before="280" w:after="80"/>
      </w:pPr>
      <w:r>
        <w:t>Slide 2: Executive Summary &amp; Research Motivation</w:t>
      </w:r>
    </w:p>
    <w:p>
      <w:pPr>
        <w:spacing w:after="80"/>
      </w:pPr>
      <w:r>
        <w:rPr>
          <w:rFonts w:ascii="Calibri" w:hAnsi="Calibri"/>
          <w:b/>
          <w:color w:val="00A3C4"/>
          <w:sz w:val="19"/>
        </w:rPr>
        <w:t>Target Delivery Time: 60 seconds   |   Section Status: Grounded &amp; Verified</w:t>
      </w:r>
    </w:p>
    <w:p>
      <w:pPr>
        <w:spacing w:before="80" w:after="40"/>
      </w:pPr>
      <w:r>
        <w:rPr>
          <w:rFonts w:ascii="Calibri" w:hAnsi="Calibri"/>
          <w:b/>
          <w:color w:val="0F172A"/>
          <w:sz w:val="21"/>
        </w:rPr>
        <w:t>Verbal Presentation Script (Spoken Aloud):</w:t>
      </w:r>
    </w:p>
    <w:p>
      <w:pPr>
        <w:spacing w:after="120"/>
      </w:pPr>
      <w:r>
        <w:rPr>
          <w:rFonts w:ascii="Calibri" w:hAnsi="Calibri"/>
          <w:color w:val="334155"/>
          <w:sz w:val="20"/>
        </w:rPr>
        <w:t>Moving to Slide 2, we illustrate the core problem: the Point-in-Time Security Failure. Traditional access control operates like a building security badge: once an agent proves possession of an API key or certificate at t=0, it receives persistent, unchecked access. But autonomous agents are dynamic stochastic software: an agent can experience model drift, hallucinate malformed parameters, suffer API throttling, or be subverted by indirect prompt injection. In collaborative workflows, if Agent A degrades, downstream Agent B consumes that poisoned output, causing cascading systemic failure. As shown in our contrast diagram, TrustChain-AI shifts the paradigm from blind runtime trust to continuous zero-trust governance, where telemetry events continuously update a mathematical trust score and automatically quarantine degraded agents.</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top w:val="none"/>
              <w:left w:val="single" w:sz="24" w:space="0" w:color="00A3C4"/>
              <w:bottom w:val="none"/>
              <w:right w:val="none"/>
            </w:tcBorders>
          </w:tcPr>
          <w:p>
            <w:pPr>
              <w:spacing w:before="40" w:after="40"/>
            </w:pPr>
            <w:r>
              <w:rPr>
                <w:rFonts w:ascii="Calibri" w:hAnsi="Calibri"/>
                <w:b/>
                <w:color w:val="00A3C4"/>
                <w:sz w:val="21"/>
              </w:rPr>
              <w:t xml:space="preserve">Key Visuals to Highlight: </w:t>
            </w:r>
            <w:r>
              <w:rPr>
                <w:rFonts w:ascii="Calibri" w:hAnsi="Calibri"/>
                <w:color w:val="1E293B"/>
                <w:sz w:val="20"/>
              </w:rPr>
              <w:t>Direct attention to the side-by-side comparison: Traditional Blind Runtime Trust vs. TrustChain-AI Continuous Zero-Trust loop.</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Core Technical Takeaway: </w:t>
            </w:r>
            <w:r>
              <w:rPr>
                <w:rFonts w:ascii="Calibri" w:hAnsi="Calibri"/>
                <w:color w:val="1E293B"/>
                <w:sz w:val="20"/>
              </w:rPr>
              <w:t>Static authentication confirms cryptographic identity at session start; it cannot evaluate whether an agent remains safe, compliant, or reliable during runtime execution.</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EF2FF"/>
            <w:tcMar>
              <w:top w:w="140" w:type="dxa"/>
              <w:bottom w:w="140" w:type="dxa"/>
              <w:left w:w="200" w:type="dxa"/>
              <w:right w:w="200" w:type="dxa"/>
            </w:tcMar>
            <w:tcBorders>
              <w:top w:val="none"/>
              <w:left w:val="single" w:sz="24" w:space="0" w:color="6366F1"/>
              <w:bottom w:val="none"/>
              <w:right w:val="none"/>
            </w:tcBorders>
          </w:tcPr>
          <w:p>
            <w:pPr>
              <w:spacing w:before="40" w:after="40"/>
            </w:pPr>
            <w:r>
              <w:rPr>
                <w:rFonts w:ascii="Calibri" w:hAnsi="Calibri"/>
                <w:b/>
                <w:color w:val="6366F1"/>
                <w:sz w:val="21"/>
              </w:rPr>
              <w:t xml:space="preserve">Grounding Code &amp; Files: </w:t>
            </w:r>
            <w:r>
              <w:rPr>
                <w:rFonts w:ascii="Calibri" w:hAnsi="Calibri"/>
                <w:color w:val="1E293B"/>
                <w:sz w:val="20"/>
              </w:rPr>
              <w:t>docs/blackbook/TrustChain_AI_Blackbook_Part1.md (Chapter 1), akta/adaptive_auth.py, tests/test_adaptive_policy.py</w:t>
            </w:r>
          </w:p>
        </w:tc>
      </w:tr>
    </w:tbl>
    <w:p>
      <w:pPr>
        <w:spacing w:before="0" w:after="80"/>
      </w:pPr>
    </w:p>
    <w:p>
      <w:pPr>
        <w:spacing w:before="80" w:after="40"/>
      </w:pPr>
      <w:r>
        <w:rPr>
          <w:rFonts w:ascii="Calibri" w:hAnsi="Calibri"/>
          <w:b/>
          <w:color w:val="B45309"/>
          <w:sz w:val="20"/>
        </w:rPr>
        <w:t>Likely Slide-Specific Question &amp; Defense:</w:t>
      </w:r>
    </w:p>
    <w:p>
      <w:pPr>
        <w:spacing w:after="120"/>
      </w:pPr>
      <w:r>
        <w:rPr>
          <w:rFonts w:ascii="Calibri" w:hAnsi="Calibri"/>
          <w:color w:val="475569"/>
          <w:sz w:val="19"/>
        </w:rPr>
        <w:t>Q: Why can't OAuth2 tokens solve this?</w:t>
        <w:br/>
        <w:t>A: OAuth2 validates identity and initial scopes at issuance. It contains no mechanism to observe runtime task success, SLA compliance, or behavioral drift.</w:t>
      </w:r>
    </w:p>
    <w:p>
      <w:pPr>
        <w:spacing w:after="120"/>
      </w:pPr>
    </w:p>
    <w:p>
      <w:pPr>
        <w:pStyle w:val="Heading2"/>
        <w:spacing w:before="280" w:after="80"/>
      </w:pPr>
      <w:r>
        <w:t>Slide 3: Security Failures in Autonomous Multi-Agent Systems</w:t>
      </w:r>
    </w:p>
    <w:p>
      <w:pPr>
        <w:spacing w:after="80"/>
      </w:pPr>
      <w:r>
        <w:rPr>
          <w:rFonts w:ascii="Calibri" w:hAnsi="Calibri"/>
          <w:b/>
          <w:color w:val="00A3C4"/>
          <w:sz w:val="19"/>
        </w:rPr>
        <w:t>Target Delivery Time: 60 seconds   |   Section Status: Grounded &amp; Verified</w:t>
      </w:r>
    </w:p>
    <w:p>
      <w:pPr>
        <w:spacing w:before="80" w:after="40"/>
      </w:pPr>
      <w:r>
        <w:rPr>
          <w:rFonts w:ascii="Calibri" w:hAnsi="Calibri"/>
          <w:b/>
          <w:color w:val="0F172A"/>
          <w:sz w:val="21"/>
        </w:rPr>
        <w:t>Verbal Presentation Script (Spoken Aloud):</w:t>
      </w:r>
    </w:p>
    <w:p>
      <w:pPr>
        <w:spacing w:after="120"/>
      </w:pPr>
      <w:r>
        <w:rPr>
          <w:rFonts w:ascii="Calibri" w:hAnsi="Calibri"/>
          <w:color w:val="334155"/>
          <w:sz w:val="20"/>
        </w:rPr>
        <w:t>Slide 3 categorizes the three critical failure modes that plague autonomous multi-agent systems today. First is the Binary Point-of-Entry Fallacy: treating security as an all-or-nothing binary toggle. Once inside, an agent enjoys unrestricted freedom. Second is Post-Authentication Behavioral Drift: where an agent begins returning invalid schemas, slow responses, or policy-violating payloads. Third is Cascading Compromise in Multi-Agent Workflows: when Agent A delegates a query to Agent B, who delegates to Agent C, a failure in Agent C silently poisons the entire pipeline. TrustChain-AI directly addresses each failure mode: replacing binary access with 4 discrete trust states, monitoring behavioral drift via normalized telemetry sensors, and isolating failing agents before cascading propagation occurs.</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top w:val="none"/>
              <w:left w:val="single" w:sz="24" w:space="0" w:color="00A3C4"/>
              <w:bottom w:val="none"/>
              <w:right w:val="none"/>
            </w:tcBorders>
          </w:tcPr>
          <w:p>
            <w:pPr>
              <w:spacing w:before="40" w:after="40"/>
            </w:pPr>
            <w:r>
              <w:rPr>
                <w:rFonts w:ascii="Calibri" w:hAnsi="Calibri"/>
                <w:b/>
                <w:color w:val="00A3C4"/>
                <w:sz w:val="21"/>
              </w:rPr>
              <w:t xml:space="preserve">Key Visuals to Highlight: </w:t>
            </w:r>
            <w:r>
              <w:rPr>
                <w:rFonts w:ascii="Calibri" w:hAnsi="Calibri"/>
                <w:color w:val="1E293B"/>
                <w:sz w:val="20"/>
              </w:rPr>
              <w:t>Point out the 3 structured failure mode cards and the corresponding TrustChain-AI defense mechanisms.</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Core Technical Takeaway: </w:t>
            </w:r>
            <w:r>
              <w:rPr>
                <w:rFonts w:ascii="Calibri" w:hAnsi="Calibri"/>
                <w:color w:val="1E293B"/>
                <w:sz w:val="20"/>
              </w:rPr>
              <w:t>Unmonitored runtime execution creates cascading systemic vulnerabilities; TrustChain-AI provides continuous sensor telemetry and automatic quarantine.</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EF2FF"/>
            <w:tcMar>
              <w:top w:w="140" w:type="dxa"/>
              <w:bottom w:w="140" w:type="dxa"/>
              <w:left w:w="200" w:type="dxa"/>
              <w:right w:w="200" w:type="dxa"/>
            </w:tcMar>
            <w:tcBorders>
              <w:top w:val="none"/>
              <w:left w:val="single" w:sz="24" w:space="0" w:color="6366F1"/>
              <w:bottom w:val="none"/>
              <w:right w:val="none"/>
            </w:tcBorders>
          </w:tcPr>
          <w:p>
            <w:pPr>
              <w:spacing w:before="40" w:after="40"/>
            </w:pPr>
            <w:r>
              <w:rPr>
                <w:rFonts w:ascii="Calibri" w:hAnsi="Calibri"/>
                <w:b/>
                <w:color w:val="6366F1"/>
                <w:sz w:val="21"/>
              </w:rPr>
              <w:t xml:space="preserve">Grounding Code &amp; Files: </w:t>
            </w:r>
            <w:r>
              <w:rPr>
                <w:rFonts w:ascii="Calibri" w:hAnsi="Calibri"/>
                <w:color w:val="1E293B"/>
                <w:sz w:val="20"/>
              </w:rPr>
              <w:t>akta/trust_engine.py, akta/adaptive_auth.py, tests/test_trust_engine.py</w:t>
            </w:r>
          </w:p>
        </w:tc>
      </w:tr>
    </w:tbl>
    <w:p>
      <w:pPr>
        <w:spacing w:before="0" w:after="80"/>
      </w:pPr>
    </w:p>
    <w:p>
      <w:pPr>
        <w:spacing w:before="80" w:after="40"/>
      </w:pPr>
      <w:r>
        <w:rPr>
          <w:rFonts w:ascii="Calibri" w:hAnsi="Calibri"/>
          <w:b/>
          <w:color w:val="B45309"/>
          <w:sz w:val="20"/>
        </w:rPr>
        <w:t>Likely Slide-Specific Question &amp; Defense:</w:t>
      </w:r>
    </w:p>
    <w:p>
      <w:pPr>
        <w:spacing w:after="120"/>
      </w:pPr>
      <w:r>
        <w:rPr>
          <w:rFonts w:ascii="Calibri" w:hAnsi="Calibri"/>
          <w:color w:val="475569"/>
          <w:sz w:val="19"/>
        </w:rPr>
        <w:t>Q: How do you detect an agent's failure if it doesn't crash?</w:t>
        <w:br/>
        <w:t>A: Through multi-factor telemetry. An agent might return HTTP 200, but if its payload violates policy compliance C(t)=0.0 or breaches latency SLA L(t)=1.0, its performance score drops immediately.</w:t>
      </w:r>
    </w:p>
    <w:p>
      <w:pPr>
        <w:spacing w:after="120"/>
      </w:pPr>
    </w:p>
    <w:p>
      <w:pPr>
        <w:pStyle w:val="Heading2"/>
        <w:spacing w:before="280" w:after="80"/>
      </w:pPr>
      <w:r>
        <w:t>Slide 4: Literature Review, Theoretical Foundations &amp; Research Gap</w:t>
      </w:r>
    </w:p>
    <w:p>
      <w:pPr>
        <w:spacing w:after="80"/>
      </w:pPr>
      <w:r>
        <w:rPr>
          <w:rFonts w:ascii="Calibri" w:hAnsi="Calibri"/>
          <w:b/>
          <w:color w:val="00A3C4"/>
          <w:sz w:val="19"/>
        </w:rPr>
        <w:t>Target Delivery Time: 60 seconds   |   Section Status: Grounded &amp; Verified</w:t>
      </w:r>
    </w:p>
    <w:p>
      <w:pPr>
        <w:spacing w:before="80" w:after="40"/>
      </w:pPr>
      <w:r>
        <w:rPr>
          <w:rFonts w:ascii="Calibri" w:hAnsi="Calibri"/>
          <w:b/>
          <w:color w:val="0F172A"/>
          <w:sz w:val="21"/>
        </w:rPr>
        <w:t>Verbal Presentation Script (Spoken Aloud):</w:t>
      </w:r>
    </w:p>
    <w:p>
      <w:pPr>
        <w:spacing w:after="120"/>
      </w:pPr>
      <w:r>
        <w:rPr>
          <w:rFonts w:ascii="Calibri" w:hAnsi="Calibri"/>
          <w:color w:val="334155"/>
          <w:sz w:val="20"/>
        </w:rPr>
        <w:t>In Slide 4, we position TrustChain-AI across four established bodies of academic literature. First, in W3C Self-Sovereign Identity, standards like did:key and Verifiable Credentials provide decentralized identity, but credentials are fundamentally static snapshots. Second, in distributed reputation systems like Kamvar's EigenTrust, peer feedback is aggregated, but classic models ignore execution latency, schema compliance, and real-time operational gating. Third, in NIST SP 800-207 Zero Trust Architecture, the principle of 'never trust, always verify' is established for network perimeters, but lacks agent-specific behavioral formulations. Fourth, FIPA standards specify agent directories without trust-aware matching. The research gap is clear: no prior system unifies W3C decentralized identity with continuous mathematical trust scoring and operation-level adaptive gating. TrustChain-AI synthesizes these four pillars into a unified framework.</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top w:val="none"/>
              <w:left w:val="single" w:sz="24" w:space="0" w:color="00A3C4"/>
              <w:bottom w:val="none"/>
              <w:right w:val="none"/>
            </w:tcBorders>
          </w:tcPr>
          <w:p>
            <w:pPr>
              <w:spacing w:before="40" w:after="40"/>
            </w:pPr>
            <w:r>
              <w:rPr>
                <w:rFonts w:ascii="Calibri" w:hAnsi="Calibri"/>
                <w:b/>
                <w:color w:val="00A3C4"/>
                <w:sz w:val="21"/>
              </w:rPr>
              <w:t xml:space="preserve">Key Visuals to Highlight: </w:t>
            </w:r>
            <w:r>
              <w:rPr>
                <w:rFonts w:ascii="Calibri" w:hAnsi="Calibri"/>
                <w:color w:val="1E293B"/>
                <w:sz w:val="20"/>
              </w:rPr>
              <w:t>Review the 4 quadrant comparison cards: SSI, Distributed Trust, NIST Zero Trust, and Multi-Agent Directory standards.</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Core Technical Takeaway: </w:t>
            </w:r>
            <w:r>
              <w:rPr>
                <w:rFonts w:ascii="Calibri" w:hAnsi="Calibri"/>
                <w:color w:val="1E293B"/>
                <w:sz w:val="20"/>
              </w:rPr>
              <w:t>TrustChain-AI bridges the gap between static W3C cryptographic identity and continuous runtime zero-trust behavioral governance.</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EF2FF"/>
            <w:tcMar>
              <w:top w:w="140" w:type="dxa"/>
              <w:bottom w:w="140" w:type="dxa"/>
              <w:left w:w="200" w:type="dxa"/>
              <w:right w:w="200" w:type="dxa"/>
            </w:tcMar>
            <w:tcBorders>
              <w:top w:val="none"/>
              <w:left w:val="single" w:sz="24" w:space="0" w:color="6366F1"/>
              <w:bottom w:val="none"/>
              <w:right w:val="none"/>
            </w:tcBorders>
          </w:tcPr>
          <w:p>
            <w:pPr>
              <w:spacing w:before="40" w:after="40"/>
            </w:pPr>
            <w:r>
              <w:rPr>
                <w:rFonts w:ascii="Calibri" w:hAnsi="Calibri"/>
                <w:b/>
                <w:color w:val="6366F1"/>
                <w:sz w:val="21"/>
              </w:rPr>
              <w:t xml:space="preserve">Grounding Code &amp; Files: </w:t>
            </w:r>
            <w:r>
              <w:rPr>
                <w:rFonts w:ascii="Calibri" w:hAnsi="Calibri"/>
                <w:color w:val="1E293B"/>
                <w:sz w:val="20"/>
              </w:rPr>
              <w:t>docs/blackbook/REFERENCES.md (Citations [1]-[12]), W3C DID Core 1.0, NIST SP 800-207, Kamvar et al. EigenTrust (2003)</w:t>
            </w:r>
          </w:p>
        </w:tc>
      </w:tr>
    </w:tbl>
    <w:p>
      <w:pPr>
        <w:spacing w:before="0" w:after="80"/>
      </w:pPr>
    </w:p>
    <w:p>
      <w:pPr>
        <w:spacing w:before="80" w:after="40"/>
      </w:pPr>
      <w:r>
        <w:rPr>
          <w:rFonts w:ascii="Calibri" w:hAnsi="Calibri"/>
          <w:b/>
          <w:color w:val="B45309"/>
          <w:sz w:val="20"/>
        </w:rPr>
        <w:t>Likely Slide-Specific Question &amp; Defense:</w:t>
      </w:r>
    </w:p>
    <w:p>
      <w:pPr>
        <w:spacing w:after="120"/>
      </w:pPr>
      <w:r>
        <w:rPr>
          <w:rFonts w:ascii="Calibri" w:hAnsi="Calibri"/>
          <w:color w:val="475569"/>
          <w:sz w:val="19"/>
        </w:rPr>
        <w:t>Q: How does your trust model differ from EigenTrust?</w:t>
        <w:br/>
        <w:t>A: EigenTrust calculates global reputation via power-iteration on peer ratings in P2P file networks. TrustChain-AI evaluates multi-factor runtime sensor telemetry (success, compliance, latency) with temporal EMA smoothing and couples it directly to API authorization gates.</w:t>
      </w:r>
    </w:p>
    <w:p>
      <w:pPr>
        <w:spacing w:after="120"/>
      </w:pPr>
    </w:p>
    <w:p>
      <w:pPr>
        <w:pStyle w:val="Heading2"/>
        <w:spacing w:before="280" w:after="80"/>
      </w:pPr>
      <w:r>
        <w:t>Slide 5: Research Objectives &amp; Scope Boundary</w:t>
      </w:r>
    </w:p>
    <w:p>
      <w:pPr>
        <w:spacing w:after="80"/>
      </w:pPr>
      <w:r>
        <w:rPr>
          <w:rFonts w:ascii="Calibri" w:hAnsi="Calibri"/>
          <w:b/>
          <w:color w:val="00A3C4"/>
          <w:sz w:val="19"/>
        </w:rPr>
        <w:t>Target Delivery Time: 50 seconds   |   Section Status: Grounded &amp; Verified</w:t>
      </w:r>
    </w:p>
    <w:p>
      <w:pPr>
        <w:spacing w:before="80" w:after="40"/>
      </w:pPr>
      <w:r>
        <w:rPr>
          <w:rFonts w:ascii="Calibri" w:hAnsi="Calibri"/>
          <w:b/>
          <w:color w:val="0F172A"/>
          <w:sz w:val="21"/>
        </w:rPr>
        <w:t>Verbal Presentation Script (Spoken Aloud):</w:t>
      </w:r>
    </w:p>
    <w:p>
      <w:pPr>
        <w:spacing w:after="120"/>
      </w:pPr>
      <w:r>
        <w:rPr>
          <w:rFonts w:ascii="Calibri" w:hAnsi="Calibri"/>
          <w:color w:val="334155"/>
          <w:sz w:val="20"/>
        </w:rPr>
        <w:t>Slide 5 defines the formal boundaries of our capstone engineering effort. We formulated six concrete, verifiable technical objectives: First, implement W3C did:key identity using Ed25519 elliptic-curve cryptography without central CA dependency. Second, issue and verify W3C JSON-LD Verifiable Credentials with canonicalization. Third, ingest multi-factor runtime sensor telemetry across success, compliance, and latency. Fourth, develop a temporal Exponential Moving Average trust engine with 4 discrete states. Fifth, enforce adaptive zero-trust authorization gating. Sixth, build an explainable candidate discovery and multi-factor matching engine. We maintain absolute academic honesty regarding scope: our Verifiable Data Registry is implemented in local SQLite WAL mode for deterministic sub-5ms performance, and agent execution is validated deterministically via LocalAgentConnector rather than live commercial LLMs.</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top w:val="none"/>
              <w:left w:val="single" w:sz="24" w:space="0" w:color="00A3C4"/>
              <w:bottom w:val="none"/>
              <w:right w:val="none"/>
            </w:tcBorders>
          </w:tcPr>
          <w:p>
            <w:pPr>
              <w:spacing w:before="40" w:after="40"/>
            </w:pPr>
            <w:r>
              <w:rPr>
                <w:rFonts w:ascii="Calibri" w:hAnsi="Calibri"/>
                <w:b/>
                <w:color w:val="00A3C4"/>
                <w:sz w:val="21"/>
              </w:rPr>
              <w:t xml:space="preserve">Key Visuals to Highlight: </w:t>
            </w:r>
            <w:r>
              <w:rPr>
                <w:rFonts w:ascii="Calibri" w:hAnsi="Calibri"/>
                <w:color w:val="1E293B"/>
                <w:sz w:val="20"/>
              </w:rPr>
              <w:t>Direct attention to the 6 objective pills on the left and the transparent scope boundary box on the right.</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Core Technical Takeaway: </w:t>
            </w:r>
            <w:r>
              <w:rPr>
                <w:rFonts w:ascii="Calibri" w:hAnsi="Calibri"/>
                <w:color w:val="1E293B"/>
                <w:sz w:val="20"/>
              </w:rPr>
              <w:t>Six verifiable technical objectives executed cleanly with realistic local performance guarantees and zero fabricated capabilities.</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EF2FF"/>
            <w:tcMar>
              <w:top w:w="140" w:type="dxa"/>
              <w:bottom w:w="140" w:type="dxa"/>
              <w:left w:w="200" w:type="dxa"/>
              <w:right w:w="200" w:type="dxa"/>
            </w:tcMar>
            <w:tcBorders>
              <w:top w:val="none"/>
              <w:left w:val="single" w:sz="24" w:space="0" w:color="6366F1"/>
              <w:bottom w:val="none"/>
              <w:right w:val="none"/>
            </w:tcBorders>
          </w:tcPr>
          <w:p>
            <w:pPr>
              <w:spacing w:before="40" w:after="40"/>
            </w:pPr>
            <w:r>
              <w:rPr>
                <w:rFonts w:ascii="Calibri" w:hAnsi="Calibri"/>
                <w:b/>
                <w:color w:val="6366F1"/>
                <w:sz w:val="21"/>
              </w:rPr>
              <w:t xml:space="preserve">Grounding Code &amp; Files: </w:t>
            </w:r>
            <w:r>
              <w:rPr>
                <w:rFonts w:ascii="Calibri" w:hAnsi="Calibri"/>
                <w:color w:val="1E293B"/>
                <w:sz w:val="20"/>
              </w:rPr>
              <w:t>docs/blackbook/TrustChain_AI_Blackbook_Part1.md (Chapter 1.4), pytest.ini, tests/ (80 passing tests)</w:t>
            </w:r>
          </w:p>
        </w:tc>
      </w:tr>
    </w:tbl>
    <w:p>
      <w:pPr>
        <w:spacing w:before="0" w:after="80"/>
      </w:pPr>
    </w:p>
    <w:p>
      <w:pPr>
        <w:spacing w:before="80" w:after="40"/>
      </w:pPr>
      <w:r>
        <w:rPr>
          <w:rFonts w:ascii="Calibri" w:hAnsi="Calibri"/>
          <w:b/>
          <w:color w:val="B45309"/>
          <w:sz w:val="20"/>
        </w:rPr>
        <w:t>Likely Slide-Specific Question &amp; Defense:</w:t>
      </w:r>
    </w:p>
    <w:p>
      <w:pPr>
        <w:spacing w:after="120"/>
      </w:pPr>
      <w:r>
        <w:rPr>
          <w:rFonts w:ascii="Calibri" w:hAnsi="Calibri"/>
          <w:color w:val="475569"/>
          <w:sz w:val="19"/>
        </w:rPr>
        <w:t>Q: Why did you choose SQLite over an external database or blockchain?</w:t>
        <w:br/>
        <w:t>A: SQLite in WAL mode gives us atomic ACID compliance, sub-5ms latency, and zero deployment overhead, while perfectly conforming to the W3C VDR interface specification.</w:t>
      </w:r>
    </w:p>
    <w:p>
      <w:pPr>
        <w:spacing w:after="120"/>
      </w:pPr>
    </w:p>
    <w:p>
      <w:pPr>
        <w:pStyle w:val="Heading2"/>
        <w:spacing w:before="280" w:after="80"/>
      </w:pPr>
      <w:r>
        <w:t>Slide 6: System Architecture &amp; Layered Security Model</w:t>
      </w:r>
    </w:p>
    <w:p>
      <w:pPr>
        <w:spacing w:after="80"/>
      </w:pPr>
      <w:r>
        <w:rPr>
          <w:rFonts w:ascii="Calibri" w:hAnsi="Calibri"/>
          <w:b/>
          <w:color w:val="00A3C4"/>
          <w:sz w:val="19"/>
        </w:rPr>
        <w:t>Target Delivery Time: 75 seconds   |   Section Status: Grounded &amp; Verified</w:t>
      </w:r>
    </w:p>
    <w:p>
      <w:pPr>
        <w:spacing w:before="80" w:after="40"/>
      </w:pPr>
      <w:r>
        <w:rPr>
          <w:rFonts w:ascii="Calibri" w:hAnsi="Calibri"/>
          <w:b/>
          <w:color w:val="0F172A"/>
          <w:sz w:val="21"/>
        </w:rPr>
        <w:t>Verbal Presentation Script (Spoken Aloud):</w:t>
      </w:r>
    </w:p>
    <w:p>
      <w:pPr>
        <w:spacing w:after="120"/>
      </w:pPr>
      <w:r>
        <w:rPr>
          <w:rFonts w:ascii="Calibri" w:hAnsi="Calibri"/>
          <w:color w:val="334155"/>
          <w:sz w:val="20"/>
        </w:rPr>
        <w:t>Slide 6 illustrates the comprehensive 5-Tier System Architecture of TrustChain-AI. Tier 1 is the Presentation Tier: our React 19 Security Operations Center portal running on Vite at port 5173, providing the dashboard, agent explorer, discovery, matching, and user management. Tier 2 is the API Gateway at port 8050, powered by FastAPI with CORS middleware, JWT authentication, and security headers. Tier 3 is the Core Trust Intelligence Tier: containing the TrustEngine for EMA scoring, the AdaptivePolicyEnforcer for RBAC and ABAC access control, and the CollaborationManager for multi-agent workflows. Tier 4 is the Cryptographic Identity Tier: utilizing PyNaCl for 32-byte Ed25519 keypairs and PyLD for URDNA2015 canonicalization. Finally, Tier 5 is the Local Verifiable Data Registry: implemented in SQLite with Write-Ahead Logging across 13 relational tables. Every agent interaction flows cleanly from Tier 1 through Tier 5 with sub-millisecond overhead.</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top w:val="none"/>
              <w:left w:val="single" w:sz="24" w:space="0" w:color="00A3C4"/>
              <w:bottom w:val="none"/>
              <w:right w:val="none"/>
            </w:tcBorders>
          </w:tcPr>
          <w:p>
            <w:pPr>
              <w:spacing w:before="40" w:after="40"/>
            </w:pPr>
            <w:r>
              <w:rPr>
                <w:rFonts w:ascii="Calibri" w:hAnsi="Calibri"/>
                <w:b/>
                <w:color w:val="00A3C4"/>
                <w:sz w:val="21"/>
              </w:rPr>
              <w:t xml:space="preserve">Key Visuals to Highlight: </w:t>
            </w:r>
            <w:r>
              <w:rPr>
                <w:rFonts w:ascii="Calibri" w:hAnsi="Calibri"/>
                <w:color w:val="1E293B"/>
                <w:sz w:val="20"/>
              </w:rPr>
              <w:t>Walk through the 5 stacked tier containers from top to bottom, tracing a task request down and audit logging back.</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Core Technical Takeaway: </w:t>
            </w:r>
            <w:r>
              <w:rPr>
                <w:rFonts w:ascii="Calibri" w:hAnsi="Calibri"/>
                <w:color w:val="1E293B"/>
                <w:sz w:val="20"/>
              </w:rPr>
              <w:t>A modular 5-tier architecture separating presentation, API routing, trust evaluation, cryptography, and tamper-evident relational storage.</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EF2FF"/>
            <w:tcMar>
              <w:top w:w="140" w:type="dxa"/>
              <w:bottom w:w="140" w:type="dxa"/>
              <w:left w:w="200" w:type="dxa"/>
              <w:right w:w="200" w:type="dxa"/>
            </w:tcMar>
            <w:tcBorders>
              <w:top w:val="none"/>
              <w:left w:val="single" w:sz="24" w:space="0" w:color="6366F1"/>
              <w:bottom w:val="none"/>
              <w:right w:val="none"/>
            </w:tcBorders>
          </w:tcPr>
          <w:p>
            <w:pPr>
              <w:spacing w:before="40" w:after="40"/>
            </w:pPr>
            <w:r>
              <w:rPr>
                <w:rFonts w:ascii="Calibri" w:hAnsi="Calibri"/>
                <w:b/>
                <w:color w:val="6366F1"/>
                <w:sz w:val="21"/>
              </w:rPr>
              <w:t xml:space="preserve">Grounding Code &amp; Files: </w:t>
            </w:r>
            <w:r>
              <w:rPr>
                <w:rFonts w:ascii="Calibri" w:hAnsi="Calibri"/>
                <w:color w:val="1E293B"/>
                <w:sz w:val="20"/>
              </w:rPr>
              <w:t>akta/server.py, akta/trust_engine.py, akta/adaptive_auth.py, akta/did.py, akta/vdr/models.py, frontend/src/App.jsx</w:t>
            </w:r>
          </w:p>
        </w:tc>
      </w:tr>
    </w:tbl>
    <w:p>
      <w:pPr>
        <w:spacing w:before="0" w:after="80"/>
      </w:pPr>
    </w:p>
    <w:p>
      <w:pPr>
        <w:spacing w:before="80" w:after="40"/>
      </w:pPr>
      <w:r>
        <w:rPr>
          <w:rFonts w:ascii="Calibri" w:hAnsi="Calibri"/>
          <w:b/>
          <w:color w:val="B45309"/>
          <w:sz w:val="20"/>
        </w:rPr>
        <w:t>Likely Slide-Specific Question &amp; Defense:</w:t>
      </w:r>
    </w:p>
    <w:p>
      <w:pPr>
        <w:spacing w:after="120"/>
      </w:pPr>
      <w:r>
        <w:rPr>
          <w:rFonts w:ascii="Calibri" w:hAnsi="Calibri"/>
          <w:color w:val="475569"/>
          <w:sz w:val="19"/>
        </w:rPr>
        <w:t>Q: How do the tiers communicate?</w:t>
        <w:br/>
        <w:t>A: Tier 1 talks to Tier 2 via RESTful JSON APIs over HTTP. Tiers 2, 3, 4, and 5 run within the same high-performance Python ASGI backend process with clean module separation.</w:t>
      </w:r>
    </w:p>
    <w:p>
      <w:pPr>
        <w:spacing w:after="120"/>
      </w:pPr>
    </w:p>
    <w:p>
      <w:pPr>
        <w:pStyle w:val="Heading2"/>
        <w:spacing w:before="280" w:after="80"/>
      </w:pPr>
      <w:r>
        <w:t>Slide 7: DID, Cryptographic Identity, and Verifiable Credentials</w:t>
      </w:r>
    </w:p>
    <w:p>
      <w:pPr>
        <w:spacing w:after="80"/>
      </w:pPr>
      <w:r>
        <w:rPr>
          <w:rFonts w:ascii="Calibri" w:hAnsi="Calibri"/>
          <w:b/>
          <w:color w:val="00A3C4"/>
          <w:sz w:val="19"/>
        </w:rPr>
        <w:t>Target Delivery Time: 60 seconds   |   Section Status: Grounded &amp; Verified</w:t>
      </w:r>
    </w:p>
    <w:p>
      <w:pPr>
        <w:spacing w:before="80" w:after="40"/>
      </w:pPr>
      <w:r>
        <w:rPr>
          <w:rFonts w:ascii="Calibri" w:hAnsi="Calibri"/>
          <w:b/>
          <w:color w:val="0F172A"/>
          <w:sz w:val="21"/>
        </w:rPr>
        <w:t>Verbal Presentation Script (Spoken Aloud):</w:t>
      </w:r>
    </w:p>
    <w:p>
      <w:pPr>
        <w:spacing w:after="120"/>
      </w:pPr>
      <w:r>
        <w:rPr>
          <w:rFonts w:ascii="Calibri" w:hAnsi="Calibri"/>
          <w:color w:val="334155"/>
          <w:sz w:val="20"/>
        </w:rPr>
        <w:t>Slide 7 delves into Tier 4: our cryptographic identity and credential foundation. Every agent in TrustChain-AI generates an Ed25519 public-private keypair using PyNaCl. We take the raw 32-byte public key, prepend the 2-byte multicodec identifier 0xED01, and encode it using the Bitcoin base58 alphabet prefixed with 'z'. This produces a deterministic W3C did:key string, such as did:key:z6MkpTHR... This guarantees complete decentralization: any peer can extract the agent's public key directly from the DID string without querying a central authority. For capability claims, the gateway issues W3C Verifiable Credentials. Because JSON keys can change order across systems, we apply URDNA2015 canonicalization using PyLD before computing SHA-256 digests and applying Ed25519 signatures. However, we establish a firm architectural axiom: valid cryptographic identity proves who an agent is, but does not prove runtime trustworthiness.</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top w:val="none"/>
              <w:left w:val="single" w:sz="24" w:space="0" w:color="00A3C4"/>
              <w:bottom w:val="none"/>
              <w:right w:val="none"/>
            </w:tcBorders>
          </w:tcPr>
          <w:p>
            <w:pPr>
              <w:spacing w:before="40" w:after="40"/>
            </w:pPr>
            <w:r>
              <w:rPr>
                <w:rFonts w:ascii="Calibri" w:hAnsi="Calibri"/>
                <w:b/>
                <w:color w:val="00A3C4"/>
                <w:sz w:val="21"/>
              </w:rPr>
              <w:t xml:space="preserve">Key Visuals to Highlight: </w:t>
            </w:r>
            <w:r>
              <w:rPr>
                <w:rFonts w:ascii="Calibri" w:hAnsi="Calibri"/>
                <w:color w:val="1E293B"/>
                <w:sz w:val="20"/>
              </w:rPr>
              <w:t>Highlight the did:key construction breakdown (raw bytes -&gt; multicodec 0xED01 -&gt; base58-btc) and the W3C VC JSON-LD snippet.</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Core Technical Takeaway: </w:t>
            </w:r>
            <w:r>
              <w:rPr>
                <w:rFonts w:ascii="Calibri" w:hAnsi="Calibri"/>
                <w:color w:val="1E293B"/>
                <w:sz w:val="20"/>
              </w:rPr>
              <w:t>Algorithmic W3C did:key identity eliminates central CA dependency, while URDNA2015 canonicalization prevents JSON signature forgery.</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EF2FF"/>
            <w:tcMar>
              <w:top w:w="140" w:type="dxa"/>
              <w:bottom w:w="140" w:type="dxa"/>
              <w:left w:w="200" w:type="dxa"/>
              <w:right w:w="200" w:type="dxa"/>
            </w:tcMar>
            <w:tcBorders>
              <w:top w:val="none"/>
              <w:left w:val="single" w:sz="24" w:space="0" w:color="6366F1"/>
              <w:bottom w:val="none"/>
              <w:right w:val="none"/>
            </w:tcBorders>
          </w:tcPr>
          <w:p>
            <w:pPr>
              <w:spacing w:before="40" w:after="40"/>
            </w:pPr>
            <w:r>
              <w:rPr>
                <w:rFonts w:ascii="Calibri" w:hAnsi="Calibri"/>
                <w:b/>
                <w:color w:val="6366F1"/>
                <w:sz w:val="21"/>
              </w:rPr>
              <w:t xml:space="preserve">Grounding Code &amp; Files: </w:t>
            </w:r>
            <w:r>
              <w:rPr>
                <w:rFonts w:ascii="Calibri" w:hAnsi="Calibri"/>
                <w:color w:val="1E293B"/>
                <w:sz w:val="20"/>
              </w:rPr>
              <w:t>akta/did.py (generate_did_key, verify_did_key), akta/vc.py (issue_verifiable_credential, verify_verifiable_credential), tests/test_crypto.py, tests/test_vc.py</w:t>
            </w:r>
          </w:p>
        </w:tc>
      </w:tr>
    </w:tbl>
    <w:p>
      <w:pPr>
        <w:spacing w:before="0" w:after="80"/>
      </w:pPr>
    </w:p>
    <w:p>
      <w:pPr>
        <w:spacing w:before="80" w:after="40"/>
      </w:pPr>
      <w:r>
        <w:rPr>
          <w:rFonts w:ascii="Calibri" w:hAnsi="Calibri"/>
          <w:b/>
          <w:color w:val="B45309"/>
          <w:sz w:val="20"/>
        </w:rPr>
        <w:t>Likely Slide-Specific Question &amp; Defense:</w:t>
      </w:r>
    </w:p>
    <w:p>
      <w:pPr>
        <w:spacing w:after="120"/>
      </w:pPr>
      <w:r>
        <w:rPr>
          <w:rFonts w:ascii="Calibri" w:hAnsi="Calibri"/>
          <w:color w:val="475569"/>
          <w:sz w:val="19"/>
        </w:rPr>
        <w:t>Q: What happens if an agent's private key is compromised?</w:t>
        <w:br/>
        <w:t>A: The administrator invokes the administrative revocation endpoint (/api/v1/registry/revoke), which marks the agent as REVOKED in stored_vcs and agent_trust_states, permanently blocking it from the network.</w:t>
      </w:r>
    </w:p>
    <w:p>
      <w:pPr>
        <w:spacing w:after="120"/>
      </w:pPr>
    </w:p>
    <w:p>
      <w:pPr>
        <w:pStyle w:val="Heading2"/>
        <w:spacing w:before="280" w:after="80"/>
      </w:pPr>
      <w:r>
        <w:t>Slide 8: Dynamic Trust Engine: Mathematical Formulation &amp; Telemetry</w:t>
      </w:r>
    </w:p>
    <w:p>
      <w:pPr>
        <w:spacing w:after="80"/>
      </w:pPr>
      <w:r>
        <w:rPr>
          <w:rFonts w:ascii="Calibri" w:hAnsi="Calibri"/>
          <w:b/>
          <w:color w:val="00A3C4"/>
          <w:sz w:val="19"/>
        </w:rPr>
        <w:t>Target Delivery Time: 70 seconds   |   Section Status: Grounded &amp; Verified</w:t>
      </w:r>
    </w:p>
    <w:p>
      <w:pPr>
        <w:spacing w:before="80" w:after="40"/>
      </w:pPr>
      <w:r>
        <w:rPr>
          <w:rFonts w:ascii="Calibri" w:hAnsi="Calibri"/>
          <w:b/>
          <w:color w:val="0F172A"/>
          <w:sz w:val="21"/>
        </w:rPr>
        <w:t>Verbal Presentation Script (Spoken Aloud):</w:t>
      </w:r>
    </w:p>
    <w:p>
      <w:pPr>
        <w:spacing w:after="120"/>
      </w:pPr>
      <w:r>
        <w:rPr>
          <w:rFonts w:ascii="Calibri" w:hAnsi="Calibri"/>
          <w:color w:val="334155"/>
          <w:sz w:val="20"/>
        </w:rPr>
        <w:t>Slide 8 presents the mathematical foundation of our Dynamic Trust Engine. Runtime behavior is captured via TelemetryEvents containing task success, policy compliance, and response latency. Across a sliding observation window of the last 10 tasks, we compute three normalized metrics: S_i(t) for success rate, C_i(t) for compliance rate, and L_i(t) for latency penalty benchmarked against a 2000-millisecond SLA threshold. We then formulate instantaneous performance P_i(t) as a weighted linear combination: 0.6 times Success, 0.3 times Compliance, and 0.1 times Latency efficiency. Next, to prevent single-event volatility from knocking reliable agents offline, we apply an Exponential Moving Average: T_i(t) equals 0.7 times previous trust plus 0.3 times current performance. Newly registered agents start with an optimistic prior of 1.0. This yields smooth, mathematically predictable trust decay under failure and earned recovery under success.</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top w:val="none"/>
              <w:left w:val="single" w:sz="24" w:space="0" w:color="00A3C4"/>
              <w:bottom w:val="none"/>
              <w:right w:val="none"/>
            </w:tcBorders>
          </w:tcPr>
          <w:p>
            <w:pPr>
              <w:spacing w:before="40" w:after="40"/>
            </w:pPr>
            <w:r>
              <w:rPr>
                <w:rFonts w:ascii="Calibri" w:hAnsi="Calibri"/>
                <w:b/>
                <w:color w:val="00A3C4"/>
                <w:sz w:val="21"/>
              </w:rPr>
              <w:t xml:space="preserve">Key Visuals to Highlight: </w:t>
            </w:r>
            <w:r>
              <w:rPr>
                <w:rFonts w:ascii="Calibri" w:hAnsi="Calibri"/>
                <w:color w:val="1E293B"/>
                <w:sz w:val="20"/>
              </w:rPr>
              <w:t>Point out the two primary equations: Instantaneous Performance P_i(t) and Temporal EMA Trust T_i(t), along with weight justifications.</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Core Technical Takeaway: </w:t>
            </w:r>
            <w:r>
              <w:rPr>
                <w:rFonts w:ascii="Calibri" w:hAnsi="Calibri"/>
                <w:color w:val="1E293B"/>
                <w:sz w:val="20"/>
              </w:rPr>
              <w:t>Trust is modeled as a continuous mathematical metric combining success (0.6), compliance (0.3), and latency (0.1) smoothed via 0.7/0.3 EMA.</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EF2FF"/>
            <w:tcMar>
              <w:top w:w="140" w:type="dxa"/>
              <w:bottom w:w="140" w:type="dxa"/>
              <w:left w:w="200" w:type="dxa"/>
              <w:right w:w="200" w:type="dxa"/>
            </w:tcMar>
            <w:tcBorders>
              <w:top w:val="none"/>
              <w:left w:val="single" w:sz="24" w:space="0" w:color="6366F1"/>
              <w:bottom w:val="none"/>
              <w:right w:val="none"/>
            </w:tcBorders>
          </w:tcPr>
          <w:p>
            <w:pPr>
              <w:spacing w:before="40" w:after="40"/>
            </w:pPr>
            <w:r>
              <w:rPr>
                <w:rFonts w:ascii="Calibri" w:hAnsi="Calibri"/>
                <w:b/>
                <w:color w:val="6366F1"/>
                <w:sz w:val="21"/>
              </w:rPr>
              <w:t xml:space="preserve">Grounding Code &amp; Files: </w:t>
            </w:r>
            <w:r>
              <w:rPr>
                <w:rFonts w:ascii="Calibri" w:hAnsi="Calibri"/>
                <w:color w:val="1E293B"/>
                <w:sz w:val="20"/>
              </w:rPr>
              <w:t>akta/trust_engine.py (TrustEngine, compute_instantaneous_performance, update_trust_score), tests/test_trust_engine.py</w:t>
            </w:r>
          </w:p>
        </w:tc>
      </w:tr>
    </w:tbl>
    <w:p>
      <w:pPr>
        <w:spacing w:before="0" w:after="80"/>
      </w:pPr>
    </w:p>
    <w:p>
      <w:pPr>
        <w:spacing w:before="80" w:after="40"/>
      </w:pPr>
      <w:r>
        <w:rPr>
          <w:rFonts w:ascii="Calibri" w:hAnsi="Calibri"/>
          <w:b/>
          <w:color w:val="B45309"/>
          <w:sz w:val="20"/>
        </w:rPr>
        <w:t>Likely Slide-Specific Question &amp; Defense:</w:t>
      </w:r>
    </w:p>
    <w:p>
      <w:pPr>
        <w:spacing w:after="120"/>
      </w:pPr>
      <w:r>
        <w:rPr>
          <w:rFonts w:ascii="Calibri" w:hAnsi="Calibri"/>
          <w:color w:val="475569"/>
          <w:sz w:val="19"/>
        </w:rPr>
        <w:t>Q: Why is latency weighted at only 0.1 while success is 0.6?</w:t>
        <w:br/>
        <w:t>A: In enterprise multi-agent systems, functional correctness and security compliance are critical invariants. A slow but correct response is vastly preferable to an instantaneous hallucination or breach.</w:t>
      </w:r>
    </w:p>
    <w:p>
      <w:pPr>
        <w:spacing w:after="120"/>
      </w:pPr>
    </w:p>
    <w:p>
      <w:pPr>
        <w:pStyle w:val="Heading2"/>
        <w:spacing w:before="280" w:after="80"/>
      </w:pPr>
      <w:r>
        <w:t>Slide 9: Empirical Validation: Worked Mathematical Trust Timeline</w:t>
      </w:r>
    </w:p>
    <w:p>
      <w:pPr>
        <w:spacing w:after="80"/>
      </w:pPr>
      <w:r>
        <w:rPr>
          <w:rFonts w:ascii="Calibri" w:hAnsi="Calibri"/>
          <w:b/>
          <w:color w:val="00A3C4"/>
          <w:sz w:val="19"/>
        </w:rPr>
        <w:t>Target Delivery Time: 75 seconds   |   Section Status: Grounded &amp; Verified</w:t>
      </w:r>
    </w:p>
    <w:p>
      <w:pPr>
        <w:spacing w:before="80" w:after="40"/>
      </w:pPr>
      <w:r>
        <w:rPr>
          <w:rFonts w:ascii="Calibri" w:hAnsi="Calibri"/>
          <w:b/>
          <w:color w:val="0F172A"/>
          <w:sz w:val="21"/>
        </w:rPr>
        <w:t>Verbal Presentation Script (Spoken Aloud):</w:t>
      </w:r>
    </w:p>
    <w:p>
      <w:pPr>
        <w:spacing w:after="120"/>
      </w:pPr>
      <w:r>
        <w:rPr>
          <w:rFonts w:ascii="Calibri" w:hAnsi="Calibri"/>
          <w:color w:val="334155"/>
          <w:sz w:val="20"/>
        </w:rPr>
        <w:t>Slide 9 demonstrates the empirical validation of our trust mathematics across a 10-round stress test. The chart on the right visualizes the exact trajectory of an agent named DataProcessor-01. Rounds 1 and 2 start in the TRUSTED zone with T=1.00. In Round 3, the agent suffers partial failures, dropping performance to 0.40, which pulls trust down to 0.820. In Round 4, a complete failure occurs (P=0.00), decaying trust to 0.574 and triggering an automatic transition into the SUSPICIOUS state. In Round 5, another zero-performance event drops trust to 0.402, automatically breaching the 0.50 threshold and placing the agent into QUARANTINED. Rounds 6 through 10 demonstrate recovery: under supervised recovery execution with perfect performance (P=1.00), trust smoothly climbs from 0.364 in Round 6 to 0.555 (exiting Quarantine), 0.688, 0.782, and finally back into TRUSTED at 0.847 in Round 10. Notice that REVOKED is terminal and can never recover.</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top w:val="none"/>
              <w:left w:val="single" w:sz="24" w:space="0" w:color="00A3C4"/>
              <w:bottom w:val="none"/>
              <w:right w:val="none"/>
            </w:tcBorders>
          </w:tcPr>
          <w:p>
            <w:pPr>
              <w:spacing w:before="40" w:after="40"/>
            </w:pPr>
            <w:r>
              <w:rPr>
                <w:rFonts w:ascii="Calibri" w:hAnsi="Calibri"/>
                <w:b/>
                <w:color w:val="00A3C4"/>
                <w:sz w:val="21"/>
              </w:rPr>
              <w:t xml:space="preserve">Key Visuals to Highlight: </w:t>
            </w:r>
            <w:r>
              <w:rPr>
                <w:rFonts w:ascii="Calibri" w:hAnsi="Calibri"/>
                <w:color w:val="1E293B"/>
                <w:sz w:val="20"/>
              </w:rPr>
              <w:t>Trace the step-by-step curve on the embedded trust_timeline.png chart, showing threshold crossings at 0.80 and 0.50.</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Core Technical Takeaway: </w:t>
            </w:r>
            <w:r>
              <w:rPr>
                <w:rFonts w:ascii="Calibri" w:hAnsi="Calibri"/>
                <w:color w:val="1E293B"/>
                <w:sz w:val="20"/>
              </w:rPr>
              <w:t>Empirical validation proves that EMA smoothing prevents abrupt oscillations while guaranteeing rapid quarantine within 2 rounds of failure.</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EF2FF"/>
            <w:tcMar>
              <w:top w:w="140" w:type="dxa"/>
              <w:bottom w:w="140" w:type="dxa"/>
              <w:left w:w="200" w:type="dxa"/>
              <w:right w:w="200" w:type="dxa"/>
            </w:tcMar>
            <w:tcBorders>
              <w:top w:val="none"/>
              <w:left w:val="single" w:sz="24" w:space="0" w:color="6366F1"/>
              <w:bottom w:val="none"/>
              <w:right w:val="none"/>
            </w:tcBorders>
          </w:tcPr>
          <w:p>
            <w:pPr>
              <w:spacing w:before="40" w:after="40"/>
            </w:pPr>
            <w:r>
              <w:rPr>
                <w:rFonts w:ascii="Calibri" w:hAnsi="Calibri"/>
                <w:b/>
                <w:color w:val="6366F1"/>
                <w:sz w:val="21"/>
              </w:rPr>
              <w:t xml:space="preserve">Grounding Code &amp; Files: </w:t>
            </w:r>
            <w:r>
              <w:rPr>
                <w:rFonts w:ascii="Calibri" w:hAnsi="Calibri"/>
                <w:color w:val="1E293B"/>
                <w:sz w:val="20"/>
              </w:rPr>
              <w:t>docs/presentation/TrustChain_AI_Slide_Assets/trust_timeline.png, akta/trust_engine.py, tests/test_trust_engine.py</w:t>
            </w:r>
          </w:p>
        </w:tc>
      </w:tr>
    </w:tbl>
    <w:p>
      <w:pPr>
        <w:spacing w:before="0" w:after="80"/>
      </w:pPr>
    </w:p>
    <w:p>
      <w:pPr>
        <w:spacing w:before="80" w:after="40"/>
      </w:pPr>
      <w:r>
        <w:rPr>
          <w:rFonts w:ascii="Calibri" w:hAnsi="Calibri"/>
          <w:b/>
          <w:color w:val="B45309"/>
          <w:sz w:val="20"/>
        </w:rPr>
        <w:t>Likely Slide-Specific Question &amp; Defense:</w:t>
      </w:r>
    </w:p>
    <w:p>
      <w:pPr>
        <w:spacing w:after="120"/>
      </w:pPr>
      <w:r>
        <w:rPr>
          <w:rFonts w:ascii="Calibri" w:hAnsi="Calibri"/>
          <w:color w:val="475569"/>
          <w:sz w:val="19"/>
        </w:rPr>
        <w:t>Q: Can a quarantined agent recover on its own?</w:t>
        <w:br/>
        <w:t>A: An agent under quarantine is blocked from unsupervised execution. It can only recover if an operator or automated supervisor submits verified recovery telemetry showing successful remediation.</w:t>
      </w:r>
    </w:p>
    <w:p>
      <w:pPr>
        <w:spacing w:after="120"/>
      </w:pPr>
    </w:p>
    <w:p>
      <w:pPr>
        <w:pStyle w:val="Heading2"/>
        <w:spacing w:before="280" w:after="80"/>
      </w:pPr>
      <w:r>
        <w:t>Slide 10: Adaptive Authorization &amp; Zero-Trust Access Control</w:t>
      </w:r>
    </w:p>
    <w:p>
      <w:pPr>
        <w:spacing w:after="80"/>
      </w:pPr>
      <w:r>
        <w:rPr>
          <w:rFonts w:ascii="Calibri" w:hAnsi="Calibri"/>
          <w:b/>
          <w:color w:val="00A3C4"/>
          <w:sz w:val="19"/>
        </w:rPr>
        <w:t>Target Delivery Time: 60 seconds   |   Section Status: Grounded &amp; Verified</w:t>
      </w:r>
    </w:p>
    <w:p>
      <w:pPr>
        <w:spacing w:before="80" w:after="40"/>
      </w:pPr>
      <w:r>
        <w:rPr>
          <w:rFonts w:ascii="Calibri" w:hAnsi="Calibri"/>
          <w:b/>
          <w:color w:val="0F172A"/>
          <w:sz w:val="21"/>
        </w:rPr>
        <w:t>Verbal Presentation Script (Spoken Aloud):</w:t>
      </w:r>
    </w:p>
    <w:p>
      <w:pPr>
        <w:spacing w:after="120"/>
      </w:pPr>
      <w:r>
        <w:rPr>
          <w:rFonts w:ascii="Calibri" w:hAnsi="Calibri"/>
          <w:color w:val="334155"/>
          <w:sz w:val="20"/>
        </w:rPr>
        <w:t>Slide 10 details our defense-in-depth authorization model. We enforce a strict separation between human administration and autonomous agent execution. For human operators, we implement Role-Based Access Control with three roles: ADMIN, OPERATOR, and VIEWER. Passwords are hashed with Argon2id, login enforces a 5-strike lockout, and sessions use JWT refresh token rotation. For autonomous agents, we implement Adaptive Attribute-Based Access Control in AdaptivePolicyEnforcer. We classify operations into STANDARD tasks (like basic read and query) and PRIVILEGED operations (such as workflow orchestration and delegation). If an agent is TRUSTED, all operations are permitted. If an agent decays into SUSPICIOUS, standard tasks remain allowed, but all privileged operations are blocked with HTTP 403. If an agent enters QUARANTINED or REVOKED, all access is terminated. Frontend role flags are never trusted as security boundaries.</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top w:val="none"/>
              <w:left w:val="single" w:sz="24" w:space="0" w:color="00A3C4"/>
              <w:bottom w:val="none"/>
              <w:right w:val="none"/>
            </w:tcBorders>
          </w:tcPr>
          <w:p>
            <w:pPr>
              <w:spacing w:before="40" w:after="40"/>
            </w:pPr>
            <w:r>
              <w:rPr>
                <w:rFonts w:ascii="Calibri" w:hAnsi="Calibri"/>
                <w:b/>
                <w:color w:val="00A3C4"/>
                <w:sz w:val="21"/>
              </w:rPr>
              <w:t xml:space="preserve">Key Visuals to Highlight: </w:t>
            </w:r>
            <w:r>
              <w:rPr>
                <w:rFonts w:ascii="Calibri" w:hAnsi="Calibri"/>
                <w:color w:val="1E293B"/>
                <w:sz w:val="20"/>
              </w:rPr>
              <w:t>Explain the 4x2 matrix table showing Standard vs. Privileged access across TRUSTED, SUSPICIOUS, QUARANTINED, and REVOKED states.</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Core Technical Takeaway: </w:t>
            </w:r>
            <w:r>
              <w:rPr>
                <w:rFonts w:ascii="Calibri" w:hAnsi="Calibri"/>
                <w:color w:val="1E293B"/>
                <w:sz w:val="20"/>
              </w:rPr>
              <w:t>Zero-trust policy enforcement gates operations dynamically: suspicious agents lose privileged access, while quarantined agents are totally blocked.</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EF2FF"/>
            <w:tcMar>
              <w:top w:w="140" w:type="dxa"/>
              <w:bottom w:w="140" w:type="dxa"/>
              <w:left w:w="200" w:type="dxa"/>
              <w:right w:w="200" w:type="dxa"/>
            </w:tcMar>
            <w:tcBorders>
              <w:top w:val="none"/>
              <w:left w:val="single" w:sz="24" w:space="0" w:color="6366F1"/>
              <w:bottom w:val="none"/>
              <w:right w:val="none"/>
            </w:tcBorders>
          </w:tcPr>
          <w:p>
            <w:pPr>
              <w:spacing w:before="40" w:after="40"/>
            </w:pPr>
            <w:r>
              <w:rPr>
                <w:rFonts w:ascii="Calibri" w:hAnsi="Calibri"/>
                <w:b/>
                <w:color w:val="6366F1"/>
                <w:sz w:val="21"/>
              </w:rPr>
              <w:t xml:space="preserve">Grounding Code &amp; Files: </w:t>
            </w:r>
            <w:r>
              <w:rPr>
                <w:rFonts w:ascii="Calibri" w:hAnsi="Calibri"/>
                <w:color w:val="1E293B"/>
                <w:sz w:val="20"/>
              </w:rPr>
              <w:t>akta/adaptive_auth.py (AdaptivePolicyEnforcer, evaluate_request), akta/auth.py, tests/test_adaptive_auth.py, tests/test_auth_rbac.py</w:t>
            </w:r>
          </w:p>
        </w:tc>
      </w:tr>
    </w:tbl>
    <w:p>
      <w:pPr>
        <w:spacing w:before="0" w:after="80"/>
      </w:pPr>
    </w:p>
    <w:p>
      <w:pPr>
        <w:spacing w:before="80" w:after="40"/>
      </w:pPr>
      <w:r>
        <w:rPr>
          <w:rFonts w:ascii="Calibri" w:hAnsi="Calibri"/>
          <w:b/>
          <w:color w:val="B45309"/>
          <w:sz w:val="20"/>
        </w:rPr>
        <w:t>Likely Slide-Specific Question &amp; Defense:</w:t>
      </w:r>
    </w:p>
    <w:p>
      <w:pPr>
        <w:spacing w:after="120"/>
      </w:pPr>
      <w:r>
        <w:rPr>
          <w:rFonts w:ascii="Calibri" w:hAnsi="Calibri"/>
          <w:color w:val="475569"/>
          <w:sz w:val="19"/>
        </w:rPr>
        <w:t>Q: What happens when an agent in SUSPICIOUS attempts to execute a workflow?</w:t>
        <w:br/>
        <w:t>A: The gateway intercepts the request, logs a security audit event in security_audit_events, and immediately returns HTTP 403 Forbidden with detail 'Operation privileged:blocked for state SUSPICIOUS'.</w:t>
      </w:r>
    </w:p>
    <w:p>
      <w:pPr>
        <w:spacing w:after="120"/>
      </w:pPr>
    </w:p>
    <w:p>
      <w:pPr>
        <w:pStyle w:val="Heading2"/>
        <w:spacing w:before="280" w:after="80"/>
      </w:pPr>
      <w:r>
        <w:t>Slide 11: Agent Capability Discovery &amp; Diagnostic Eligibility</w:t>
      </w:r>
    </w:p>
    <w:p>
      <w:pPr>
        <w:spacing w:after="80"/>
      </w:pPr>
      <w:r>
        <w:rPr>
          <w:rFonts w:ascii="Calibri" w:hAnsi="Calibri"/>
          <w:b/>
          <w:color w:val="00A3C4"/>
          <w:sz w:val="19"/>
        </w:rPr>
        <w:t>Target Delivery Time: 60 seconds   |   Section Status: Grounded &amp; Verified</w:t>
      </w:r>
    </w:p>
    <w:p>
      <w:pPr>
        <w:spacing w:before="80" w:after="40"/>
      </w:pPr>
      <w:r>
        <w:rPr>
          <w:rFonts w:ascii="Calibri" w:hAnsi="Calibri"/>
          <w:b/>
          <w:color w:val="0F172A"/>
          <w:sz w:val="21"/>
        </w:rPr>
        <w:t>Verbal Presentation Script (Spoken Aloud):</w:t>
      </w:r>
    </w:p>
    <w:p>
      <w:pPr>
        <w:spacing w:after="120"/>
      </w:pPr>
      <w:r>
        <w:rPr>
          <w:rFonts w:ascii="Calibri" w:hAnsi="Calibri"/>
          <w:color w:val="334155"/>
          <w:sz w:val="20"/>
        </w:rPr>
        <w:t>Slide 11 highlights our Agent Capability Discovery Engine. We make an essential distinction between Discovery and Matching. Discovery is an inventory exploration and availability tool. An operator can filter agents by verified capability tags (such as analysis, coding, or planning), adjust a real-time minimum trust threshold slider from 0.0 to 1.0, and filter by operational status and endpoint health. Critically, unlike conventional opaque directories that silently hide excluded agents, TrustChain-AI explicitly evaluates every registered agent and surfaces clear diagnostic rationales. For example, if an agent is excluded, the UI explains whether it failed due to an active quarantine, an insufficient trust score against the slider, busy availability, or an unhealthy endpoint probe. Operators can click 'Investigate' to open the diagnostic drawer immediately.</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top w:val="none"/>
              <w:left w:val="single" w:sz="24" w:space="0" w:color="00A3C4"/>
              <w:bottom w:val="none"/>
              <w:right w:val="none"/>
            </w:tcBorders>
          </w:tcPr>
          <w:p>
            <w:pPr>
              <w:spacing w:before="40" w:after="40"/>
            </w:pPr>
            <w:r>
              <w:rPr>
                <w:rFonts w:ascii="Calibri" w:hAnsi="Calibri"/>
                <w:b/>
                <w:color w:val="00A3C4"/>
                <w:sz w:val="21"/>
              </w:rPr>
              <w:t xml:space="preserve">Key Visuals to Highlight: </w:t>
            </w:r>
            <w:r>
              <w:rPr>
                <w:rFonts w:ascii="Calibri" w:hAnsi="Calibri"/>
                <w:color w:val="1E293B"/>
                <w:sz w:val="20"/>
              </w:rPr>
              <w:t>Highlight the filter controls on the left and the explicit Diagnostic Rationales (Eligible vs Excluded) on the right.</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Core Technical Takeaway: </w:t>
            </w:r>
            <w:r>
              <w:rPr>
                <w:rFonts w:ascii="Calibri" w:hAnsi="Calibri"/>
                <w:color w:val="1E293B"/>
                <w:sz w:val="20"/>
              </w:rPr>
              <w:t>Discovery provides transparent inventory search with explicit, explainable diagnostic rationales rather than silent filtering.</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EF2FF"/>
            <w:tcMar>
              <w:top w:w="140" w:type="dxa"/>
              <w:bottom w:w="140" w:type="dxa"/>
              <w:left w:w="200" w:type="dxa"/>
              <w:right w:w="200" w:type="dxa"/>
            </w:tcMar>
            <w:tcBorders>
              <w:top w:val="none"/>
              <w:left w:val="single" w:sz="24" w:space="0" w:color="6366F1"/>
              <w:bottom w:val="none"/>
              <w:right w:val="none"/>
            </w:tcBorders>
          </w:tcPr>
          <w:p>
            <w:pPr>
              <w:spacing w:before="40" w:after="40"/>
            </w:pPr>
            <w:r>
              <w:rPr>
                <w:rFonts w:ascii="Calibri" w:hAnsi="Calibri"/>
                <w:b/>
                <w:color w:val="6366F1"/>
                <w:sz w:val="21"/>
              </w:rPr>
              <w:t xml:space="preserve">Grounding Code &amp; Files: </w:t>
            </w:r>
            <w:r>
              <w:rPr>
                <w:rFonts w:ascii="Calibri" w:hAnsi="Calibri"/>
                <w:color w:val="1E293B"/>
                <w:sz w:val="20"/>
              </w:rPr>
              <w:t>akta/vdr/registry_router.py (/api/v1/registry/discover), frontend/src/components/DiscoveryCenter.jsx, tests/test_investigation_discovery_matching.py</w:t>
            </w:r>
          </w:p>
        </w:tc>
      </w:tr>
    </w:tbl>
    <w:p>
      <w:pPr>
        <w:spacing w:before="0" w:after="80"/>
      </w:pPr>
    </w:p>
    <w:p>
      <w:pPr>
        <w:spacing w:before="80" w:after="40"/>
      </w:pPr>
      <w:r>
        <w:rPr>
          <w:rFonts w:ascii="Calibri" w:hAnsi="Calibri"/>
          <w:b/>
          <w:color w:val="B45309"/>
          <w:sz w:val="20"/>
        </w:rPr>
        <w:t>Likely Slide-Specific Question &amp; Defense:</w:t>
      </w:r>
    </w:p>
    <w:p>
      <w:pPr>
        <w:spacing w:after="120"/>
      </w:pPr>
      <w:r>
        <w:rPr>
          <w:rFonts w:ascii="Calibri" w:hAnsi="Calibri"/>
          <w:color w:val="475569"/>
          <w:sz w:val="19"/>
        </w:rPr>
        <w:t>Q: Why show excluded agents at all?</w:t>
        <w:br/>
        <w:t>A: In security operations, operators need to know WHY an agent cannot be assigned—whether it is temporarily busy, degraded, or undergoing quarantine—rather than guessing why it vanished from the list.</w:t>
      </w:r>
    </w:p>
    <w:p>
      <w:pPr>
        <w:spacing w:after="120"/>
      </w:pPr>
    </w:p>
    <w:p>
      <w:pPr>
        <w:pStyle w:val="Heading2"/>
        <w:spacing w:before="280" w:after="80"/>
      </w:pPr>
      <w:r>
        <w:t>Slide 12: Task-Driven Matchmaker &amp; Explainable Multi-Factor Ranking</w:t>
      </w:r>
    </w:p>
    <w:p>
      <w:pPr>
        <w:spacing w:after="80"/>
      </w:pPr>
      <w:r>
        <w:rPr>
          <w:rFonts w:ascii="Calibri" w:hAnsi="Calibri"/>
          <w:b/>
          <w:color w:val="00A3C4"/>
          <w:sz w:val="19"/>
        </w:rPr>
        <w:t>Target Delivery Time: 70 seconds   |   Section Status: Grounded &amp; Verified</w:t>
      </w:r>
    </w:p>
    <w:p>
      <w:pPr>
        <w:spacing w:before="80" w:after="40"/>
      </w:pPr>
      <w:r>
        <w:rPr>
          <w:rFonts w:ascii="Calibri" w:hAnsi="Calibri"/>
          <w:b/>
          <w:color w:val="0F172A"/>
          <w:sz w:val="21"/>
        </w:rPr>
        <w:t>Verbal Presentation Script (Spoken Aloud):</w:t>
      </w:r>
    </w:p>
    <w:p>
      <w:pPr>
        <w:spacing w:after="120"/>
      </w:pPr>
      <w:r>
        <w:rPr>
          <w:rFonts w:ascii="Calibri" w:hAnsi="Calibri"/>
          <w:color w:val="334155"/>
          <w:sz w:val="20"/>
        </w:rPr>
        <w:t>Slide 12 covers our Task-Driven Matching Engine. When an operator needs to assign a specific workload, the Matchmaker evaluates all eligible candidates using our composite MatchScore equation: 40% weight on temporal trust T, 30% on historical peer reputation r normalized out of 5.0, 20% on historical task success rate sigma, and 10% on latency penalty bonus (1 - lambda). The chart on the right visualizes the exact score breakdown across candidate agents. In this benchmark, Agent Alpha achieves the top match with a composite score of 0.963, earning the spotlight recommendation banner with full explainability chips. Crucially, our algorithm enforces hard zero-trust security boundaries: if an agent is QUARANTINED or REVOKED, its MatchScore is forced to exactly 0.0 with 'REJECTED BY POLICY', regardless of high historical reputation. Recent verified runtime behavior strictly trumps historical prestige.</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top w:val="none"/>
              <w:left w:val="single" w:sz="24" w:space="0" w:color="00A3C4"/>
              <w:bottom w:val="none"/>
              <w:right w:val="none"/>
            </w:tcBorders>
          </w:tcPr>
          <w:p>
            <w:pPr>
              <w:spacing w:before="40" w:after="40"/>
            </w:pPr>
            <w:r>
              <w:rPr>
                <w:rFonts w:ascii="Calibri" w:hAnsi="Calibri"/>
                <w:b/>
                <w:color w:val="00A3C4"/>
                <w:sz w:val="21"/>
              </w:rPr>
              <w:t xml:space="preserve">Key Visuals to Highlight: </w:t>
            </w:r>
            <w:r>
              <w:rPr>
                <w:rFonts w:ascii="Calibri" w:hAnsi="Calibri"/>
                <w:color w:val="1E293B"/>
                <w:sz w:val="20"/>
              </w:rPr>
              <w:t>Walk through the MatchScore formula and trace the 4 colored component segments on the matching_breakdown.png chart.</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Core Technical Takeaway: </w:t>
            </w:r>
            <w:r>
              <w:rPr>
                <w:rFonts w:ascii="Calibri" w:hAnsi="Calibri"/>
                <w:color w:val="1E293B"/>
                <w:sz w:val="20"/>
              </w:rPr>
              <w:t>Task-driven matching balances recent trust (0.4), reputation (0.3), success (0.2), and latency (0.1) with hard zero-trust disqualification gates.</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EF2FF"/>
            <w:tcMar>
              <w:top w:w="140" w:type="dxa"/>
              <w:bottom w:w="140" w:type="dxa"/>
              <w:left w:w="200" w:type="dxa"/>
              <w:right w:w="200" w:type="dxa"/>
            </w:tcMar>
            <w:tcBorders>
              <w:top w:val="none"/>
              <w:left w:val="single" w:sz="24" w:space="0" w:color="6366F1"/>
              <w:bottom w:val="none"/>
              <w:right w:val="none"/>
            </w:tcBorders>
          </w:tcPr>
          <w:p>
            <w:pPr>
              <w:spacing w:before="40" w:after="40"/>
            </w:pPr>
            <w:r>
              <w:rPr>
                <w:rFonts w:ascii="Calibri" w:hAnsi="Calibri"/>
                <w:b/>
                <w:color w:val="6366F1"/>
                <w:sz w:val="21"/>
              </w:rPr>
              <w:t xml:space="preserve">Grounding Code &amp; Files: </w:t>
            </w:r>
            <w:r>
              <w:rPr>
                <w:rFonts w:ascii="Calibri" w:hAnsi="Calibri"/>
                <w:color w:val="1E293B"/>
                <w:sz w:val="20"/>
              </w:rPr>
              <w:t>akta/vdr/registry_crud.py (find_best_agent_match), frontend/src/components/MatchingCenter.jsx, tests/test_investigation_discovery_matching.py</w:t>
            </w:r>
          </w:p>
        </w:tc>
      </w:tr>
    </w:tbl>
    <w:p>
      <w:pPr>
        <w:spacing w:before="0" w:after="80"/>
      </w:pPr>
    </w:p>
    <w:p>
      <w:pPr>
        <w:spacing w:before="80" w:after="40"/>
      </w:pPr>
      <w:r>
        <w:rPr>
          <w:rFonts w:ascii="Calibri" w:hAnsi="Calibri"/>
          <w:b/>
          <w:color w:val="B45309"/>
          <w:sz w:val="20"/>
        </w:rPr>
        <w:t>Likely Slide-Specific Question &amp; Defense:</w:t>
      </w:r>
    </w:p>
    <w:p>
      <w:pPr>
        <w:spacing w:after="120"/>
      </w:pPr>
      <w:r>
        <w:rPr>
          <w:rFonts w:ascii="Calibri" w:hAnsi="Calibri"/>
          <w:color w:val="475569"/>
          <w:sz w:val="19"/>
        </w:rPr>
        <w:t>Q: Can an agent with 5-star reputation win a task if it failed recent tasks?</w:t>
        <w:br/>
        <w:t>A: No. Because temporal trust has a 40% weight and quarantine acts as a hard zero-multiplier, an agent that degraded recently cannot win against an agent with consistent runtime reliability.</w:t>
      </w:r>
    </w:p>
    <w:p>
      <w:pPr>
        <w:spacing w:after="120"/>
      </w:pPr>
    </w:p>
    <w:p>
      <w:pPr>
        <w:pStyle w:val="Heading2"/>
        <w:spacing w:before="280" w:after="80"/>
      </w:pPr>
      <w:r>
        <w:t>Slide 13: Multi-Agent Collaboration Sessions &amp; Sequential Pipeline Orchestration</w:t>
      </w:r>
    </w:p>
    <w:p>
      <w:pPr>
        <w:spacing w:after="80"/>
      </w:pPr>
      <w:r>
        <w:rPr>
          <w:rFonts w:ascii="Calibri" w:hAnsi="Calibri"/>
          <w:b/>
          <w:color w:val="00A3C4"/>
          <w:sz w:val="19"/>
        </w:rPr>
        <w:t>Target Delivery Time: 60 seconds   |   Section Status: Grounded &amp; Verified</w:t>
      </w:r>
    </w:p>
    <w:p>
      <w:pPr>
        <w:spacing w:before="80" w:after="40"/>
      </w:pPr>
      <w:r>
        <w:rPr>
          <w:rFonts w:ascii="Calibri" w:hAnsi="Calibri"/>
          <w:b/>
          <w:color w:val="0F172A"/>
          <w:sz w:val="21"/>
        </w:rPr>
        <w:t>Verbal Presentation Script (Spoken Aloud):</w:t>
      </w:r>
    </w:p>
    <w:p>
      <w:pPr>
        <w:spacing w:after="120"/>
      </w:pPr>
      <w:r>
        <w:rPr>
          <w:rFonts w:ascii="Calibri" w:hAnsi="Calibri"/>
          <w:color w:val="334155"/>
          <w:sz w:val="20"/>
        </w:rPr>
        <w:t>Slide 13 details our Multi-Agent Collaboration Engine and Pipeline Orchestration. When two agents collaborate, they form a bilateral session managed by a deterministic state machine: PENDING, ACTIVE, and either COMPLETED or TERMINATED. The session entity binds the initiator DID, target DID, task payload, and an ephemeral session token. In addition to bilateral sessions, we support sequential multi-stage pipelines where complex tasks flow through Node 1 (Ingestion), Node 2 (Analysis), and Node 3 (Verification). Crucially, before every single node is executed, our Adaptive Policy Enforcer re-verifies the agent's live trust state. If an agent degrades mid-pipeline, execution is immediately halted, stopping cascading corruption in its tracks. For local testing, our LocalAgentConnector simulates realistic agent execution deterministically without external LLM API costs. While DAG dependencies are modeled in the schema, execution is strictly sequential.</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top w:val="none"/>
              <w:left w:val="single" w:sz="24" w:space="0" w:color="00A3C4"/>
              <w:bottom w:val="none"/>
              <w:right w:val="none"/>
            </w:tcBorders>
          </w:tcPr>
          <w:p>
            <w:pPr>
              <w:spacing w:before="40" w:after="40"/>
            </w:pPr>
            <w:r>
              <w:rPr>
                <w:rFonts w:ascii="Calibri" w:hAnsi="Calibri"/>
                <w:b/>
                <w:color w:val="00A3C4"/>
                <w:sz w:val="21"/>
              </w:rPr>
              <w:t xml:space="preserve">Key Visuals to Highlight: </w:t>
            </w:r>
            <w:r>
              <w:rPr>
                <w:rFonts w:ascii="Calibri" w:hAnsi="Calibri"/>
                <w:color w:val="1E293B"/>
                <w:sz w:val="20"/>
              </w:rPr>
              <w:t>Highlight the session state machine diagram and the 3-node sequential execution pipeline card.</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Core Technical Takeaway: </w:t>
            </w:r>
            <w:r>
              <w:rPr>
                <w:rFonts w:ascii="Calibri" w:hAnsi="Calibri"/>
                <w:color w:val="1E293B"/>
                <w:sz w:val="20"/>
              </w:rPr>
              <w:t>Collaboration sessions and sequential workflows enforce real-time trust gating at every step, halting instantly if an agent degrades mid-pipeline.</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EF2FF"/>
            <w:tcMar>
              <w:top w:w="140" w:type="dxa"/>
              <w:bottom w:w="140" w:type="dxa"/>
              <w:left w:w="200" w:type="dxa"/>
              <w:right w:w="200" w:type="dxa"/>
            </w:tcMar>
            <w:tcBorders>
              <w:top w:val="none"/>
              <w:left w:val="single" w:sz="24" w:space="0" w:color="6366F1"/>
              <w:bottom w:val="none"/>
              <w:right w:val="none"/>
            </w:tcBorders>
          </w:tcPr>
          <w:p>
            <w:pPr>
              <w:spacing w:before="40" w:after="40"/>
            </w:pPr>
            <w:r>
              <w:rPr>
                <w:rFonts w:ascii="Calibri" w:hAnsi="Calibri"/>
                <w:b/>
                <w:color w:val="6366F1"/>
                <w:sz w:val="21"/>
              </w:rPr>
              <w:t xml:space="preserve">Grounding Code &amp; Files: </w:t>
            </w:r>
            <w:r>
              <w:rPr>
                <w:rFonts w:ascii="Calibri" w:hAnsi="Calibri"/>
                <w:color w:val="1E293B"/>
                <w:sz w:val="20"/>
              </w:rPr>
              <w:t>akta/collaboration_router.py, akta/vdr/models.py (CollaborationSession, Workflow, WorkflowNode), akta/connectors/local.py, tests/test_collaboration.py</w:t>
            </w:r>
          </w:p>
        </w:tc>
      </w:tr>
    </w:tbl>
    <w:p>
      <w:pPr>
        <w:spacing w:before="0" w:after="80"/>
      </w:pPr>
    </w:p>
    <w:p>
      <w:pPr>
        <w:spacing w:before="80" w:after="40"/>
      </w:pPr>
      <w:r>
        <w:rPr>
          <w:rFonts w:ascii="Calibri" w:hAnsi="Calibri"/>
          <w:b/>
          <w:color w:val="B45309"/>
          <w:sz w:val="20"/>
        </w:rPr>
        <w:t>Likely Slide-Specific Question &amp; Defense:</w:t>
      </w:r>
    </w:p>
    <w:p>
      <w:pPr>
        <w:spacing w:after="120"/>
      </w:pPr>
      <w:r>
        <w:rPr>
          <w:rFonts w:ascii="Calibri" w:hAnsi="Calibri"/>
          <w:color w:val="475569"/>
          <w:sz w:val="19"/>
        </w:rPr>
        <w:t>Q: Can two agents collaborate if one is in SUSPICIOUS state?</w:t>
        <w:br/>
        <w:t>A: Only for standard read/query tasks. Privileged workflow execution and delegation require both agents to be in TRUSTED state (T &gt;= 0.80).</w:t>
        <w:br/>
        <w:br/>
        <w:t>Q: Does your workflow engine support parallel branches?</w:t>
        <w:br/>
        <w:t>A: The database schema includes a depends_on field for DAG parallel dependencies, but runtime execution in the capstone is strictly sequential to guarantee deterministic audit verification.</w:t>
      </w:r>
    </w:p>
    <w:p>
      <w:pPr>
        <w:spacing w:after="120"/>
      </w:pPr>
    </w:p>
    <w:p>
      <w:pPr>
        <w:pStyle w:val="Heading2"/>
        <w:spacing w:before="280" w:after="80"/>
      </w:pPr>
      <w:r>
        <w:t>Slide 14: Local Relational VDR Architecture &amp; Quad-Dimensional Auditability</w:t>
      </w:r>
    </w:p>
    <w:p>
      <w:pPr>
        <w:spacing w:after="80"/>
      </w:pPr>
      <w:r>
        <w:rPr>
          <w:rFonts w:ascii="Calibri" w:hAnsi="Calibri"/>
          <w:b/>
          <w:color w:val="00A3C4"/>
          <w:sz w:val="19"/>
        </w:rPr>
        <w:t>Target Delivery Time: 60 seconds   |   Section Status: Grounded &amp; Verified</w:t>
      </w:r>
    </w:p>
    <w:p>
      <w:pPr>
        <w:spacing w:before="80" w:after="40"/>
      </w:pPr>
      <w:r>
        <w:rPr>
          <w:rFonts w:ascii="Calibri" w:hAnsi="Calibri"/>
          <w:b/>
          <w:color w:val="0F172A"/>
          <w:sz w:val="21"/>
        </w:rPr>
        <w:t>Verbal Presentation Script (Spoken Aloud):</w:t>
      </w:r>
    </w:p>
    <w:p>
      <w:pPr>
        <w:spacing w:after="120"/>
      </w:pPr>
      <w:r>
        <w:rPr>
          <w:rFonts w:ascii="Calibri" w:hAnsi="Calibri"/>
          <w:color w:val="334155"/>
          <w:sz w:val="20"/>
        </w:rPr>
        <w:t>Slide 14 presents our storage architecture and quad-dimensional auditability. In the W3C specification, a Verifiable Data Registry is a logical concept, not necessarily a distributed blockchain. For TrustChain-AI, we engineered a high-throughput relational VDR using SQLite in WAL mode. This guarantees atomic transactions and sub-5 millisecond response times without gas costs or consensus delays. The database consists of exactly 13 tables partitioned across five functional domains. To guarantee forensic accountability, we maintain four separate audit dimensions: stored_vcs for credential provenance, trust_audit_trails for state transitions, telemetry_logs for raw interaction metrics, and security_audit_events for access control violations. Every event is timestamped and immutable.</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top w:val="none"/>
              <w:left w:val="single" w:sz="24" w:space="0" w:color="00A3C4"/>
              <w:bottom w:val="none"/>
              <w:right w:val="none"/>
            </w:tcBorders>
          </w:tcPr>
          <w:p>
            <w:pPr>
              <w:spacing w:before="40" w:after="40"/>
            </w:pPr>
            <w:r>
              <w:rPr>
                <w:rFonts w:ascii="Calibri" w:hAnsi="Calibri"/>
                <w:b/>
                <w:color w:val="00A3C4"/>
                <w:sz w:val="21"/>
              </w:rPr>
              <w:t xml:space="preserve">Key Visuals to Highlight: </w:t>
            </w:r>
            <w:r>
              <w:rPr>
                <w:rFonts w:ascii="Calibri" w:hAnsi="Calibri"/>
                <w:color w:val="1E293B"/>
                <w:sz w:val="20"/>
              </w:rPr>
              <w:t>Review the 13 SQLite tables grouped by domain on the left and the 4 audit streams on the right.</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Core Technical Takeaway: </w:t>
            </w:r>
            <w:r>
              <w:rPr>
                <w:rFonts w:ascii="Calibri" w:hAnsi="Calibri"/>
                <w:color w:val="1E293B"/>
                <w:sz w:val="20"/>
              </w:rPr>
              <w:t>A high-performance 13-table SQLite WAL registry provides sub-5ms latency and quad-dimensional forensic auditability across credentials, trust, telemetry, and security.</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EF2FF"/>
            <w:tcMar>
              <w:top w:w="140" w:type="dxa"/>
              <w:bottom w:w="140" w:type="dxa"/>
              <w:left w:w="200" w:type="dxa"/>
              <w:right w:w="200" w:type="dxa"/>
            </w:tcMar>
            <w:tcBorders>
              <w:top w:val="none"/>
              <w:left w:val="single" w:sz="24" w:space="0" w:color="6366F1"/>
              <w:bottom w:val="none"/>
              <w:right w:val="none"/>
            </w:tcBorders>
          </w:tcPr>
          <w:p>
            <w:pPr>
              <w:spacing w:before="40" w:after="40"/>
            </w:pPr>
            <w:r>
              <w:rPr>
                <w:rFonts w:ascii="Calibri" w:hAnsi="Calibri"/>
                <w:b/>
                <w:color w:val="6366F1"/>
                <w:sz w:val="21"/>
              </w:rPr>
              <w:t xml:space="preserve">Grounding Code &amp; Files: </w:t>
            </w:r>
            <w:r>
              <w:rPr>
                <w:rFonts w:ascii="Calibri" w:hAnsi="Calibri"/>
                <w:color w:val="1E293B"/>
                <w:sz w:val="20"/>
              </w:rPr>
              <w:t>akta/vdr/models.py, akta/vdr/database.py, akta/vdr/registry_crud.py, tests/test_platform_features.py</w:t>
            </w:r>
          </w:p>
        </w:tc>
      </w:tr>
    </w:tbl>
    <w:p>
      <w:pPr>
        <w:spacing w:before="0" w:after="80"/>
      </w:pPr>
    </w:p>
    <w:p>
      <w:pPr>
        <w:spacing w:before="80" w:after="40"/>
      </w:pPr>
      <w:r>
        <w:rPr>
          <w:rFonts w:ascii="Calibri" w:hAnsi="Calibri"/>
          <w:b/>
          <w:color w:val="B45309"/>
          <w:sz w:val="20"/>
        </w:rPr>
        <w:t>Likely Slide-Specific Question &amp; Defense:</w:t>
      </w:r>
    </w:p>
    <w:p>
      <w:pPr>
        <w:spacing w:after="120"/>
      </w:pPr>
      <w:r>
        <w:rPr>
          <w:rFonts w:ascii="Calibri" w:hAnsi="Calibri"/>
          <w:color w:val="475569"/>
          <w:sz w:val="19"/>
        </w:rPr>
        <w:t>Q: Why didn't you use an actual blockchain like Ethereum or Polygon?</w:t>
        <w:br/>
        <w:t>A: Blockchain introduces 2-15 second confirmation latencies and monetary gas costs per transaction. For autonomous agent interactions occurring at millisecond scale, a local WAL-enabled VDR provides the required throughput while strictly adhering to W3C VDR interface principles.</w:t>
        <w:br/>
        <w:br/>
        <w:t>Q: How do you prevent tampering with the SQLite audit logs?</w:t>
        <w:br/>
        <w:t>A: The backend enforces append-only semantics at the ORM layer, and each telemetry event includes cryptographic signatures tied to the agent's did:key.</w:t>
      </w:r>
    </w:p>
    <w:p>
      <w:pPr>
        <w:spacing w:after="120"/>
      </w:pPr>
    </w:p>
    <w:p>
      <w:pPr>
        <w:pStyle w:val="Heading2"/>
        <w:spacing w:before="280" w:after="80"/>
      </w:pPr>
      <w:r>
        <w:t>Slide 15: Operational SOC Portal Demonstration &amp; Interface Verification</w:t>
      </w:r>
    </w:p>
    <w:p>
      <w:pPr>
        <w:spacing w:after="80"/>
      </w:pPr>
      <w:r>
        <w:rPr>
          <w:rFonts w:ascii="Calibri" w:hAnsi="Calibri"/>
          <w:b/>
          <w:color w:val="00A3C4"/>
          <w:sz w:val="19"/>
        </w:rPr>
        <w:t>Target Delivery Time: 75 seconds   |   Section Status: Grounded &amp; Verified</w:t>
      </w:r>
    </w:p>
    <w:p>
      <w:pPr>
        <w:spacing w:before="80" w:after="40"/>
      </w:pPr>
      <w:r>
        <w:rPr>
          <w:rFonts w:ascii="Calibri" w:hAnsi="Calibri"/>
          <w:b/>
          <w:color w:val="0F172A"/>
          <w:sz w:val="21"/>
        </w:rPr>
        <w:t>Verbal Presentation Script (Spoken Aloud):</w:t>
      </w:r>
    </w:p>
    <w:p>
      <w:pPr>
        <w:spacing w:after="120"/>
      </w:pPr>
      <w:r>
        <w:rPr>
          <w:rFonts w:ascii="Calibri" w:hAnsi="Calibri"/>
          <w:color w:val="334155"/>
          <w:sz w:val="20"/>
        </w:rPr>
        <w:t>Slide 15 showcases our Security Operations Center portal. Built with React 19 and Vite, the interface provides a unified, professional cockpit for monitoring autonomous agents. The design follows enterprise SOC conventions with a dark navy palette, high-contrast cyan accents, and complete light mode compatibility. The portal features five dedicated views: the Executive Dashboard, the Agent Explorer, the Discovery Center, the Matching Center, and User Management. When an operator clicks 'Investigate' on any agent, a five-tab slide-over drawer appears, allowing deep inspection into the agent's DID, historical trust trajectory, raw telemetry events, and Verifiable Credentials. Furthermore, our matching interface provides full explainability chips, detailing exact mathematical score contributions.</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top w:val="none"/>
              <w:left w:val="single" w:sz="24" w:space="0" w:color="00A3C4"/>
              <w:bottom w:val="none"/>
              <w:right w:val="none"/>
            </w:tcBorders>
          </w:tcPr>
          <w:p>
            <w:pPr>
              <w:spacing w:before="40" w:after="40"/>
            </w:pPr>
            <w:r>
              <w:rPr>
                <w:rFonts w:ascii="Calibri" w:hAnsi="Calibri"/>
                <w:b/>
                <w:color w:val="00A3C4"/>
                <w:sz w:val="21"/>
              </w:rPr>
              <w:t xml:space="preserve">Key Visuals to Highlight: </w:t>
            </w:r>
            <w:r>
              <w:rPr>
                <w:rFonts w:ascii="Calibri" w:hAnsi="Calibri"/>
                <w:color w:val="1E293B"/>
                <w:sz w:val="20"/>
              </w:rPr>
              <w:t>Walk through the 5 operational modules on the left and detail the 5 tabs of the slide-over investigation drawer on the right.</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Core Technical Takeaway: </w:t>
            </w:r>
            <w:r>
              <w:rPr>
                <w:rFonts w:ascii="Calibri" w:hAnsi="Calibri"/>
                <w:color w:val="1E293B"/>
                <w:sz w:val="20"/>
              </w:rPr>
              <w:t>The React 19 SOC portal delivers comprehensive operational visibility, featuring a 5-tab investigation slide-over drawer and fully explainable decision interfaces.</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EF2FF"/>
            <w:tcMar>
              <w:top w:w="140" w:type="dxa"/>
              <w:bottom w:w="140" w:type="dxa"/>
              <w:left w:w="200" w:type="dxa"/>
              <w:right w:w="200" w:type="dxa"/>
            </w:tcMar>
            <w:tcBorders>
              <w:top w:val="none"/>
              <w:left w:val="single" w:sz="24" w:space="0" w:color="6366F1"/>
              <w:bottom w:val="none"/>
              <w:right w:val="none"/>
            </w:tcBorders>
          </w:tcPr>
          <w:p>
            <w:pPr>
              <w:spacing w:before="40" w:after="40"/>
            </w:pPr>
            <w:r>
              <w:rPr>
                <w:rFonts w:ascii="Calibri" w:hAnsi="Calibri"/>
                <w:b/>
                <w:color w:val="6366F1"/>
                <w:sz w:val="21"/>
              </w:rPr>
              <w:t xml:space="preserve">Grounding Code &amp; Files: </w:t>
            </w:r>
            <w:r>
              <w:rPr>
                <w:rFonts w:ascii="Calibri" w:hAnsi="Calibri"/>
                <w:color w:val="1E293B"/>
                <w:sz w:val="20"/>
              </w:rPr>
              <w:t>frontend/src/App.jsx, frontend/src/components/AgentDrawer.jsx, frontend/src/components/DiscoveryCenter.jsx, frontend/src/components/MatchingCenter.jsx, frontend/src/components/UserManagement.jsx</w:t>
            </w:r>
          </w:p>
        </w:tc>
      </w:tr>
    </w:tbl>
    <w:p>
      <w:pPr>
        <w:spacing w:before="0" w:after="80"/>
      </w:pPr>
    </w:p>
    <w:p>
      <w:pPr>
        <w:spacing w:before="80" w:after="40"/>
      </w:pPr>
      <w:r>
        <w:rPr>
          <w:rFonts w:ascii="Calibri" w:hAnsi="Calibri"/>
          <w:b/>
          <w:color w:val="B45309"/>
          <w:sz w:val="20"/>
        </w:rPr>
        <w:t>Likely Slide-Specific Question &amp; Defense:</w:t>
      </w:r>
    </w:p>
    <w:p>
      <w:pPr>
        <w:spacing w:after="120"/>
      </w:pPr>
      <w:r>
        <w:rPr>
          <w:rFonts w:ascii="Calibri" w:hAnsi="Calibri"/>
          <w:color w:val="475569"/>
          <w:sz w:val="19"/>
        </w:rPr>
        <w:t>Q: Does the frontend make direct security decisions?</w:t>
        <w:br/>
        <w:t>A: No. The frontend is strictly an operational presentation layer. All trust evaluations, matching scores, and RBAC rules are enforced authoritatively on the FastAPI backend.</w:t>
        <w:br/>
        <w:br/>
        <w:t>Q: How is the investigation drawer invoked?</w:t>
        <w:br/>
        <w:t>A: The AgentCard component dispatches an onInvestigate callback passing the agent's DID, which loads the drawer asynchronously via GET /api/v1/registry/agents/{did}/details.</w:t>
      </w:r>
    </w:p>
    <w:p>
      <w:pPr>
        <w:spacing w:after="120"/>
      </w:pPr>
    </w:p>
    <w:p>
      <w:pPr>
        <w:pStyle w:val="Heading2"/>
        <w:spacing w:before="280" w:after="80"/>
      </w:pPr>
      <w:r>
        <w:t>Slide 16: Empirical Testing, Subsystem Health &amp; Mathematical Verification</w:t>
      </w:r>
    </w:p>
    <w:p>
      <w:pPr>
        <w:spacing w:after="80"/>
      </w:pPr>
      <w:r>
        <w:rPr>
          <w:rFonts w:ascii="Calibri" w:hAnsi="Calibri"/>
          <w:b/>
          <w:color w:val="00A3C4"/>
          <w:sz w:val="19"/>
        </w:rPr>
        <w:t>Target Delivery Time: 60 seconds   |   Section Status: Grounded &amp; Verified</w:t>
      </w:r>
    </w:p>
    <w:p>
      <w:pPr>
        <w:spacing w:before="80" w:after="40"/>
      </w:pPr>
      <w:r>
        <w:rPr>
          <w:rFonts w:ascii="Calibri" w:hAnsi="Calibri"/>
          <w:b/>
          <w:color w:val="0F172A"/>
          <w:sz w:val="21"/>
        </w:rPr>
        <w:t>Verbal Presentation Script (Spoken Aloud):</w:t>
      </w:r>
    </w:p>
    <w:p>
      <w:pPr>
        <w:spacing w:after="120"/>
      </w:pPr>
      <w:r>
        <w:rPr>
          <w:rFonts w:ascii="Calibri" w:hAnsi="Calibri"/>
          <w:color w:val="334155"/>
          <w:sz w:val="20"/>
        </w:rPr>
        <w:t>Slide 16 details our empirical testing and subsystem verification. In computer science capstone projects, implementation claims must be backed by reproducible evidence. We verified the complete framework against an 80-test automated pytest suite, achieving 100% pass rate in 11.82 seconds across eight distinct test modules (optimized with SQLite WAL journal mode). These tests cover cryptographic primitives, Verifiable Credential tampering, mathematical EMA boundary conditions, adaptive policy enforcement, collaboration lifecycles, and RBAC security. The chart on the upper right shows the distribution across the eight suites. On the frontend, Vite compiles the production bundle in 26.2 seconds with zero syntax or packaging errors. Finally, our live /health endpoint continuously confirms that the SQLite WAL database and active agents are fully operational.</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top w:val="none"/>
              <w:left w:val="single" w:sz="24" w:space="0" w:color="00A3C4"/>
              <w:bottom w:val="none"/>
              <w:right w:val="none"/>
            </w:tcBorders>
          </w:tcPr>
          <w:p>
            <w:pPr>
              <w:spacing w:before="40" w:after="40"/>
            </w:pPr>
            <w:r>
              <w:rPr>
                <w:rFonts w:ascii="Calibri" w:hAnsi="Calibri"/>
                <w:b/>
                <w:color w:val="00A3C4"/>
                <w:sz w:val="21"/>
              </w:rPr>
              <w:t xml:space="preserve">Key Visuals to Highlight: </w:t>
            </w:r>
            <w:r>
              <w:rPr>
                <w:rFonts w:ascii="Calibri" w:hAnsi="Calibri"/>
                <w:color w:val="1E293B"/>
                <w:sz w:val="20"/>
              </w:rPr>
              <w:t>Highlight the 8 passing test suites table on the left, the test distribution chart on the right, and the live /health JSON probe card.</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Core Technical Takeaway: </w:t>
            </w:r>
            <w:r>
              <w:rPr>
                <w:rFonts w:ascii="Calibri" w:hAnsi="Calibri"/>
                <w:color w:val="1E293B"/>
                <w:sz w:val="20"/>
              </w:rPr>
              <w:t>The complete framework is rigorously validated by 80 automated unit and integration tests passing in 11.82 seconds with 0 failures, and a clean Vite production build (2,478 modules in 19.99s).</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EF2FF"/>
            <w:tcMar>
              <w:top w:w="140" w:type="dxa"/>
              <w:bottom w:w="140" w:type="dxa"/>
              <w:left w:w="200" w:type="dxa"/>
              <w:right w:w="200" w:type="dxa"/>
            </w:tcMar>
            <w:tcBorders>
              <w:top w:val="none"/>
              <w:left w:val="single" w:sz="24" w:space="0" w:color="6366F1"/>
              <w:bottom w:val="none"/>
              <w:right w:val="none"/>
            </w:tcBorders>
          </w:tcPr>
          <w:p>
            <w:pPr>
              <w:spacing w:before="40" w:after="40"/>
            </w:pPr>
            <w:r>
              <w:rPr>
                <w:rFonts w:ascii="Calibri" w:hAnsi="Calibri"/>
                <w:b/>
                <w:color w:val="6366F1"/>
                <w:sz w:val="21"/>
              </w:rPr>
              <w:t xml:space="preserve">Grounding Code &amp; Files: </w:t>
            </w:r>
            <w:r>
              <w:rPr>
                <w:rFonts w:ascii="Calibri" w:hAnsi="Calibri"/>
                <w:color w:val="1E293B"/>
                <w:sz w:val="20"/>
              </w:rPr>
              <w:t>tests/ (8 test modules, 80 test functions), pytest.ini, frontend/package.json (npm run build), akta/server.py (/health)</w:t>
            </w:r>
          </w:p>
        </w:tc>
      </w:tr>
    </w:tbl>
    <w:p>
      <w:pPr>
        <w:spacing w:before="0" w:after="80"/>
      </w:pPr>
    </w:p>
    <w:p>
      <w:pPr>
        <w:spacing w:before="80" w:after="40"/>
      </w:pPr>
      <w:r>
        <w:rPr>
          <w:rFonts w:ascii="Calibri" w:hAnsi="Calibri"/>
          <w:b/>
          <w:color w:val="B45309"/>
          <w:sz w:val="20"/>
        </w:rPr>
        <w:t>Likely Slide-Specific Question &amp; Defense:</w:t>
      </w:r>
    </w:p>
    <w:p>
      <w:pPr>
        <w:spacing w:after="120"/>
      </w:pPr>
      <w:r>
        <w:rPr>
          <w:rFonts w:ascii="Calibri" w:hAnsi="Calibri"/>
          <w:color w:val="475569"/>
          <w:sz w:val="19"/>
        </w:rPr>
        <w:t>Q: Are there any skipped or mocked tests in the 80 passing tests?</w:t>
        <w:br/>
        <w:t>A: No tests are skipped. All 80 tests execute live against local database fixtures and cryptographic primitives.</w:t>
        <w:br/>
        <w:br/>
        <w:t>Q: How do you test credential tampering?</w:t>
        <w:br/>
        <w:t>A: In test_vc.py, we mutate a single character in the credential subject after issuance and assert that verify_credential raises a cryptographic verification error.</w:t>
      </w:r>
    </w:p>
    <w:p>
      <w:pPr>
        <w:spacing w:after="120"/>
      </w:pPr>
    </w:p>
    <w:p>
      <w:pPr>
        <w:pStyle w:val="Heading2"/>
        <w:spacing w:before="280" w:after="80"/>
      </w:pPr>
      <w:r>
        <w:t>Slide 17: Transparent Limitations, Threats to Validity &amp; Research Roadmap</w:t>
      </w:r>
    </w:p>
    <w:p>
      <w:pPr>
        <w:spacing w:after="80"/>
      </w:pPr>
      <w:r>
        <w:rPr>
          <w:rFonts w:ascii="Calibri" w:hAnsi="Calibri"/>
          <w:b/>
          <w:color w:val="00A3C4"/>
          <w:sz w:val="19"/>
        </w:rPr>
        <w:t>Target Delivery Time: 60 seconds   |   Section Status: Grounded &amp; Verified</w:t>
      </w:r>
    </w:p>
    <w:p>
      <w:pPr>
        <w:spacing w:before="80" w:after="40"/>
      </w:pPr>
      <w:r>
        <w:rPr>
          <w:rFonts w:ascii="Calibri" w:hAnsi="Calibri"/>
          <w:b/>
          <w:color w:val="0F172A"/>
          <w:sz w:val="21"/>
        </w:rPr>
        <w:t>Verbal Presentation Script (Spoken Aloud):</w:t>
      </w:r>
    </w:p>
    <w:p>
      <w:pPr>
        <w:spacing w:after="120"/>
      </w:pPr>
      <w:r>
        <w:rPr>
          <w:rFonts w:ascii="Calibri" w:hAnsi="Calibri"/>
          <w:color w:val="334155"/>
          <w:sz w:val="20"/>
        </w:rPr>
        <w:t>Slide 17 is dedicated to scientific rigor, academic honesty, and future research. Every engineering project has explicit boundaries. Rather than overclaiming, we candidly acknowledge seven technical limitations: our registry is a local SQLite WAL instance rather than a Byzantine consensus ledger; agent telemetry was evaluated using deterministic simulation rather than live LLMs; gateway sensors are assumed trustworthy; mathematical weights are static rather than dynamically learned; workflows run sequentially rather than in parallel DAGs; testing was conducted in a closed-world registry of 8 to 10 agents; and transient network spikes can occasionally trigger brief false-positive latency penalties. On the right, we outline our four-phase future roadmap, including Byzantine ledger integration, zero-knowledge telemetry proofs, and reinforcement learning for dynamic weight tuning.</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top w:val="none"/>
              <w:left w:val="single" w:sz="24" w:space="0" w:color="00A3C4"/>
              <w:bottom w:val="none"/>
              <w:right w:val="none"/>
            </w:tcBorders>
          </w:tcPr>
          <w:p>
            <w:pPr>
              <w:spacing w:before="40" w:after="40"/>
            </w:pPr>
            <w:r>
              <w:rPr>
                <w:rFonts w:ascii="Calibri" w:hAnsi="Calibri"/>
                <w:b/>
                <w:color w:val="00A3C4"/>
                <w:sz w:val="21"/>
              </w:rPr>
              <w:t xml:space="preserve">Key Visuals to Highlight: </w:t>
            </w:r>
            <w:r>
              <w:rPr>
                <w:rFonts w:ascii="Calibri" w:hAnsi="Calibri"/>
                <w:color w:val="1E293B"/>
                <w:sz w:val="20"/>
              </w:rPr>
              <w:t>Review the 7 frank limitations on the left and the 4 phased research roadmap milestones on the right.</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Core Technical Takeaway: </w:t>
            </w:r>
            <w:r>
              <w:rPr>
                <w:rFonts w:ascii="Calibri" w:hAnsi="Calibri"/>
                <w:color w:val="1E293B"/>
                <w:sz w:val="20"/>
              </w:rPr>
              <w:t>Academic integrity requires candidly presenting technical boundaries and grounding future work in concrete engineering milestones.</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EF2FF"/>
            <w:tcMar>
              <w:top w:w="140" w:type="dxa"/>
              <w:bottom w:w="140" w:type="dxa"/>
              <w:left w:w="200" w:type="dxa"/>
              <w:right w:w="200" w:type="dxa"/>
            </w:tcMar>
            <w:tcBorders>
              <w:top w:val="none"/>
              <w:left w:val="single" w:sz="24" w:space="0" w:color="6366F1"/>
              <w:bottom w:val="none"/>
              <w:right w:val="none"/>
            </w:tcBorders>
          </w:tcPr>
          <w:p>
            <w:pPr>
              <w:spacing w:before="40" w:after="40"/>
            </w:pPr>
            <w:r>
              <w:rPr>
                <w:rFonts w:ascii="Calibri" w:hAnsi="Calibri"/>
                <w:b/>
                <w:color w:val="6366F1"/>
                <w:sz w:val="21"/>
              </w:rPr>
              <w:t xml:space="preserve">Grounding Code &amp; Files: </w:t>
            </w:r>
            <w:r>
              <w:rPr>
                <w:rFonts w:ascii="Calibri" w:hAnsi="Calibri"/>
                <w:color w:val="1E293B"/>
                <w:sz w:val="20"/>
              </w:rPr>
              <w:t>docs/blackbook/TrustChain_AI_Blackbook_Part2.md (Chapter 6: Limitations and Future Work)</w:t>
            </w:r>
          </w:p>
        </w:tc>
      </w:tr>
    </w:tbl>
    <w:p>
      <w:pPr>
        <w:spacing w:before="0" w:after="80"/>
      </w:pPr>
    </w:p>
    <w:p>
      <w:pPr>
        <w:spacing w:before="80" w:after="40"/>
      </w:pPr>
      <w:r>
        <w:rPr>
          <w:rFonts w:ascii="Calibri" w:hAnsi="Calibri"/>
          <w:b/>
          <w:color w:val="B45309"/>
          <w:sz w:val="20"/>
        </w:rPr>
        <w:t>Likely Slide-Specific Question &amp; Defense:</w:t>
      </w:r>
    </w:p>
    <w:p>
      <w:pPr>
        <w:spacing w:after="120"/>
      </w:pPr>
      <w:r>
        <w:rPr>
          <w:rFonts w:ascii="Calibri" w:hAnsi="Calibri"/>
          <w:color w:val="475569"/>
          <w:sz w:val="19"/>
        </w:rPr>
        <w:t>Q: What is the most significant limitation of TrustChain-AI today?</w:t>
        <w:br/>
        <w:t>A: The reliance on a local SQLite VDR. While ideal for high-throughput single-node deployment, scaling across multi-tenant enterprise consortiums requires a distributed consensus ledger like Hedera or Tendermint.</w:t>
        <w:br/>
        <w:br/>
        <w:t>Q: How could zk-SNARKs help autonomous agents?</w:t>
        <w:br/>
        <w:t>A: Enterprise agents often process sensitive proprietary prompts. Zero-knowledge proofs would allow an agent to prove it complied with a security policy without revealing its proprietary input or output.</w:t>
      </w:r>
    </w:p>
    <w:p>
      <w:pPr>
        <w:spacing w:after="120"/>
      </w:pPr>
    </w:p>
    <w:p>
      <w:pPr>
        <w:pStyle w:val="Heading2"/>
        <w:spacing w:before="280" w:after="80"/>
      </w:pPr>
      <w:r>
        <w:t>Slide 18: Capstone Defense Conclusion, Core Contributions &amp; Open Defense</w:t>
      </w:r>
    </w:p>
    <w:p>
      <w:pPr>
        <w:spacing w:after="80"/>
      </w:pPr>
      <w:r>
        <w:rPr>
          <w:rFonts w:ascii="Calibri" w:hAnsi="Calibri"/>
          <w:b/>
          <w:color w:val="00A3C4"/>
          <w:sz w:val="19"/>
        </w:rPr>
        <w:t>Target Delivery Time: 45 seconds   |   Section Status: Grounded &amp; Verified</w:t>
      </w:r>
    </w:p>
    <w:p>
      <w:pPr>
        <w:spacing w:before="80" w:after="40"/>
      </w:pPr>
      <w:r>
        <w:rPr>
          <w:rFonts w:ascii="Calibri" w:hAnsi="Calibri"/>
          <w:b/>
          <w:color w:val="0F172A"/>
          <w:sz w:val="21"/>
        </w:rPr>
        <w:t>Verbal Presentation Script (Spoken Aloud):</w:t>
      </w:r>
    </w:p>
    <w:p>
      <w:pPr>
        <w:spacing w:after="120"/>
      </w:pPr>
      <w:r>
        <w:rPr>
          <w:rFonts w:ascii="Calibri" w:hAnsi="Calibri"/>
          <w:color w:val="334155"/>
          <w:sz w:val="20"/>
        </w:rPr>
        <w:t>To conclude our defense, TrustChain-AI successfully solves the point-in-time security failure in autonomous multi-agent systems. We have demonstrated three core contributions: a cryptographic trust anchor built on W3C did:key and Verifiable Credentials; dynamic behavioral telemetry coupled with an Exponential Moving Average trust engine and adaptive policy gating; and a high-performance 13-table SQLite WAL Verifiable Data Registry with quad-dimensional auditability and an explainable matching engine. All claims are backed by 80 automated unit tests passing in 11.82 seconds and a verified production frontend. We express our deepest gratitude to the Department of Computer Engineering at MPSTME, SVKM's NMIMS, our project guide, and the examination committee. We are now ready for your questions.</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top w:val="none"/>
              <w:left w:val="single" w:sz="24" w:space="0" w:color="00A3C4"/>
              <w:bottom w:val="none"/>
              <w:right w:val="none"/>
            </w:tcBorders>
          </w:tcPr>
          <w:p>
            <w:pPr>
              <w:spacing w:before="40" w:after="40"/>
            </w:pPr>
            <w:r>
              <w:rPr>
                <w:rFonts w:ascii="Calibri" w:hAnsi="Calibri"/>
                <w:b/>
                <w:color w:val="00A3C4"/>
                <w:sz w:val="21"/>
              </w:rPr>
              <w:t xml:space="preserve">Key Visuals to Highlight: </w:t>
            </w:r>
            <w:r>
              <w:rPr>
                <w:rFonts w:ascii="Calibri" w:hAnsi="Calibri"/>
                <w:color w:val="1E293B"/>
                <w:sz w:val="20"/>
              </w:rPr>
              <w:t>Summarize the 3 core contributions on the left and draw attention to the formal defense Q&amp;A banner on the right.</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Core Technical Takeaway: </w:t>
            </w:r>
            <w:r>
              <w:rPr>
                <w:rFonts w:ascii="Calibri" w:hAnsi="Calibri"/>
                <w:color w:val="1E293B"/>
                <w:sz w:val="20"/>
              </w:rPr>
              <w:t>TrustChain-AI replaces static point-in-time authentication with a closed-loop, verifiable zero-trust architecture backed by 80 automated passing tests.</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EF2FF"/>
            <w:tcMar>
              <w:top w:w="140" w:type="dxa"/>
              <w:bottom w:w="140" w:type="dxa"/>
              <w:left w:w="200" w:type="dxa"/>
              <w:right w:w="200" w:type="dxa"/>
            </w:tcMar>
            <w:tcBorders>
              <w:top w:val="none"/>
              <w:left w:val="single" w:sz="24" w:space="0" w:color="6366F1"/>
              <w:bottom w:val="none"/>
              <w:right w:val="none"/>
            </w:tcBorders>
          </w:tcPr>
          <w:p>
            <w:pPr>
              <w:spacing w:before="40" w:after="40"/>
            </w:pPr>
            <w:r>
              <w:rPr>
                <w:rFonts w:ascii="Calibri" w:hAnsi="Calibri"/>
                <w:b/>
                <w:color w:val="6366F1"/>
                <w:sz w:val="21"/>
              </w:rPr>
              <w:t xml:space="preserve">Grounding Code &amp; Files: </w:t>
            </w:r>
            <w:r>
              <w:rPr>
                <w:rFonts w:ascii="Calibri" w:hAnsi="Calibri"/>
                <w:color w:val="1E293B"/>
                <w:sz w:val="20"/>
              </w:rPr>
              <w:t>docs/blackbook/TrustChain_AI_Final_Blackbook.docx, tests/, akta/, frontend/</w:t>
            </w:r>
          </w:p>
        </w:tc>
      </w:tr>
    </w:tbl>
    <w:p>
      <w:pPr>
        <w:spacing w:before="0" w:after="80"/>
      </w:pPr>
    </w:p>
    <w:p>
      <w:pPr>
        <w:spacing w:before="80" w:after="40"/>
      </w:pPr>
      <w:r>
        <w:rPr>
          <w:rFonts w:ascii="Calibri" w:hAnsi="Calibri"/>
          <w:b/>
          <w:color w:val="B45309"/>
          <w:sz w:val="20"/>
        </w:rPr>
        <w:t>Likely Slide-Specific Question &amp; Defense:</w:t>
      </w:r>
    </w:p>
    <w:p>
      <w:pPr>
        <w:spacing w:after="120"/>
      </w:pPr>
      <w:r>
        <w:rPr>
          <w:rFonts w:ascii="Calibri" w:hAnsi="Calibri"/>
          <w:color w:val="475569"/>
          <w:sz w:val="19"/>
        </w:rPr>
        <w:t>Q: If you had three more months, what would you prioritize next?</w:t>
        <w:br/>
        <w:t>A: We would prioritize two things: first, deploying our VDR interface onto a Byzantine consensus network like Hedera Hashgraph for decentralized multi-organization consortiums; second, implementing zk-SNARK telemetry proofs so commercial LLM agents can prove compliance without leaking proprietary model prompts.</w:t>
        <w:br/>
        <w:br/>
        <w:t>Q: What is the single biggest lesson learned from this capstone?</w:t>
        <w:br/>
        <w:t>A: That cryptographic identity is merely the baseline of security. In autonomous agent systems, trust is not an identity attribute—it is a dynamic, continuously earned behavioral property.</w:t>
      </w:r>
    </w:p>
    <w:p>
      <w:pPr>
        <w:spacing w:after="120"/>
      </w:pPr>
    </w:p>
    <w:p>
      <w:r>
        <w:br w:type="page"/>
      </w:r>
    </w:p>
    <w:p>
      <w:pPr>
        <w:pStyle w:val="Heading1"/>
      </w:pPr>
      <w:r>
        <w:t>3. Comprehensive Examiner Defense Dossier (30 Questions &amp; Authoritative Answers)</w:t>
      </w:r>
    </w:p>
    <w:p>
      <w:pPr>
        <w:spacing w:after="240"/>
      </w:pPr>
      <w:r>
        <w:t>This section prepares the presenters for aggressive and technical examination by the external evaluators, department faculty, and project guides. The 30 questions are organized across eight core technical domains. Each entry outlines the examiner's underlying intent or trap, the direct authoritative response, technical evidence citations in the codebase, and what NOT to say to prevent accidental overclaiming.</w:t>
      </w:r>
    </w:p>
    <w:p>
      <w:pPr>
        <w:spacing w:before="200" w:after="40"/>
      </w:pPr>
      <w:r>
        <w:rPr>
          <w:rFonts w:ascii="Calibri" w:hAnsi="Calibri"/>
          <w:b/>
          <w:color w:val="0F172A"/>
          <w:sz w:val="22"/>
        </w:rPr>
        <w:t>Q1: Why did you choose W3C did:key over other DID methods like did:ethr or did:ion?</w:t>
      </w:r>
    </w:p>
    <w:p>
      <w:pPr>
        <w:spacing w:after="80"/>
      </w:pPr>
      <w:r>
        <w:rPr>
          <w:rFonts w:ascii="Calibri" w:hAnsi="Calibri"/>
          <w:i/>
          <w:color w:val="64748B"/>
          <w:sz w:val="18"/>
        </w:rPr>
        <w:t>Domain: Domain 1: Cryptography &amp; Decentralized Identity   |   Examiner Trap: Testing whether you understand DID architectures or just copied a tutorial.</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We selected did:key because it is completely deterministic and self-sovereign, requiring zero external blockchain transactions or network lookups. In did:key, the public key is embedded directly into the identifier string using multicodec (0xED01 for Ed25519) and base58-btc encoding. Any agent or gateway can resolve and verify the public key algorithmically in sub-microsecond time without paying gas fees or depending on external distributed ledger network availability. Methods like did:ethr require querying an Ethereum smart contract, which introduces 2–15 second latencies and monetary fees, making them impractical for high-frequency autonomous agent interactions.</w:t>
            </w:r>
          </w:p>
        </w:tc>
      </w:tr>
    </w:tbl>
    <w:p>
      <w:pPr>
        <w:spacing w:before="0" w:after="80"/>
      </w:pPr>
    </w:p>
    <w:p>
      <w:pPr>
        <w:spacing w:before="40" w:after="20"/>
      </w:pPr>
      <w:r>
        <w:rPr>
          <w:rFonts w:ascii="Consolas" w:hAnsi="Consolas"/>
          <w:b/>
          <w:color w:val="1E293B"/>
          <w:sz w:val="18"/>
        </w:rPr>
        <w:t>Technical Codebase Anchor: akta/did.py (generate_did_key, resolve_did_key), tests/test_crypto.py</w:t>
      </w:r>
    </w:p>
    <w:p>
      <w:pPr>
        <w:spacing w:after="160"/>
      </w:pPr>
      <w:r>
        <w:rPr>
          <w:rFonts w:ascii="Calibri" w:hAnsi="Calibri"/>
          <w:i/>
          <w:color w:val="B91C1C"/>
          <w:sz w:val="19"/>
        </w:rPr>
        <w:t>Defense Caution (What NOT to say): Do not claim did:key supports key rotation. Candidly state that if an Ed25519 key is compromised, the agent's did:key identifier changes and the old DID is administratively revoked.</w:t>
      </w:r>
    </w:p>
    <w:p>
      <w:pPr>
        <w:spacing w:before="200" w:after="40"/>
      </w:pPr>
      <w:r>
        <w:rPr>
          <w:rFonts w:ascii="Calibri" w:hAnsi="Calibri"/>
          <w:b/>
          <w:color w:val="0F172A"/>
          <w:sz w:val="22"/>
        </w:rPr>
        <w:t>Q2: How does Ed25519 compare to RSA or ECDSA (secp256k1) for autonomous agent identities?</w:t>
      </w:r>
    </w:p>
    <w:p>
      <w:pPr>
        <w:spacing w:after="80"/>
      </w:pPr>
      <w:r>
        <w:rPr>
          <w:rFonts w:ascii="Calibri" w:hAnsi="Calibri"/>
          <w:i/>
          <w:color w:val="64748B"/>
          <w:sz w:val="18"/>
        </w:rPr>
        <w:t>Domain: Domain 1: Cryptography &amp; Decentralized Identity   |   Examiner Trap: Evaluating cryptographic fundamentals and performance justification.</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Ed25519 (Edwards-curve Digital Signature Algorithm over Curve25519) offers superior performance, security, and implementation robustness. Key generation and signing operations take approximately 15–25 microseconds, compared to several milliseconds for RSA-2048. Ed25519 produces compact 32-byte public keys and 64-byte signatures, minimizing wire transmission overhead in HTTP headers. Cryptographically, Ed25519 is immune to cache-timing attacks, side-channel vulnerabilities, and poor randomness failures that historically compromised ECDSA implementations (such as the Sony PS3 vulnerability where repeated nonces exposed private keys).</w:t>
            </w:r>
          </w:p>
        </w:tc>
      </w:tr>
    </w:tbl>
    <w:p>
      <w:pPr>
        <w:spacing w:before="0" w:after="80"/>
      </w:pPr>
    </w:p>
    <w:p>
      <w:pPr>
        <w:spacing w:before="40" w:after="20"/>
      </w:pPr>
      <w:r>
        <w:rPr>
          <w:rFonts w:ascii="Consolas" w:hAnsi="Consolas"/>
          <w:b/>
          <w:color w:val="1E293B"/>
          <w:sz w:val="18"/>
        </w:rPr>
        <w:t>Technical Codebase Anchor: PyNaCl library binding, akta/did.py, tests/test_crypto.py</w:t>
      </w:r>
    </w:p>
    <w:p>
      <w:pPr>
        <w:spacing w:after="160"/>
      </w:pPr>
      <w:r>
        <w:rPr>
          <w:rFonts w:ascii="Calibri" w:hAnsi="Calibri"/>
          <w:i/>
          <w:color w:val="B91C1C"/>
          <w:sz w:val="19"/>
        </w:rPr>
        <w:t>Defense Caution (What NOT to say): Do not claim Ed25519 is post-quantum secure. It is based on elliptic curve discrete logarithms and would be vulnerable to Shor's algorithm on a fault-tolerant quantum computer.</w:t>
      </w:r>
    </w:p>
    <w:p>
      <w:pPr>
        <w:spacing w:before="200" w:after="40"/>
      </w:pPr>
      <w:r>
        <w:rPr>
          <w:rFonts w:ascii="Calibri" w:hAnsi="Calibri"/>
          <w:b/>
          <w:color w:val="0F172A"/>
          <w:sz w:val="22"/>
        </w:rPr>
        <w:t>Q3: Why is URDNA2015 canonicalization necessary before signing a Verifiable Credential?</w:t>
      </w:r>
    </w:p>
    <w:p>
      <w:pPr>
        <w:spacing w:after="80"/>
      </w:pPr>
      <w:r>
        <w:rPr>
          <w:rFonts w:ascii="Calibri" w:hAnsi="Calibri"/>
          <w:i/>
          <w:color w:val="64748B"/>
          <w:sz w:val="18"/>
        </w:rPr>
        <w:t>Domain: Domain 1: Cryptography &amp; Decentralized Identity   |   Examiner Trap: Checking understanding of JSON-LD data structures and signature verification.</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In JSON documents, key-value pairs are unordered by definition. If Agent A serializes a credential as {"id": 1, "role": "analyst"} and signs it, but Agent B parses and re-serializes it as {"role": "analyst", "id": 1}, the raw byte sequence changes. Without canonicalization, SHA-256 hashing would produce a completely different digest, causing signature verification to fail falsely. URDNA2015 (Universal RDF Dataset Normalization Algorithm 2015) mathematically standardizes the semantic graph structure into a deterministic N-Quads representation regardless of key order, whitespace, or formatting, ensuring that the cryptographic signature remains verifiable across heterogeneous platforms.</w:t>
            </w:r>
          </w:p>
        </w:tc>
      </w:tr>
    </w:tbl>
    <w:p>
      <w:pPr>
        <w:spacing w:before="0" w:after="80"/>
      </w:pPr>
    </w:p>
    <w:p>
      <w:pPr>
        <w:spacing w:before="40" w:after="20"/>
      </w:pPr>
      <w:r>
        <w:rPr>
          <w:rFonts w:ascii="Consolas" w:hAnsi="Consolas"/>
          <w:b/>
          <w:color w:val="1E293B"/>
          <w:sz w:val="18"/>
        </w:rPr>
        <w:t>Technical Codebase Anchor: akta/vc.py (issue_verifiable_credential, canonicalize_credential), tests/test_vc.py</w:t>
      </w:r>
    </w:p>
    <w:p>
      <w:pPr>
        <w:spacing w:after="160"/>
      </w:pPr>
      <w:r>
        <w:rPr>
          <w:rFonts w:ascii="Calibri" w:hAnsi="Calibri"/>
          <w:i/>
          <w:color w:val="B91C1C"/>
          <w:sz w:val="19"/>
        </w:rPr>
        <w:t>Defense Caution (What NOT to say): Do not say standard Python json.dumps(sort_keys=True) is sufficient. JSON-LD allows nested semantic graphs where key sorting does not normalize RDF blank node identifiers.</w:t>
      </w:r>
    </w:p>
    <w:p>
      <w:pPr>
        <w:spacing w:before="200" w:after="40"/>
      </w:pPr>
      <w:r>
        <w:rPr>
          <w:rFonts w:ascii="Calibri" w:hAnsi="Calibri"/>
          <w:b/>
          <w:color w:val="0F172A"/>
          <w:sz w:val="22"/>
        </w:rPr>
        <w:t>Q4: If an agent's Verifiable Credential is valid, why does TrustChain-AI still evaluate runtime trust?</w:t>
      </w:r>
    </w:p>
    <w:p>
      <w:pPr>
        <w:spacing w:after="80"/>
      </w:pPr>
      <w:r>
        <w:rPr>
          <w:rFonts w:ascii="Calibri" w:hAnsi="Calibri"/>
          <w:i/>
          <w:color w:val="64748B"/>
          <w:sz w:val="18"/>
        </w:rPr>
        <w:t>Domain: Domain 1: Cryptography &amp; Decentralized Identity   |   Examiner Trap: Checking if you understand the conceptual boundary between identity and trust.</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A Verifiable Credential proves authorization claims at issuance time—such as 'Agent Alpha was certified by Organization X to perform data analysis.' It represents identity and credentials, not operational behavior. A credential cannot predict whether an agent's underlying LLM will hallucinate invalid SQL queries, whether its server will suffer latency timeouts, or whether it has been subverted by prompt injection. Cryptographic identity provides the authentication baseline; runtime trust intelligence provides continuous behavioral observability and zero-trust policy enforcement.</w:t>
            </w:r>
          </w:p>
        </w:tc>
      </w:tr>
    </w:tbl>
    <w:p>
      <w:pPr>
        <w:spacing w:before="0" w:after="80"/>
      </w:pPr>
    </w:p>
    <w:p>
      <w:pPr>
        <w:spacing w:before="40" w:after="20"/>
      </w:pPr>
      <w:r>
        <w:rPr>
          <w:rFonts w:ascii="Consolas" w:hAnsi="Consolas"/>
          <w:b/>
          <w:color w:val="1E293B"/>
          <w:sz w:val="18"/>
        </w:rPr>
        <w:t>Technical Codebase Anchor: akta/adaptive_auth.py, docs/blackbook/TrustChain_AI_Blackbook_Part1.md</w:t>
      </w:r>
    </w:p>
    <w:p>
      <w:pPr>
        <w:spacing w:after="160"/>
      </w:pPr>
      <w:r>
        <w:rPr>
          <w:rFonts w:ascii="Calibri" w:hAnsi="Calibri"/>
          <w:i/>
          <w:color w:val="B91C1C"/>
          <w:sz w:val="19"/>
        </w:rPr>
        <w:t>Defense Caution (What NOT to say): Do not imply credentials are useless. State clearly that credentials establish initial capability eligibility, while trust scoring gates active operational privileges.</w:t>
      </w:r>
    </w:p>
    <w:p>
      <w:pPr>
        <w:spacing w:before="200" w:after="40"/>
      </w:pPr>
      <w:r>
        <w:rPr>
          <w:rFonts w:ascii="Calibri" w:hAnsi="Calibri"/>
          <w:b/>
          <w:color w:val="0F172A"/>
          <w:sz w:val="22"/>
        </w:rPr>
        <w:t>Q5: How do you verify credential revocation if you are not using a global blockchain?</w:t>
      </w:r>
    </w:p>
    <w:p>
      <w:pPr>
        <w:spacing w:after="80"/>
      </w:pPr>
      <w:r>
        <w:rPr>
          <w:rFonts w:ascii="Calibri" w:hAnsi="Calibri"/>
          <w:i/>
          <w:color w:val="64748B"/>
          <w:sz w:val="18"/>
        </w:rPr>
        <w:t>Domain: Domain 1: Cryptography &amp; Decentralized Identity   |   Examiner Trap: Testing registry architecture and revocation status lists.</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In our local Verifiable Data Registry, credential issuance and status are recorded in the stored_vcs SQLite table. Each credential record contains an is_revoked boolean flag and a revoked_at timestamp. When an agent presents a credential, the gateway executes two checks: first, cryptographic signature verification using the issuer's did:key; second, a registry lookup against stored_vcs to confirm the credential has not been revoked. In a multi-organization deployment, this maps directly to W3C StatusList2021 bitstring registries.</w:t>
            </w:r>
          </w:p>
        </w:tc>
      </w:tr>
    </w:tbl>
    <w:p>
      <w:pPr>
        <w:spacing w:before="0" w:after="80"/>
      </w:pPr>
    </w:p>
    <w:p>
      <w:pPr>
        <w:spacing w:before="40" w:after="20"/>
      </w:pPr>
      <w:r>
        <w:rPr>
          <w:rFonts w:ascii="Consolas" w:hAnsi="Consolas"/>
          <w:b/>
          <w:color w:val="1E293B"/>
          <w:sz w:val="18"/>
        </w:rPr>
        <w:t>Technical Codebase Anchor: akta/vdr/registry_crud.py (get_vc_by_id, revoke_vc), akta/vdr/models.py (StoredVC)</w:t>
      </w:r>
    </w:p>
    <w:p>
      <w:pPr>
        <w:spacing w:after="160"/>
      </w:pPr>
      <w:r>
        <w:rPr>
          <w:rFonts w:ascii="Calibri" w:hAnsi="Calibri"/>
          <w:i/>
          <w:color w:val="B91C1C"/>
          <w:sz w:val="19"/>
        </w:rPr>
        <w:t>Defense Caution (What NOT to say): Do not claim you query an Ethereum smart contract. Explicitly state this is enforced via the local SQLite VDR.</w:t>
      </w:r>
    </w:p>
    <w:p>
      <w:pPr>
        <w:spacing w:before="200" w:after="40"/>
      </w:pPr>
      <w:r>
        <w:rPr>
          <w:rFonts w:ascii="Calibri" w:hAnsi="Calibri"/>
          <w:b/>
          <w:color w:val="0F172A"/>
          <w:sz w:val="22"/>
        </w:rPr>
        <w:t>Q6: Why did you choose Exponential Moving Average (EMA) rather than simple moving average or Bayesian trust?</w:t>
      </w:r>
    </w:p>
    <w:p>
      <w:pPr>
        <w:spacing w:after="80"/>
      </w:pPr>
      <w:r>
        <w:rPr>
          <w:rFonts w:ascii="Calibri" w:hAnsi="Calibri"/>
          <w:i/>
          <w:color w:val="64748B"/>
          <w:sz w:val="18"/>
        </w:rPr>
        <w:t>Domain: Domain 2: Trust Engine &amp; Behavioral Mathematics   |   Examiner Trap: Probing mathematical justification and trade-offs.</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We selected Exponential Moving Average (EMA) for three reasons: temporal recency weighting, memory efficiency, and bounded reactivity. Simple Moving Average (SMA) assigns equal weight to events 10 rounds ago as events 1 round ago, and suffers from abrupt score cliffs when an old negative event drops out of the sliding window. EMA geometrically discounts past observations (alpha=0.7), ensuring recent behavior exerts primary influence. Furthermore, EMA requires O(1) state storage (storing only previous trust T_{t-1}), compared to Bayesian Beta distributions which require tracking cumulative positive/negative counters that can suffer from historical inertia, preventing degraded legacy agents from ever being quarantined quickly.</w:t>
            </w:r>
          </w:p>
        </w:tc>
      </w:tr>
    </w:tbl>
    <w:p>
      <w:pPr>
        <w:spacing w:before="0" w:after="80"/>
      </w:pPr>
    </w:p>
    <w:p>
      <w:pPr>
        <w:spacing w:before="40" w:after="20"/>
      </w:pPr>
      <w:r>
        <w:rPr>
          <w:rFonts w:ascii="Consolas" w:hAnsi="Consolas"/>
          <w:b/>
          <w:color w:val="1E293B"/>
          <w:sz w:val="18"/>
        </w:rPr>
        <w:t>Technical Codebase Anchor: akta/trust_engine.py (update_trust_score), tests/test_trust_engine.py</w:t>
      </w:r>
    </w:p>
    <w:p>
      <w:pPr>
        <w:spacing w:after="160"/>
      </w:pPr>
      <w:r>
        <w:rPr>
          <w:rFonts w:ascii="Calibri" w:hAnsi="Calibri"/>
          <w:i/>
          <w:color w:val="B91C1C"/>
          <w:sz w:val="19"/>
        </w:rPr>
        <w:t>Defense Caution (What NOT to say): Do not claim EMA is the only valid trust model. Acknowledge that Bayesian Dirichlet distributions are valuable for multi-class reputation, but EMA provides superior dynamic agility for fast runtime gating.</w:t>
      </w:r>
    </w:p>
    <w:p>
      <w:pPr>
        <w:spacing w:before="200" w:after="40"/>
      </w:pPr>
      <w:r>
        <w:rPr>
          <w:rFonts w:ascii="Calibri" w:hAnsi="Calibri"/>
          <w:b/>
          <w:color w:val="0F172A"/>
          <w:sz w:val="22"/>
        </w:rPr>
        <w:t>Q7: How did you arrive at the weights 0.6 for Success, 0.3 for Compliance, and 0.1 for Latency?</w:t>
      </w:r>
    </w:p>
    <w:p>
      <w:pPr>
        <w:spacing w:after="80"/>
      </w:pPr>
      <w:r>
        <w:rPr>
          <w:rFonts w:ascii="Calibri" w:hAnsi="Calibri"/>
          <w:i/>
          <w:color w:val="64748B"/>
          <w:sz w:val="18"/>
        </w:rPr>
        <w:t>Domain: Domain 2: Trust Engine &amp; Behavioral Mathematics   |   Examiner Trap: Testing whether weights are arbitrary or grounded in security principles.</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The weighting formulation P_i(t) = 0.6*S + 0.3*C + 0.1*(1-L) reflects enterprise multi-agent security priorities. Functional correctness (Success, 0.6) is the primary requirement: an agent that returns incorrect or failed results provides zero utility. Security compliance (0.3) is critical: protocol breaches, unauthorized data leakage, or schema violations must immediately depress trust. Latency efficiency (0.1) provides marginal operational tuning: an agent that is slow but functionally correct and secure should receive a minor penalty, but should not be quarantined simply due to high network load. The sum of weights equals exactly 1.0, ensuring P_i(t) remains normalized in [0.0, 1.0].</w:t>
            </w:r>
          </w:p>
        </w:tc>
      </w:tr>
    </w:tbl>
    <w:p>
      <w:pPr>
        <w:spacing w:before="0" w:after="80"/>
      </w:pPr>
    </w:p>
    <w:p>
      <w:pPr>
        <w:spacing w:before="40" w:after="20"/>
      </w:pPr>
      <w:r>
        <w:rPr>
          <w:rFonts w:ascii="Consolas" w:hAnsi="Consolas"/>
          <w:b/>
          <w:color w:val="1E293B"/>
          <w:sz w:val="18"/>
        </w:rPr>
        <w:t>Technical Codebase Anchor: akta/trust_engine.py (compute_instantaneous_performance), tests/test_trust_engine.py</w:t>
      </w:r>
    </w:p>
    <w:p>
      <w:pPr>
        <w:spacing w:after="160"/>
      </w:pPr>
      <w:r>
        <w:rPr>
          <w:rFonts w:ascii="Calibri" w:hAnsi="Calibri"/>
          <w:i/>
          <w:color w:val="B91C1C"/>
          <w:sz w:val="19"/>
        </w:rPr>
        <w:t>Defense Caution (What NOT to say): Do not claim these weights were optimized by machine learning. Frankly state they are empirically established hyperparameter constants validated through testing.</w:t>
      </w:r>
    </w:p>
    <w:p>
      <w:pPr>
        <w:spacing w:before="200" w:after="40"/>
      </w:pPr>
      <w:r>
        <w:rPr>
          <w:rFonts w:ascii="Calibri" w:hAnsi="Calibri"/>
          <w:b/>
          <w:color w:val="0F172A"/>
          <w:sz w:val="22"/>
        </w:rPr>
        <w:t>Q8: How many consecutive failures will cause a fully trusted agent (T=1.00) to be quarantined (T &lt; 0.50)?</w:t>
      </w:r>
    </w:p>
    <w:p>
      <w:pPr>
        <w:spacing w:after="80"/>
      </w:pPr>
      <w:r>
        <w:rPr>
          <w:rFonts w:ascii="Calibri" w:hAnsi="Calibri"/>
          <w:i/>
          <w:color w:val="64748B"/>
          <w:sz w:val="18"/>
        </w:rPr>
        <w:t>Domain: Domain 2: Trust Engine &amp; Behavioral Mathematics   |   Examiner Trap: Testing mathematical mastery of your own equation.</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Under complete failure where instantaneous performance P=0.00: At round 0, T_0 = 1.00. At round 1, T_1 = 0.7*1.00 + 0.3*0.00 = 0.700 (enters SUSPICIOUS, since T &lt; 0.80). At round 2, T_2 = 0.7*0.700 + 0.3*0.00 = 0.490. Since 0.490 &lt; 0.50, the agent is automatically transitioned to QUARANTINED in exactly TWO consecutive rounds. This mathematical guarantee proves that TrustChain-AI isolates failing agents rapidly before extensive damage occurs.</w:t>
            </w:r>
          </w:p>
        </w:tc>
      </w:tr>
    </w:tbl>
    <w:p>
      <w:pPr>
        <w:spacing w:before="0" w:after="80"/>
      </w:pPr>
    </w:p>
    <w:p>
      <w:pPr>
        <w:spacing w:before="40" w:after="20"/>
      </w:pPr>
      <w:r>
        <w:rPr>
          <w:rFonts w:ascii="Consolas" w:hAnsi="Consolas"/>
          <w:b/>
          <w:color w:val="1E293B"/>
          <w:sz w:val="18"/>
        </w:rPr>
        <w:t>Technical Codebase Anchor: akta/trust_engine.py, docs/presentation/TrustChain_AI_Slide_Assets/trust_timeline.png</w:t>
      </w:r>
    </w:p>
    <w:p>
      <w:pPr>
        <w:spacing w:after="160"/>
      </w:pPr>
      <w:r>
        <w:rPr>
          <w:rFonts w:ascii="Calibri" w:hAnsi="Calibri"/>
          <w:i/>
          <w:color w:val="B91C1C"/>
          <w:sz w:val="19"/>
        </w:rPr>
        <w:t>Defense Caution (What NOT to say): Do not guess 3 or 5 rounds. The exact math is T_1=0.700, T_2=0.490, which breaches the 0.50 threshold at step 2.</w:t>
      </w:r>
    </w:p>
    <w:p>
      <w:pPr>
        <w:spacing w:before="200" w:after="40"/>
      </w:pPr>
      <w:r>
        <w:rPr>
          <w:rFonts w:ascii="Calibri" w:hAnsi="Calibri"/>
          <w:b/>
          <w:color w:val="0F172A"/>
          <w:sz w:val="22"/>
        </w:rPr>
        <w:t>Q9: How does the recovery mechanism work? Can an agent game the system by submitting fake quick successes?</w:t>
      </w:r>
    </w:p>
    <w:p>
      <w:pPr>
        <w:spacing w:after="80"/>
      </w:pPr>
      <w:r>
        <w:rPr>
          <w:rFonts w:ascii="Calibri" w:hAnsi="Calibri"/>
          <w:i/>
          <w:color w:val="64748B"/>
          <w:sz w:val="18"/>
        </w:rPr>
        <w:t>Domain: Domain 2: Trust Engine &amp; Behavioral Mathematics   |   Examiner Trap: Probing vulnerability to Sybil-like or whitewashing recovery attacks.</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When an agent is in QUARANTINED, it cannot execute unsupervised production tasks; its privileged API requests are rejected with HTTP 403. It can only recover through supervised canary tasks or administrative health probes. Mathematically, recovery is governed by the same 0.7/0.3 EMA formula. From T=0.364, an agent requires FIVE consecutive perfect rounds (P=1.00) to cross back above 0.80 into TRUSTED (0.555 -&gt; 0.688 -&gt; 0.782 -&gt; 0.847). Furthermore, telemetry events must be signed by authorized gateway sensor probes, preventing the agent from injecting self-authored success telemetry.</w:t>
            </w:r>
          </w:p>
        </w:tc>
      </w:tr>
    </w:tbl>
    <w:p>
      <w:pPr>
        <w:spacing w:before="0" w:after="80"/>
      </w:pPr>
    </w:p>
    <w:p>
      <w:pPr>
        <w:spacing w:before="40" w:after="20"/>
      </w:pPr>
      <w:r>
        <w:rPr>
          <w:rFonts w:ascii="Consolas" w:hAnsi="Consolas"/>
          <w:b/>
          <w:color w:val="1E293B"/>
          <w:sz w:val="18"/>
        </w:rPr>
        <w:t>Technical Codebase Anchor: akta/trust_engine.py, akta/adaptive_auth.py, tests/test_trust_engine.py</w:t>
      </w:r>
    </w:p>
    <w:p>
      <w:pPr>
        <w:spacing w:after="160"/>
      </w:pPr>
      <w:r>
        <w:rPr>
          <w:rFonts w:ascii="Calibri" w:hAnsi="Calibri"/>
          <w:i/>
          <w:color w:val="B91C1C"/>
          <w:sz w:val="19"/>
        </w:rPr>
        <w:t>Defense Caution (What NOT to say): Do not say recovery is automatic without supervision. Clarify that quarantined agents can only process supervised canary tasks.</w:t>
      </w:r>
    </w:p>
    <w:p>
      <w:pPr>
        <w:spacing w:before="200" w:after="40"/>
      </w:pPr>
      <w:r>
        <w:rPr>
          <w:rFonts w:ascii="Calibri" w:hAnsi="Calibri"/>
          <w:b/>
          <w:color w:val="0F172A"/>
          <w:sz w:val="22"/>
        </w:rPr>
        <w:t>Q10: What is the difference between QUARANTINED and REVOKED?</w:t>
      </w:r>
    </w:p>
    <w:p>
      <w:pPr>
        <w:spacing w:after="80"/>
      </w:pPr>
      <w:r>
        <w:rPr>
          <w:rFonts w:ascii="Calibri" w:hAnsi="Calibri"/>
          <w:i/>
          <w:color w:val="64748B"/>
          <w:sz w:val="18"/>
        </w:rPr>
        <w:t>Domain: Domain 2: Trust Engine &amp; Behavioral Mathematics   |   Examiner Trap: Checking understanding of the state machine lifecycle.</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QUARANTINED is an automated, recoverable operational state triggered when trust falls below 0.50 due to performance degradation or transient faults. An agent in Quarantine can recover if subsequent supervised interactions prove restored reliability. REVOKED is an administrative, terminal state triggered by cryptographic compromise, deliberate malicious attacks, or permanent decommissioning. Once an agent is REVOKED, its trust score is locked at 0.0, its credentials are permanently invalidated, and it can NEVER recover via telemetry updates. Only manual re-registration with a new did:key is possible.</w:t>
            </w:r>
          </w:p>
        </w:tc>
      </w:tr>
    </w:tbl>
    <w:p>
      <w:pPr>
        <w:spacing w:before="0" w:after="80"/>
      </w:pPr>
    </w:p>
    <w:p>
      <w:pPr>
        <w:spacing w:before="40" w:after="20"/>
      </w:pPr>
      <w:r>
        <w:rPr>
          <w:rFonts w:ascii="Consolas" w:hAnsi="Consolas"/>
          <w:b/>
          <w:color w:val="1E293B"/>
          <w:sz w:val="18"/>
        </w:rPr>
        <w:t>Technical Codebase Anchor: akta/trust_engine.py (update_trust_score, manual_revoke), akta/vdr/models.py (AgentTrustState)</w:t>
      </w:r>
    </w:p>
    <w:p>
      <w:pPr>
        <w:spacing w:after="160"/>
      </w:pPr>
      <w:r>
        <w:rPr>
          <w:rFonts w:ascii="Calibri" w:hAnsi="Calibri"/>
          <w:i/>
          <w:color w:val="B91C1C"/>
          <w:sz w:val="19"/>
        </w:rPr>
        <w:t>Defense Caution (What NOT to say): Do not say an admin can un-revoke an agent. Emphasize that REVOKED is architecturally terminal.</w:t>
      </w:r>
    </w:p>
    <w:p>
      <w:pPr>
        <w:spacing w:before="200" w:after="40"/>
      </w:pPr>
      <w:r>
        <w:rPr>
          <w:rFonts w:ascii="Calibri" w:hAnsi="Calibri"/>
          <w:b/>
          <w:color w:val="0F172A"/>
          <w:sz w:val="22"/>
        </w:rPr>
        <w:t>Q11: How does AdaptivePolicyEnforcer differentiate between STANDARD and PRIVILEGED operations?</w:t>
      </w:r>
    </w:p>
    <w:p>
      <w:pPr>
        <w:spacing w:after="80"/>
      </w:pPr>
      <w:r>
        <w:rPr>
          <w:rFonts w:ascii="Calibri" w:hAnsi="Calibri"/>
          <w:i/>
          <w:color w:val="64748B"/>
          <w:sz w:val="18"/>
        </w:rPr>
        <w:t>Domain: Domain 3: Adaptive Authorization &amp; Zero-Trust Access Control   |   Examiner Trap: Testing operational security design.</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In akta/adaptive_auth.py, operations are formally categorized based on blast radius. STANDARD operations include read-only lookups, telemetry querying, and low-risk informational tasks (read, query, map:generate, task:execute). These remain accessible in TRUSTED and SUSPICIOUS states. PRIVILEGED operations include state-modifying, high-impact actions (workflow:execute, workflow:orchestrate, agent:delegate, credential:issue, admin:revoke, admin:manage, sensitive:execute). Privileged actions are strictly gated: permitted ONLY when an agent's trust state is TRUSTED (T &gt;= 0.80). If an agent enters SUSPICIOUS, privileged operations are intercepted and denied with HTTP 403.</w:t>
            </w:r>
          </w:p>
        </w:tc>
      </w:tr>
    </w:tbl>
    <w:p>
      <w:pPr>
        <w:spacing w:before="0" w:after="80"/>
      </w:pPr>
    </w:p>
    <w:p>
      <w:pPr>
        <w:spacing w:before="40" w:after="20"/>
      </w:pPr>
      <w:r>
        <w:rPr>
          <w:rFonts w:ascii="Consolas" w:hAnsi="Consolas"/>
          <w:b/>
          <w:color w:val="1E293B"/>
          <w:sz w:val="18"/>
        </w:rPr>
        <w:t>Technical Codebase Anchor: akta/adaptive_auth.py (AdaptivePolicyEnforcer, PRIVILEGED_OPERATIONS, STANDARD_OPERATIONS)</w:t>
      </w:r>
    </w:p>
    <w:p>
      <w:pPr>
        <w:spacing w:after="160"/>
      </w:pPr>
      <w:r>
        <w:rPr>
          <w:rFonts w:ascii="Calibri" w:hAnsi="Calibri"/>
          <w:i/>
          <w:color w:val="B91C1C"/>
          <w:sz w:val="19"/>
        </w:rPr>
        <w:t>Defense Caution (What NOT to say): Do not say operators configure this on the frontend. It is hardcoded into backend policy enforcement.</w:t>
      </w:r>
    </w:p>
    <w:p>
      <w:pPr>
        <w:spacing w:before="200" w:after="40"/>
      </w:pPr>
      <w:r>
        <w:rPr>
          <w:rFonts w:ascii="Calibri" w:hAnsi="Calibri"/>
          <w:b/>
          <w:color w:val="0F172A"/>
          <w:sz w:val="22"/>
        </w:rPr>
        <w:t>Q12: Is the frontend role badge (ADMIN, OPERATOR, VIEWER) a security boundary?</w:t>
      </w:r>
    </w:p>
    <w:p>
      <w:pPr>
        <w:spacing w:after="80"/>
      </w:pPr>
      <w:r>
        <w:rPr>
          <w:rFonts w:ascii="Calibri" w:hAnsi="Calibri"/>
          <w:i/>
          <w:color w:val="64748B"/>
          <w:sz w:val="18"/>
        </w:rPr>
        <w:t>Domain: Domain 3: Adaptive Authorization &amp; Zero-Trust Access Control   |   Examiner Trap: Checking frontend vs backend security boundary awareness.</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Absolutely not. Frontend role badges and conditional rendering are strictly UI/UX conveniences to provide clean operator feedback. In accordance with zero-trust principles, the client is completely untrusted. All security boundaries are enforced authoritatively on the FastAPI backend using JWT token verification, Argon2id password hashes, and the require_role('ADMIN') dependency injection middleware. Even if an attacker modifies the React bundle to show an ADMIN badge, any unauthorized backend API call will immediately fail with HTTP 403 Forbidden.</w:t>
            </w:r>
          </w:p>
        </w:tc>
      </w:tr>
    </w:tbl>
    <w:p>
      <w:pPr>
        <w:spacing w:before="0" w:after="80"/>
      </w:pPr>
    </w:p>
    <w:p>
      <w:pPr>
        <w:spacing w:before="40" w:after="20"/>
      </w:pPr>
      <w:r>
        <w:rPr>
          <w:rFonts w:ascii="Consolas" w:hAnsi="Consolas"/>
          <w:b/>
          <w:color w:val="1E293B"/>
          <w:sz w:val="18"/>
        </w:rPr>
        <w:t>Technical Codebase Anchor: akta/auth.py (require_role, get_current_user), frontend/src/components/UserManagement.jsx, tests/test_auth_rbac.py</w:t>
      </w:r>
    </w:p>
    <w:p>
      <w:pPr>
        <w:spacing w:after="160"/>
      </w:pPr>
      <w:r>
        <w:rPr>
          <w:rFonts w:ascii="Calibri" w:hAnsi="Calibri"/>
          <w:i/>
          <w:color w:val="B91C1C"/>
          <w:sz w:val="19"/>
        </w:rPr>
        <w:t>Defense Caution (What NOT to say): Never claim frontend validation provides security. The backend is the sole enforcement authority.</w:t>
      </w:r>
    </w:p>
    <w:p>
      <w:pPr>
        <w:spacing w:before="200" w:after="40"/>
      </w:pPr>
      <w:r>
        <w:rPr>
          <w:rFonts w:ascii="Calibri" w:hAnsi="Calibri"/>
          <w:b/>
          <w:color w:val="0F172A"/>
          <w:sz w:val="22"/>
        </w:rPr>
        <w:t>Q13: What password hashing algorithm did you implement and why?</w:t>
      </w:r>
    </w:p>
    <w:p>
      <w:pPr>
        <w:spacing w:after="80"/>
      </w:pPr>
      <w:r>
        <w:rPr>
          <w:rFonts w:ascii="Calibri" w:hAnsi="Calibri"/>
          <w:i/>
          <w:color w:val="64748B"/>
          <w:sz w:val="18"/>
        </w:rPr>
        <w:t>Domain: Domain 3: Adaptive Authorization &amp; Zero-Trust Access Control   |   Examiner Trap: Testing modern cryptographic hygiene.</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We implemented Argon2id via the pwd_context library in akta/auth.py. Argon2id won the Password Hashing Competition (PHC) and is the current gold standard recommended by OWASP and NIST. Unlike bcrypt or PBKDF2 which are primarily CPU-bound and vulnerable to GPU/ASIC brute-forcing, Argon2id is memory-hard and combines Argon2d (data-dependent memory access for GPU resistance) and Argon2i (data-independent memory access for side-channel resistance), providing maximum protection against offline dictionary and rainbow table attacks.</w:t>
            </w:r>
          </w:p>
        </w:tc>
      </w:tr>
    </w:tbl>
    <w:p>
      <w:pPr>
        <w:spacing w:before="0" w:after="80"/>
      </w:pPr>
    </w:p>
    <w:p>
      <w:pPr>
        <w:spacing w:before="40" w:after="20"/>
      </w:pPr>
      <w:r>
        <w:rPr>
          <w:rFonts w:ascii="Consolas" w:hAnsi="Consolas"/>
          <w:b/>
          <w:color w:val="1E293B"/>
          <w:sz w:val="18"/>
        </w:rPr>
        <w:t>Technical Codebase Anchor: akta/auth.py (pwd_context = CryptContext(schemes=['argon2'])), tests/test_auth_rbac.py</w:t>
      </w:r>
    </w:p>
    <w:p>
      <w:pPr>
        <w:spacing w:after="160"/>
      </w:pPr>
      <w:r>
        <w:rPr>
          <w:rFonts w:ascii="Calibri" w:hAnsi="Calibri"/>
          <w:i/>
          <w:color w:val="B91C1C"/>
          <w:sz w:val="19"/>
        </w:rPr>
        <w:t>Defense Caution (What NOT to say): Do not confuse Argon2id with standard SHA-256. Plain SHA-256 is completely unsuitable for password hashing.</w:t>
      </w:r>
    </w:p>
    <w:p>
      <w:pPr>
        <w:spacing w:before="200" w:after="40"/>
      </w:pPr>
      <w:r>
        <w:rPr>
          <w:rFonts w:ascii="Calibri" w:hAnsi="Calibri"/>
          <w:b/>
          <w:color w:val="0F172A"/>
          <w:sz w:val="22"/>
        </w:rPr>
        <w:t>Q14: How does your system mitigate brute-force credential stuffing against user accounts?</w:t>
      </w:r>
    </w:p>
    <w:p>
      <w:pPr>
        <w:spacing w:after="80"/>
      </w:pPr>
      <w:r>
        <w:rPr>
          <w:rFonts w:ascii="Calibri" w:hAnsi="Calibri"/>
          <w:i/>
          <w:color w:val="64748B"/>
          <w:sz w:val="18"/>
        </w:rPr>
        <w:t>Domain: Domain 3: Adaptive Authorization &amp; Zero-Trust Access Control   |   Examiner Trap: Checking operational account security features.</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We enforce a 5-strike account lockout policy in akta/auth.py. The User database model tracks failed_login_attempts and locked_until timestamp fields. If five consecutive incorrect passwords are submitted, the account is automatically locked for 15 minutes, and a security audit event is logged in security_audit_events. Subsequent attempts during the lockout window return HTTP 423 Locked immediately without verifying password hashes, mitigating CPU-exhaustion denial of service attacks.</w:t>
            </w:r>
          </w:p>
        </w:tc>
      </w:tr>
    </w:tbl>
    <w:p>
      <w:pPr>
        <w:spacing w:before="0" w:after="80"/>
      </w:pPr>
    </w:p>
    <w:p>
      <w:pPr>
        <w:spacing w:before="40" w:after="20"/>
      </w:pPr>
      <w:r>
        <w:rPr>
          <w:rFonts w:ascii="Consolas" w:hAnsi="Consolas"/>
          <w:b/>
          <w:color w:val="1E293B"/>
          <w:sz w:val="18"/>
        </w:rPr>
        <w:t>Technical Codebase Anchor: akta/auth.py (authenticate_user, MAX_FAILED_ATTEMPTS=5), akta/vdr/models.py (User)</w:t>
      </w:r>
    </w:p>
    <w:p>
      <w:pPr>
        <w:spacing w:after="160"/>
      </w:pPr>
      <w:r>
        <w:rPr>
          <w:rFonts w:ascii="Calibri" w:hAnsi="Calibri"/>
          <w:i/>
          <w:color w:val="B91C1C"/>
          <w:sz w:val="19"/>
        </w:rPr>
        <w:t>Defense Caution (What NOT to say): Do not claim you use CAPTCHA. Candidly state this is handled via account lockout thresholds.</w:t>
      </w:r>
    </w:p>
    <w:p>
      <w:pPr>
        <w:spacing w:before="200" w:after="40"/>
      </w:pPr>
      <w:r>
        <w:rPr>
          <w:rFonts w:ascii="Calibri" w:hAnsi="Calibri"/>
          <w:b/>
          <w:color w:val="0F172A"/>
          <w:sz w:val="22"/>
        </w:rPr>
        <w:t>Q15: What is the fundamental functional difference between Discovery and Matching?</w:t>
      </w:r>
    </w:p>
    <w:p>
      <w:pPr>
        <w:spacing w:after="80"/>
      </w:pPr>
      <w:r>
        <w:rPr>
          <w:rFonts w:ascii="Calibri" w:hAnsi="Calibri"/>
          <w:i/>
          <w:color w:val="64748B"/>
          <w:sz w:val="18"/>
        </w:rPr>
        <w:t>Domain: Domain 4: Discovery &amp; Multi-Factor Matching   |   Examiner Trap: Checking whether you designed two distinct components or just duplicated screens.</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Discovery and Matching serve two fundamentally different operational goals. Discovery (/discovery) is an inventory search and availability tool: it allows an operator to filter the entire registry by capability tags, inspect operational availability, and verify endpoint health probes, providing explicit diagnostic rationales for why agents are eligible or excluded. Matching (/matching) is a task-driven optimization engine: an operator inputs a specific workload description, and the algorithm ranks eligible candidates using a multi-factor mathematical formulation (Trust: 40%, Reputation: 30%, Success: 20%, Latency: 10%), producing a top recommended candidate with mathematical explainability chips.</w:t>
            </w:r>
          </w:p>
        </w:tc>
      </w:tr>
    </w:tbl>
    <w:p>
      <w:pPr>
        <w:spacing w:before="0" w:after="80"/>
      </w:pPr>
    </w:p>
    <w:p>
      <w:pPr>
        <w:spacing w:before="40" w:after="20"/>
      </w:pPr>
      <w:r>
        <w:rPr>
          <w:rFonts w:ascii="Consolas" w:hAnsi="Consolas"/>
          <w:b/>
          <w:color w:val="1E293B"/>
          <w:sz w:val="18"/>
        </w:rPr>
        <w:t>Technical Codebase Anchor: akta/vdr/registry_router.py (/discover vs /match), frontend/src/components/DiscoveryCenter.jsx vs MatchingCenter.jsx</w:t>
      </w:r>
    </w:p>
    <w:p>
      <w:pPr>
        <w:spacing w:after="160"/>
      </w:pPr>
      <w:r>
        <w:rPr>
          <w:rFonts w:ascii="Calibri" w:hAnsi="Calibri"/>
          <w:i/>
          <w:color w:val="B91C1C"/>
          <w:sz w:val="19"/>
        </w:rPr>
        <w:t>Defense Caution (What NOT to say): Do not say they are the same thing. Emphasize that Discovery checks inventory eligibility, whereas Matching computes task optimization scores.</w:t>
      </w:r>
    </w:p>
    <w:p>
      <w:pPr>
        <w:spacing w:before="200" w:after="40"/>
      </w:pPr>
      <w:r>
        <w:rPr>
          <w:rFonts w:ascii="Calibri" w:hAnsi="Calibri"/>
          <w:b/>
          <w:color w:val="0F172A"/>
          <w:sz w:val="22"/>
        </w:rPr>
        <w:t>Q16: Explain every term in the composite MatchScore equation.</w:t>
      </w:r>
    </w:p>
    <w:p>
      <w:pPr>
        <w:spacing w:after="80"/>
      </w:pPr>
      <w:r>
        <w:rPr>
          <w:rFonts w:ascii="Calibri" w:hAnsi="Calibri"/>
          <w:i/>
          <w:color w:val="64748B"/>
          <w:sz w:val="18"/>
        </w:rPr>
        <w:t>Domain: Domain 4: Discovery &amp; Multi-Factor Matching   |   Examiner Trap: Probing algorithmic precision.</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The MatchScore equation is: MatchScore = 0.4*T + 0.3*(r/5.0) + 0.2*sigma + 0.1*(1 - lambda). Term 1 (0.4*T) is the agent's normalized temporal trust score [0.0, 1.0] from the EMA engine, representing recent verified behavior. Term 2 (0.3*r/5.0) is historical peer reputation rating r in [1.0, 5.0], normalized to [0.0, 1.0]. Term 3 (0.2*sigma) is the agent's lifetime task success rate (successful_tasks / total_tasks). Term 4 (0.1*(1 - lambda)) is the latency bonus, where lambda is min(latency_ms / 2000, 1.0); faster responses yield lower lambda and higher bonuses. If an agent is QUARANTINED, MatchScore is forced to 0.0.</w:t>
            </w:r>
          </w:p>
        </w:tc>
      </w:tr>
    </w:tbl>
    <w:p>
      <w:pPr>
        <w:spacing w:before="0" w:after="80"/>
      </w:pPr>
    </w:p>
    <w:p>
      <w:pPr>
        <w:spacing w:before="40" w:after="20"/>
      </w:pPr>
      <w:r>
        <w:rPr>
          <w:rFonts w:ascii="Consolas" w:hAnsi="Consolas"/>
          <w:b/>
          <w:color w:val="1E293B"/>
          <w:sz w:val="18"/>
        </w:rPr>
        <w:t>Technical Codebase Anchor: akta/vdr/registry_crud.py (find_best_agent_match), tests/test_platform_features.py</w:t>
      </w:r>
    </w:p>
    <w:p>
      <w:pPr>
        <w:spacing w:after="160"/>
      </w:pPr>
      <w:r>
        <w:rPr>
          <w:rFonts w:ascii="Calibri" w:hAnsi="Calibri"/>
          <w:i/>
          <w:color w:val="B91C1C"/>
          <w:sz w:val="19"/>
        </w:rPr>
        <w:t>Defense Caution (What NOT to say): Make sure you remember all 4 coefficients: 0.4, 0.3, 0.2, 0.1. Note that they sum to exactly 1.0.</w:t>
      </w:r>
    </w:p>
    <w:p>
      <w:pPr>
        <w:spacing w:before="200" w:after="40"/>
      </w:pPr>
      <w:r>
        <w:rPr>
          <w:rFonts w:ascii="Calibri" w:hAnsi="Calibri"/>
          <w:b/>
          <w:color w:val="0F172A"/>
          <w:sz w:val="22"/>
        </w:rPr>
        <w:t>Q17: Why do you divide peer reputation r by 5.0 in the matching formula?</w:t>
      </w:r>
    </w:p>
    <w:p>
      <w:pPr>
        <w:spacing w:after="80"/>
      </w:pPr>
      <w:r>
        <w:rPr>
          <w:rFonts w:ascii="Calibri" w:hAnsi="Calibri"/>
          <w:i/>
          <w:color w:val="64748B"/>
          <w:sz w:val="18"/>
        </w:rPr>
        <w:t>Domain: Domain 4: Discovery &amp; Multi-Factor Matching   |   Examiner Trap: Checking dimensional normalization awareness.</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In multi-criteria decision making, combining attributes with different dimensions or scales produces distorted results. Temporal trust T, success rate sigma, and latency penalty lambda are all normalized within the unit interval [0.0, 1.0]. Because peer ratings in our system follow the 5-star rating convention [1.0, 5.0], dividing by 5.0 maps the reputation dimension into the identical [0.2, 1.0] scale, ensuring that the 0.3 weighting factor reflects its intended mathematical proportion.</w:t>
            </w:r>
          </w:p>
        </w:tc>
      </w:tr>
    </w:tbl>
    <w:p>
      <w:pPr>
        <w:spacing w:before="0" w:after="80"/>
      </w:pPr>
    </w:p>
    <w:p>
      <w:pPr>
        <w:spacing w:before="40" w:after="20"/>
      </w:pPr>
      <w:r>
        <w:rPr>
          <w:rFonts w:ascii="Consolas" w:hAnsi="Consolas"/>
          <w:b/>
          <w:color w:val="1E293B"/>
          <w:sz w:val="18"/>
        </w:rPr>
        <w:t>Technical Codebase Anchor: akta/vdr/registry_crud.py (find_best_agent_match)</w:t>
      </w:r>
    </w:p>
    <w:p>
      <w:pPr>
        <w:spacing w:after="160"/>
      </w:pPr>
      <w:r>
        <w:rPr>
          <w:rFonts w:ascii="Calibri" w:hAnsi="Calibri"/>
          <w:i/>
          <w:color w:val="B91C1C"/>
          <w:sz w:val="19"/>
        </w:rPr>
        <w:t>Defense Caution (What NOT to say): Do not say 5.0 is an arbitrary number. State clearly it normalizes 5-star ratings to unit scale.</w:t>
      </w:r>
    </w:p>
    <w:p>
      <w:pPr>
        <w:spacing w:before="200" w:after="40"/>
      </w:pPr>
      <w:r>
        <w:rPr>
          <w:rFonts w:ascii="Calibri" w:hAnsi="Calibri"/>
          <w:b/>
          <w:color w:val="0F172A"/>
          <w:sz w:val="22"/>
        </w:rPr>
        <w:t>Q18: What happens in the Matching Center if no agent meets the minimum trust threshold?</w:t>
      </w:r>
    </w:p>
    <w:p>
      <w:pPr>
        <w:spacing w:after="80"/>
      </w:pPr>
      <w:r>
        <w:rPr>
          <w:rFonts w:ascii="Calibri" w:hAnsi="Calibri"/>
          <w:i/>
          <w:color w:val="64748B"/>
          <w:sz w:val="18"/>
        </w:rPr>
        <w:t>Domain: Domain 4: Discovery &amp; Multi-Factor Matching   |   Examiner Trap: Testing edge case handling and user feedback.</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If no registered agent satisfies both the capability requirement and the requested minimum trust threshold, the Matching endpoint returns an empty candidate list with an explanatory message: 'No eligible candidates found meeting the trust and capability criteria.' In the frontend MatchingCenter component, an amber alert card is displayed advising the operator to lower the threshold slider or verify agent health in the Agent Explorer, and the Ineligible Candidates accordion lists the exact exclusion reasons for all registered agents.</w:t>
            </w:r>
          </w:p>
        </w:tc>
      </w:tr>
    </w:tbl>
    <w:p>
      <w:pPr>
        <w:spacing w:before="0" w:after="80"/>
      </w:pPr>
    </w:p>
    <w:p>
      <w:pPr>
        <w:spacing w:before="40" w:after="20"/>
      </w:pPr>
      <w:r>
        <w:rPr>
          <w:rFonts w:ascii="Consolas" w:hAnsi="Consolas"/>
          <w:b/>
          <w:color w:val="1E293B"/>
          <w:sz w:val="18"/>
        </w:rPr>
        <w:t>Technical Codebase Anchor: akta/vdr/registry_crud.py (find_best_agent_match), frontend/src/components/MatchingCenter.jsx</w:t>
      </w:r>
    </w:p>
    <w:p>
      <w:pPr>
        <w:spacing w:after="160"/>
      </w:pPr>
      <w:r>
        <w:rPr>
          <w:rFonts w:ascii="Calibri" w:hAnsi="Calibri"/>
          <w:i/>
          <w:color w:val="B91C1C"/>
          <w:sz w:val="19"/>
        </w:rPr>
        <w:t>Defense Caution (What NOT to say): Do not say the system crashes or picks the closest one anyway. Zero-trust guarantees that failing thresholds prevents task assignment.</w:t>
      </w:r>
    </w:p>
    <w:p>
      <w:pPr>
        <w:spacing w:before="200" w:after="40"/>
      </w:pPr>
      <w:r>
        <w:rPr>
          <w:rFonts w:ascii="Calibri" w:hAnsi="Calibri"/>
          <w:b/>
          <w:color w:val="0F172A"/>
          <w:sz w:val="22"/>
        </w:rPr>
        <w:t>Q19: How do two agents mutually authenticate during a collaboration session?</w:t>
      </w:r>
    </w:p>
    <w:p>
      <w:pPr>
        <w:spacing w:after="80"/>
      </w:pPr>
      <w:r>
        <w:rPr>
          <w:rFonts w:ascii="Calibri" w:hAnsi="Calibri"/>
          <w:i/>
          <w:color w:val="64748B"/>
          <w:sz w:val="18"/>
        </w:rPr>
        <w:t>Domain: Domain 5: Collaboration &amp; Orchestration   |   Examiner Trap: Testing bilateral protocol security.</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When Agent A requests collaboration with Agent B via POST /api/v1/collaboration/initiate, the gateway checks both agents' DIDs. Agent A presents its signed session payload and its Verifiable Credential. The gateway resolves both public keys using their did:key strings, verifies cryptographic signatures, and queries agent_trust_states to confirm both agents are currently in TRUSTED state (T &gt;= 0.80). Upon mutual validation, the gateway issues a signed session_token and records the session in collaboration_sessions with status PENDING, transitioning to ACTIVE once Agent B accepts the handshake.</w:t>
            </w:r>
          </w:p>
        </w:tc>
      </w:tr>
    </w:tbl>
    <w:p>
      <w:pPr>
        <w:spacing w:before="0" w:after="80"/>
      </w:pPr>
    </w:p>
    <w:p>
      <w:pPr>
        <w:spacing w:before="40" w:after="20"/>
      </w:pPr>
      <w:r>
        <w:rPr>
          <w:rFonts w:ascii="Consolas" w:hAnsi="Consolas"/>
          <w:b/>
          <w:color w:val="1E293B"/>
          <w:sz w:val="18"/>
        </w:rPr>
        <w:t>Technical Codebase Anchor: akta/collaboration_router.py (initiate_session), akta/vdr/models.py (CollaborationSession)</w:t>
      </w:r>
    </w:p>
    <w:p>
      <w:pPr>
        <w:spacing w:after="160"/>
      </w:pPr>
      <w:r>
        <w:rPr>
          <w:rFonts w:ascii="Calibri" w:hAnsi="Calibri"/>
          <w:i/>
          <w:color w:val="B91C1C"/>
          <w:sz w:val="19"/>
        </w:rPr>
        <w:t>Defense Caution (What NOT to say): Do not say the agents connect directly peer-to-peer over WebRTC. The gateway coordinates the session in this capstone implementation.</w:t>
      </w:r>
    </w:p>
    <w:p>
      <w:pPr>
        <w:spacing w:before="200" w:after="40"/>
      </w:pPr>
      <w:r>
        <w:rPr>
          <w:rFonts w:ascii="Calibri" w:hAnsi="Calibri"/>
          <w:b/>
          <w:color w:val="0F172A"/>
          <w:sz w:val="22"/>
        </w:rPr>
        <w:t>Q20: How does TrustChain-AI handle an agent that crashes or degrades during a multi-step workflow?</w:t>
      </w:r>
    </w:p>
    <w:p>
      <w:pPr>
        <w:spacing w:after="80"/>
      </w:pPr>
      <w:r>
        <w:rPr>
          <w:rFonts w:ascii="Calibri" w:hAnsi="Calibri"/>
          <w:i/>
          <w:color w:val="64748B"/>
          <w:sz w:val="18"/>
        </w:rPr>
        <w:t>Domain: Domain 5: Collaboration &amp; Orchestration   |   Examiner Trap: Testing pipeline failure handling and atomicity.</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Workflows execute through ordered nodes in the workflow_nodes table. Before each node executes, the orchestrator performs an adaptive authorization check against the executing agent's live trust state. If an agent fails to return a valid response, times out, or experiences trust decay that pushes it into QUARANTINED, the orchestrator immediately halts the pipeline, marks the workflow status as FAILED, logs a security audit event in security_audit_events, and prevents subsequent nodes from consuming corrupted intermediate data.</w:t>
            </w:r>
          </w:p>
        </w:tc>
      </w:tr>
    </w:tbl>
    <w:p>
      <w:pPr>
        <w:spacing w:before="0" w:after="80"/>
      </w:pPr>
    </w:p>
    <w:p>
      <w:pPr>
        <w:spacing w:before="40" w:after="20"/>
      </w:pPr>
      <w:r>
        <w:rPr>
          <w:rFonts w:ascii="Consolas" w:hAnsi="Consolas"/>
          <w:b/>
          <w:color w:val="1E293B"/>
          <w:sz w:val="18"/>
        </w:rPr>
        <w:t>Technical Codebase Anchor: akta/collaboration_router.py (execute_workflow), tests/test_collaboration.py</w:t>
      </w:r>
    </w:p>
    <w:p>
      <w:pPr>
        <w:spacing w:after="160"/>
      </w:pPr>
      <w:r>
        <w:rPr>
          <w:rFonts w:ascii="Calibri" w:hAnsi="Calibri"/>
          <w:i/>
          <w:color w:val="B91C1C"/>
          <w:sz w:val="19"/>
        </w:rPr>
        <w:t>Defense Caution (What NOT to say): Do not claim automatic retry on a different agent unless implemented. Acknowledge that current implementation halts cleanly with an audit log.</w:t>
      </w:r>
    </w:p>
    <w:p>
      <w:pPr>
        <w:spacing w:before="200" w:after="40"/>
      </w:pPr>
      <w:r>
        <w:rPr>
          <w:rFonts w:ascii="Calibri" w:hAnsi="Calibri"/>
          <w:b/>
          <w:color w:val="0F172A"/>
          <w:sz w:val="22"/>
        </w:rPr>
        <w:t>Q21: What is the purpose of LocalAgentConnector in your test suite?</w:t>
      </w:r>
    </w:p>
    <w:p>
      <w:pPr>
        <w:spacing w:after="80"/>
      </w:pPr>
      <w:r>
        <w:rPr>
          <w:rFonts w:ascii="Calibri" w:hAnsi="Calibri"/>
          <w:i/>
          <w:color w:val="64748B"/>
          <w:sz w:val="18"/>
        </w:rPr>
        <w:t>Domain: Domain 5: Collaboration &amp; Orchestration   |   Examiner Trap: Testing your understanding of simulation vs live testing.</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LocalAgentConnector in akta/connectors/local.py is our deterministic simulation harness. Relying on live external commercial LLM APIs (such as OpenAI or Anthropic) for automated test suites introduces severe issues: API network timeouts, non-deterministic stochastic outputs, monetary billing costs per test run, and external rate limits. LocalAgentConnector allows us to inject parameterized payloads, simulate realistic microsecond response delays, and test error/injection fault scenarios deterministically, ensuring all 80 automated unit tests execute reliably in under 20 seconds with 100% reproducibility.</w:t>
            </w:r>
          </w:p>
        </w:tc>
      </w:tr>
    </w:tbl>
    <w:p>
      <w:pPr>
        <w:spacing w:before="0" w:after="80"/>
      </w:pPr>
    </w:p>
    <w:p>
      <w:pPr>
        <w:spacing w:before="40" w:after="20"/>
      </w:pPr>
      <w:r>
        <w:rPr>
          <w:rFonts w:ascii="Consolas" w:hAnsi="Consolas"/>
          <w:b/>
          <w:color w:val="1E293B"/>
          <w:sz w:val="18"/>
        </w:rPr>
        <w:t>Technical Codebase Anchor: akta/connectors/local.py (LocalAgentConnector), tests/test_collaboration.py</w:t>
      </w:r>
    </w:p>
    <w:p>
      <w:pPr>
        <w:spacing w:after="160"/>
      </w:pPr>
      <w:r>
        <w:rPr>
          <w:rFonts w:ascii="Calibri" w:hAnsi="Calibri"/>
          <w:i/>
          <w:color w:val="B91C1C"/>
          <w:sz w:val="19"/>
        </w:rPr>
        <w:t>Defense Caution (What NOT to say): Never claim you are running a live 70-billion parameter LLM locally. State clearly that LocalAgentConnector provides structured deterministic simulation.</w:t>
      </w:r>
    </w:p>
    <w:p>
      <w:pPr>
        <w:spacing w:before="200" w:after="40"/>
      </w:pPr>
      <w:r>
        <w:rPr>
          <w:rFonts w:ascii="Calibri" w:hAnsi="Calibri"/>
          <w:b/>
          <w:color w:val="0F172A"/>
          <w:sz w:val="22"/>
        </w:rPr>
        <w:t>Q22: Why does the project title mention 'Decentralized' if you use a local SQLite database?</w:t>
      </w:r>
    </w:p>
    <w:p>
      <w:pPr>
        <w:spacing w:after="80"/>
      </w:pPr>
      <w:r>
        <w:rPr>
          <w:rFonts w:ascii="Calibri" w:hAnsi="Calibri"/>
          <w:i/>
          <w:color w:val="64748B"/>
          <w:sz w:val="18"/>
        </w:rPr>
        <w:t>Domain: Domain 6: Storage &amp; VDR Architecture   |   Examiner Trap: A classic trap question challenging the word 'Decentralized'.</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The 'Decentralized' in TrustChain-AI refers primarily to our Cryptographic Identity Layer and Trust Governance model. Agent identities are W3C did:key decentralized identifiers generated algorithmically using Ed25519 public keys without relying on a central Certificate Authority (CA), DNS registrar, or proprietary identity provider. Furthermore, per W3C DID Core specifications, a Verifiable Data Registry (VDR) is an abstract interface role. In our capstone, SQLite in WAL mode implements this interface locally to provide deterministic ACID guarantees and sub-millisecond latencies. Deploying this exact VDR interface onto a decentralized ledger (such as Hedera Hashgraph or Tendermint) represents the natural next step in our multi-node roadmap.</w:t>
            </w:r>
          </w:p>
        </w:tc>
      </w:tr>
    </w:tbl>
    <w:p>
      <w:pPr>
        <w:spacing w:before="0" w:after="80"/>
      </w:pPr>
    </w:p>
    <w:p>
      <w:pPr>
        <w:spacing w:before="40" w:after="20"/>
      </w:pPr>
      <w:r>
        <w:rPr>
          <w:rFonts w:ascii="Consolas" w:hAnsi="Consolas"/>
          <w:b/>
          <w:color w:val="1E293B"/>
          <w:sz w:val="18"/>
        </w:rPr>
        <w:t>Technical Codebase Anchor: akta/did.py, akta/vdr/models.py, docs/blackbook/TrustChain_AI_Blackbook_Part2.md</w:t>
      </w:r>
    </w:p>
    <w:p>
      <w:pPr>
        <w:spacing w:after="160"/>
      </w:pPr>
      <w:r>
        <w:rPr>
          <w:rFonts w:ascii="Calibri" w:hAnsi="Calibri"/>
          <w:i/>
          <w:color w:val="B91C1C"/>
          <w:sz w:val="19"/>
        </w:rPr>
        <w:t>Defense Caution (What NOT to say): Never pretend SQLite is a blockchain. Acknowledge the architectural distinction immediately and explain that decentralization lives at the identity layer.</w:t>
      </w:r>
    </w:p>
    <w:p>
      <w:pPr>
        <w:spacing w:before="200" w:after="40"/>
      </w:pPr>
      <w:r>
        <w:rPr>
          <w:rFonts w:ascii="Calibri" w:hAnsi="Calibri"/>
          <w:b/>
          <w:color w:val="0F172A"/>
          <w:sz w:val="22"/>
        </w:rPr>
        <w:t>Q23: How does SQLite Write-Ahead Logging (WAL) improve registry performance?</w:t>
      </w:r>
    </w:p>
    <w:p>
      <w:pPr>
        <w:spacing w:after="80"/>
      </w:pPr>
      <w:r>
        <w:rPr>
          <w:rFonts w:ascii="Calibri" w:hAnsi="Calibri"/>
          <w:i/>
          <w:color w:val="64748B"/>
          <w:sz w:val="18"/>
        </w:rPr>
        <w:t>Domain: Domain 6: Storage &amp; VDR Architecture   |   Examiner Trap: Testing database engine knowledge.</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In traditional SQLite rollback journal mode, write operations lock the entire database, blocking concurrent readers and causing lock contention. By executing PRAGMA journal_mode=WAL and PRAGMA synchronous=NORMAL, SQLite writes changes to an append-only .wal file while reading from the main database file. This enables true concurrent execution: readers do not block writers, and writers do not block readers. In our high-frequency agent telemetry tests, this reduced transaction latencies from over 45 milliseconds down to under 3 milliseconds per write.</w:t>
            </w:r>
          </w:p>
        </w:tc>
      </w:tr>
    </w:tbl>
    <w:p>
      <w:pPr>
        <w:spacing w:before="0" w:after="80"/>
      </w:pPr>
    </w:p>
    <w:p>
      <w:pPr>
        <w:spacing w:before="40" w:after="20"/>
      </w:pPr>
      <w:r>
        <w:rPr>
          <w:rFonts w:ascii="Consolas" w:hAnsi="Consolas"/>
          <w:b/>
          <w:color w:val="1E293B"/>
          <w:sz w:val="18"/>
        </w:rPr>
        <w:t>Technical Codebase Anchor: akta/vdr/database.py (engine configuration), tests/test_platform_features.py</w:t>
      </w:r>
    </w:p>
    <w:p>
      <w:pPr>
        <w:spacing w:after="160"/>
      </w:pPr>
      <w:r>
        <w:rPr>
          <w:rFonts w:ascii="Calibri" w:hAnsi="Calibri"/>
          <w:i/>
          <w:color w:val="B91C1C"/>
          <w:sz w:val="19"/>
        </w:rPr>
        <w:t>Defense Caution (What NOT to say): Do not say WAL makes SQLite a multi-server database. It is still single-node local storage.</w:t>
      </w:r>
    </w:p>
    <w:p>
      <w:pPr>
        <w:spacing w:before="200" w:after="40"/>
      </w:pPr>
      <w:r>
        <w:rPr>
          <w:rFonts w:ascii="Calibri" w:hAnsi="Calibri"/>
          <w:b/>
          <w:color w:val="0F172A"/>
          <w:sz w:val="22"/>
        </w:rPr>
        <w:t>Q24: What are the four dimensions of auditability in your schema?</w:t>
      </w:r>
    </w:p>
    <w:p>
      <w:pPr>
        <w:spacing w:after="80"/>
      </w:pPr>
      <w:r>
        <w:rPr>
          <w:rFonts w:ascii="Calibri" w:hAnsi="Calibri"/>
          <w:i/>
          <w:color w:val="64748B"/>
          <w:sz w:val="18"/>
        </w:rPr>
        <w:t>Domain: Domain 6: Storage &amp; VDR Architecture   |   Examiner Trap: Testing schema knowledge and forensic capabilities.</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Our schema maintains four dedicated audit dimensions: Dimension 1 is stored_vcs, capturing credential issuance, cryptographic signatures, authorized claims, and revocation timestamps. Dimension 2 is trust_audit_trails, recording immutable state transitions (old_score, new_score, old_state, new_state, trigger_reason, timestamp). Dimension 3 is telemetry_logs, capturing every granular interaction metric (success, compliance, latency, input hashes, sensor signature). Dimension 4 is security_audit_events, recording security gateway events such as login attempts, account lockouts, RBAC violations, and adaptive policy rejection intercepts.</w:t>
            </w:r>
          </w:p>
        </w:tc>
      </w:tr>
    </w:tbl>
    <w:p>
      <w:pPr>
        <w:spacing w:before="0" w:after="80"/>
      </w:pPr>
    </w:p>
    <w:p>
      <w:pPr>
        <w:spacing w:before="40" w:after="20"/>
      </w:pPr>
      <w:r>
        <w:rPr>
          <w:rFonts w:ascii="Consolas" w:hAnsi="Consolas"/>
          <w:b/>
          <w:color w:val="1E293B"/>
          <w:sz w:val="18"/>
        </w:rPr>
        <w:t>Technical Codebase Anchor: akta/vdr/models.py (StoredVC, TrustAuditTrail, TelemetryLog, SecurityAuditEvent)</w:t>
      </w:r>
    </w:p>
    <w:p>
      <w:pPr>
        <w:spacing w:after="160"/>
      </w:pPr>
      <w:r>
        <w:rPr>
          <w:rFonts w:ascii="Calibri" w:hAnsi="Calibri"/>
          <w:i/>
          <w:color w:val="B91C1C"/>
          <w:sz w:val="19"/>
        </w:rPr>
        <w:t>Defense Caution (What NOT to say): List all four exact table names. Do not give vague answers like 'we log everything'.</w:t>
      </w:r>
    </w:p>
    <w:p>
      <w:pPr>
        <w:spacing w:before="200" w:after="40"/>
      </w:pPr>
      <w:r>
        <w:rPr>
          <w:rFonts w:ascii="Calibri" w:hAnsi="Calibri"/>
          <w:b/>
          <w:color w:val="0F172A"/>
          <w:sz w:val="22"/>
        </w:rPr>
        <w:t>Q25: Why did you build a custom React 19 SOC dashboard instead of using an off-the-shelf admin template?</w:t>
      </w:r>
    </w:p>
    <w:p>
      <w:pPr>
        <w:spacing w:after="80"/>
      </w:pPr>
      <w:r>
        <w:rPr>
          <w:rFonts w:ascii="Calibri" w:hAnsi="Calibri"/>
          <w:i/>
          <w:color w:val="64748B"/>
          <w:sz w:val="18"/>
        </w:rPr>
        <w:t>Domain: Domain 7: Frontend &amp; Human-in-the-Loop Governance   |   Examiner Trap: Evaluating frontend engineering effort and domain specificity.</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Generic admin templates are designed for standard CRUD entities (users, orders, products) and lack the domain-specific components required for autonomous agent governance. Our SOC dashboard features purpose-built interactive components: real-time trust state badges with animated pulse indicators, an interactive 5-tab slide-over investigation drawer for deep DID forensics, dynamic threshold sliders with immediate eligibility reclassification, and mathematical explainability chips showing exact multi-factor breakdowns. Furthermore, building on React 19 and Vite guarantees high performance, modern hook architectures, and clean component isolation.</w:t>
            </w:r>
          </w:p>
        </w:tc>
      </w:tr>
    </w:tbl>
    <w:p>
      <w:pPr>
        <w:spacing w:before="0" w:after="80"/>
      </w:pPr>
    </w:p>
    <w:p>
      <w:pPr>
        <w:spacing w:before="40" w:after="20"/>
      </w:pPr>
      <w:r>
        <w:rPr>
          <w:rFonts w:ascii="Consolas" w:hAnsi="Consolas"/>
          <w:b/>
          <w:color w:val="1E293B"/>
          <w:sz w:val="18"/>
        </w:rPr>
        <w:t>Technical Codebase Anchor: frontend/src/components/ (AgentDrawer.jsx, DiscoveryCenter.jsx, MatchingCenter.jsx, UserManagement.jsx)</w:t>
      </w:r>
    </w:p>
    <w:p>
      <w:pPr>
        <w:spacing w:after="160"/>
      </w:pPr>
      <w:r>
        <w:rPr>
          <w:rFonts w:ascii="Calibri" w:hAnsi="Calibri"/>
          <w:i/>
          <w:color w:val="B91C1C"/>
          <w:sz w:val="19"/>
        </w:rPr>
        <w:t>Defense Caution (What NOT to say): Do not claim you designed Tailwind CSS from scratch. State that you created custom React components styled with Tailwind.</w:t>
      </w:r>
    </w:p>
    <w:p>
      <w:pPr>
        <w:spacing w:before="200" w:after="40"/>
      </w:pPr>
      <w:r>
        <w:rPr>
          <w:rFonts w:ascii="Calibri" w:hAnsi="Calibri"/>
          <w:b/>
          <w:color w:val="0F172A"/>
          <w:sz w:val="22"/>
        </w:rPr>
        <w:t>Q26: What happens when an operator clicks 'INVESTIGATE' on the Agent Explorer page?</w:t>
      </w:r>
    </w:p>
    <w:p>
      <w:pPr>
        <w:spacing w:after="80"/>
      </w:pPr>
      <w:r>
        <w:rPr>
          <w:rFonts w:ascii="Calibri" w:hAnsi="Calibri"/>
          <w:i/>
          <w:color w:val="64748B"/>
          <w:sz w:val="18"/>
        </w:rPr>
        <w:t>Domain: Domain 7: Frontend &amp; Human-in-the-Loop Governance   |   Examiner Trap: Checking end-to-end integration across frontend and backend.</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Clicking 'INVESTIGATE' on an AgentCard dispatches an asynchronous call to GET /api/v1/registry/agents/{did}/details. The backend aggregates the agent's registration record, current trust score, historical audit trail, recent telemetry events, and active Verifiable Credentials into a unified JSON payload. The frontend renders this data inside the AgentDrawer component, sliding out from the right screen edge. The operator can navigate across five tabs (Overview, Trust History, Telemetry Stream, Verifiable Credentials, and Actions) without navigating away from the current page.</w:t>
            </w:r>
          </w:p>
        </w:tc>
      </w:tr>
    </w:tbl>
    <w:p>
      <w:pPr>
        <w:spacing w:before="0" w:after="80"/>
      </w:pPr>
    </w:p>
    <w:p>
      <w:pPr>
        <w:spacing w:before="40" w:after="20"/>
      </w:pPr>
      <w:r>
        <w:rPr>
          <w:rFonts w:ascii="Consolas" w:hAnsi="Consolas"/>
          <w:b/>
          <w:color w:val="1E293B"/>
          <w:sz w:val="18"/>
        </w:rPr>
        <w:t>Technical Codebase Anchor: frontend/src/components/AgentDrawer.jsx, akta/vdr/registry_router.py (get_agent_details), tests/test_investigation_discovery_matching.py</w:t>
      </w:r>
    </w:p>
    <w:p>
      <w:pPr>
        <w:spacing w:after="160"/>
      </w:pPr>
      <w:r>
        <w:rPr>
          <w:rFonts w:ascii="Calibri" w:hAnsi="Calibri"/>
          <w:i/>
          <w:color w:val="B91C1C"/>
          <w:sz w:val="19"/>
        </w:rPr>
        <w:t>Defense Caution (What NOT to say): Do not say it opens a new browser window. It is an in-page slide-over drawer.</w:t>
      </w:r>
    </w:p>
    <w:p>
      <w:pPr>
        <w:spacing w:before="200" w:after="40"/>
      </w:pPr>
      <w:r>
        <w:rPr>
          <w:rFonts w:ascii="Calibri" w:hAnsi="Calibri"/>
          <w:b/>
          <w:color w:val="0F172A"/>
          <w:sz w:val="22"/>
        </w:rPr>
        <w:t>Q27: How does your UI reflect the VIEWER role compared to OPERATOR or ADMIN?</w:t>
      </w:r>
    </w:p>
    <w:p>
      <w:pPr>
        <w:spacing w:after="80"/>
      </w:pPr>
      <w:r>
        <w:rPr>
          <w:rFonts w:ascii="Calibri" w:hAnsi="Calibri"/>
          <w:i/>
          <w:color w:val="64748B"/>
          <w:sz w:val="18"/>
        </w:rPr>
        <w:t>Domain: Domain 7: Frontend &amp; Human-in-the-Loop Governance   |   Examiner Trap: Testing RBAC UI/UX integration and recent visual refinements.</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In our UserManagement component, role badges are styled with distinct semantic themes: ADMIN uses purple (#F3E8FF/#7E22CE), OPERATOR uses green (#DCFCE7/#15803D), and VIEWER uses a clean enterprise blue badge (#EAF3FF background, #1D4ED8 text, #BFDBFE border, 6px radius, uppercase). Functionally, a user logged in with the VIEWER role enjoys complete read-only observability across the dashboard, discovery, and matching centers, but administrative action buttons (such as manual trust adjustment, credential revocation, or role editing) are disabled or hidden, and backend RBAC strictly rejects any unauthorized mutation requests.</w:t>
            </w:r>
          </w:p>
        </w:tc>
      </w:tr>
    </w:tbl>
    <w:p>
      <w:pPr>
        <w:spacing w:before="0" w:after="80"/>
      </w:pPr>
    </w:p>
    <w:p>
      <w:pPr>
        <w:spacing w:before="40" w:after="20"/>
      </w:pPr>
      <w:r>
        <w:rPr>
          <w:rFonts w:ascii="Consolas" w:hAnsi="Consolas"/>
          <w:b/>
          <w:color w:val="1E293B"/>
          <w:sz w:val="18"/>
        </w:rPr>
        <w:t>Technical Codebase Anchor: frontend/src/components/UserManagement.jsx, frontend/src/context/AuthContext.jsx</w:t>
      </w:r>
    </w:p>
    <w:p>
      <w:pPr>
        <w:spacing w:after="160"/>
      </w:pPr>
      <w:r>
        <w:rPr>
          <w:rFonts w:ascii="Calibri" w:hAnsi="Calibri"/>
          <w:i/>
          <w:color w:val="B91C1C"/>
          <w:sz w:val="19"/>
        </w:rPr>
        <w:t>Defense Caution (What NOT to say): Reiterate that hiding buttons in the UI is a user experience feature; security is strictly enforced on the backend.</w:t>
      </w:r>
    </w:p>
    <w:p>
      <w:pPr>
        <w:spacing w:before="200" w:after="40"/>
      </w:pPr>
      <w:r>
        <w:rPr>
          <w:rFonts w:ascii="Calibri" w:hAnsi="Calibri"/>
          <w:b/>
          <w:color w:val="0F172A"/>
          <w:sz w:val="22"/>
        </w:rPr>
        <w:t>Q28: How do you prove that your 80 automated tests are meaningful and not trivial assert True tests?</w:t>
      </w:r>
    </w:p>
    <w:p>
      <w:pPr>
        <w:spacing w:after="80"/>
      </w:pPr>
      <w:r>
        <w:rPr>
          <w:rFonts w:ascii="Calibri" w:hAnsi="Calibri"/>
          <w:i/>
          <w:color w:val="64748B"/>
          <w:sz w:val="18"/>
        </w:rPr>
        <w:t>Domain: Domain 8: Empirical Testing, Limitations &amp; Future Scope   |   Examiner Trap: Challenging the validity and rigor of your test suite.</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Our 80 automated pytest tests execute rigorous negative and boundary tests against actual business logic. For example: in test_crypto.py, we assert that altering a single byte in an Ed25519 signature causes BadSignatureError. In test_vc.py, we mutate credential claims and assert cryptographic verification failure. In test_trust_engine.py, we assert exact mathematical values for EMA degradation and boundary state transitions across SUSPICIOUS and QUARANTINED. In test_adaptive_auth.py, we assert that privileged operations return HTTP 403 when trust is 0.79. Every test performs deep functional assertions against live in-memory SQLite fixtures and cryptographic libraries.</w:t>
            </w:r>
          </w:p>
        </w:tc>
      </w:tr>
    </w:tbl>
    <w:p>
      <w:pPr>
        <w:spacing w:before="0" w:after="80"/>
      </w:pPr>
    </w:p>
    <w:p>
      <w:pPr>
        <w:spacing w:before="40" w:after="20"/>
      </w:pPr>
      <w:r>
        <w:rPr>
          <w:rFonts w:ascii="Consolas" w:hAnsi="Consolas"/>
          <w:b/>
          <w:color w:val="1E293B"/>
          <w:sz w:val="18"/>
        </w:rPr>
        <w:t>Technical Codebase Anchor: tests/ (test_crypto.py, test_vc.py, test_trust_engine.py, test_adaptive_auth.py, etc.)</w:t>
      </w:r>
    </w:p>
    <w:p>
      <w:pPr>
        <w:spacing w:after="160"/>
      </w:pPr>
      <w:r>
        <w:rPr>
          <w:rFonts w:ascii="Calibri" w:hAnsi="Calibri"/>
          <w:i/>
          <w:color w:val="B91C1C"/>
          <w:sz w:val="19"/>
        </w:rPr>
        <w:t>Defense Caution (What NOT to say): Offer to run pytest right now during the viva. The 80 tests execute live in under 20 seconds.</w:t>
      </w:r>
    </w:p>
    <w:p>
      <w:pPr>
        <w:spacing w:before="200" w:after="40"/>
      </w:pPr>
      <w:r>
        <w:rPr>
          <w:rFonts w:ascii="Calibri" w:hAnsi="Calibri"/>
          <w:b/>
          <w:color w:val="0F172A"/>
          <w:sz w:val="22"/>
        </w:rPr>
        <w:t>Q29: If a transient network spike causes a latency timeout, won't your system unfairly quarantine a good agent?</w:t>
      </w:r>
    </w:p>
    <w:p>
      <w:pPr>
        <w:spacing w:after="80"/>
      </w:pPr>
      <w:r>
        <w:rPr>
          <w:rFonts w:ascii="Calibri" w:hAnsi="Calibri"/>
          <w:i/>
          <w:color w:val="64748B"/>
          <w:sz w:val="18"/>
        </w:rPr>
        <w:t>Domain: Domain 8: Empirical Testing, Limitations &amp; Future Scope   |   Examiner Trap: Testing edge-case robustness and false positive risk awareness.</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This is precisely why we implemented Exponential Moving Average (EMA) smoothing rather than instantaneous cutoff. In our performance formula, Latency is assigned only a 10% weight (0.1). If a fully trusted agent (T=1.00) suffers a severe latency spike (latency &gt; 2000ms, L=1.0) while maintaining perfect success (S=1.0) and compliance (C=1.0), its instantaneous performance only drops from 1.0 to 0.90. Applying EMA: T_1 = 0.7*1.0 + 0.3*0.90 = 0.970. The agent remains firmly in the TRUSTED state (T &gt;= 0.80). A single transient spike cannot cause quarantine. Quarantine requires persistent, systemic failure over multiple evaluation cycles.</w:t>
            </w:r>
          </w:p>
        </w:tc>
      </w:tr>
    </w:tbl>
    <w:p>
      <w:pPr>
        <w:spacing w:before="0" w:after="80"/>
      </w:pPr>
    </w:p>
    <w:p>
      <w:pPr>
        <w:spacing w:before="40" w:after="20"/>
      </w:pPr>
      <w:r>
        <w:rPr>
          <w:rFonts w:ascii="Consolas" w:hAnsi="Consolas"/>
          <w:b/>
          <w:color w:val="1E293B"/>
          <w:sz w:val="18"/>
        </w:rPr>
        <w:t>Technical Codebase Anchor: akta/trust_engine.py (compute_instantaneous_performance, update_trust_score)</w:t>
      </w:r>
    </w:p>
    <w:p>
      <w:pPr>
        <w:spacing w:after="160"/>
      </w:pPr>
      <w:r>
        <w:rPr>
          <w:rFonts w:ascii="Calibri" w:hAnsi="Calibri"/>
          <w:i/>
          <w:color w:val="B91C1C"/>
          <w:sz w:val="19"/>
        </w:rPr>
        <w:t>Defense Caution (What NOT to say): Walk through the math calmly. Showing that 0.970 &gt; 0.80 decisively proves that single network spikes do not trigger false quarantines.</w:t>
      </w:r>
    </w:p>
    <w:p>
      <w:pPr>
        <w:spacing w:before="200" w:after="40"/>
      </w:pPr>
      <w:r>
        <w:rPr>
          <w:rFonts w:ascii="Calibri" w:hAnsi="Calibri"/>
          <w:b/>
          <w:color w:val="0F172A"/>
          <w:sz w:val="22"/>
        </w:rPr>
        <w:t>Q30: What are the three most critical research limitations of TrustChain-AI today?</w:t>
      </w:r>
    </w:p>
    <w:p>
      <w:pPr>
        <w:spacing w:after="80"/>
      </w:pPr>
      <w:r>
        <w:rPr>
          <w:rFonts w:ascii="Calibri" w:hAnsi="Calibri"/>
          <w:i/>
          <w:color w:val="64748B"/>
          <w:sz w:val="18"/>
        </w:rPr>
        <w:t>Domain: Domain 8: Empirical Testing, Limitations &amp; Future Scope   |   Examiner Trap: Evaluating intellectual maturity and academic honesty.</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We acknowledge three primary limitations candidly: First, our Verifiable Data Registry runs locally on SQLite WAL; scaling across multi-tenant organizations requires deploying this interface onto a distributed Byzantine consensus network like Hedera Hashgraph. Second, our evaluation utilized deterministic agent simulation via LocalAgentConnector; observing stochastic drift in real-world heterogeneous commercial LLMs remains to be quantified. Third, mathematical weighting hyperparameters (such as 0.7/0.3 for EMA and 0.4/0.3/0.2/0.1 for matching) are statically configured; implementing context-aware reinforcement learning to dynamically tune weights based on environmental volatility is a promising avenue for post-capstone research.</w:t>
            </w:r>
          </w:p>
        </w:tc>
      </w:tr>
    </w:tbl>
    <w:p>
      <w:pPr>
        <w:spacing w:before="0" w:after="80"/>
      </w:pPr>
    </w:p>
    <w:p>
      <w:pPr>
        <w:spacing w:before="40" w:after="20"/>
      </w:pPr>
      <w:r>
        <w:rPr>
          <w:rFonts w:ascii="Consolas" w:hAnsi="Consolas"/>
          <w:b/>
          <w:color w:val="1E293B"/>
          <w:sz w:val="18"/>
        </w:rPr>
        <w:t>Technical Codebase Anchor: docs/blackbook/TrustChain_AI_Blackbook_Part2.md (Chapter 6)</w:t>
      </w:r>
    </w:p>
    <w:p>
      <w:pPr>
        <w:spacing w:after="160"/>
      </w:pPr>
      <w:r>
        <w:rPr>
          <w:rFonts w:ascii="Calibri" w:hAnsi="Calibri"/>
          <w:i/>
          <w:color w:val="B91C1C"/>
          <w:sz w:val="19"/>
        </w:rPr>
        <w:t>Defense Caution (What NOT to say): Never claim your project has zero limitations. Examiners respect candidates who identify and defend their own project boundaries.</w:t>
      </w:r>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TrustChain-AI · Final Capstone Presentation Notes &amp; Examiner Defense Guide · SVKM's NMIMS MPSTME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