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32B"/>
          <w:sz w:val="44"/>
        </w:rPr>
        <w:t>TrustChain-AI: Capstone Defense Spoken Script &amp; Speaker Notes</w:t>
      </w:r>
    </w:p>
    <w:p>
      <w:pPr>
        <w:jc w:val="center"/>
      </w:pPr>
      <w:r>
        <w:rPr>
          <w:color w:val="2A4B8D"/>
          <w:sz w:val="22"/>
        </w:rPr>
        <w:t>Slide-by-Slide Word-for-Word Speaking Script, Timing Allocations, and Transition Cues</w:t>
      </w:r>
    </w:p>
    <w:p>
      <w:pPr>
        <w:spacing w:after="200"/>
      </w:pPr>
    </w:p>
    <w:p>
      <w:pPr>
        <w:pStyle w:val="Heading1"/>
      </w:pPr>
      <w:r>
        <w:rPr>
          <w:color w:val="0B132B"/>
          <w:sz w:val="30"/>
        </w:rPr>
        <w:t>Slide 1: Title Slide: Project Identification &amp; Attributions</w:t>
      </w:r>
    </w:p>
    <w:p>
      <w:r>
        <w:rPr>
          <w:b/>
          <w:color w:val="00A8B5"/>
          <w:sz w:val="18"/>
        </w:rPr>
        <w:t>Tracker: B.TECH CAPSTONE DEFENSE · ACADEMIC YEAR 2026–2027  |  Estimated Time: 50–70s</w:t>
        <w:br/>
      </w:r>
      <w:r>
        <w:rPr>
          <w:color w:val="475569"/>
          <w:sz w:val="18"/>
        </w:rPr>
        <w:t>Evidence Base: README.md, pyproject.toml, SVKM's NMIMS MPSTME B.Tech Capstone Guidelines 2026-2027.</w:t>
      </w:r>
    </w:p>
    <w:p>
      <w:pPr>
        <w:pStyle w:val="Heading2"/>
      </w:pPr>
      <w:r>
        <w:rPr>
          <w:color w:val="2A4B8D"/>
          <w:sz w:val="24"/>
        </w:rPr>
        <w:t>Spoken Word-for-Word Script:</w:t>
      </w:r>
    </w:p>
    <w:p>
      <w:pPr>
        <w:ind w:left="288"/>
      </w:pPr>
      <w:r>
        <w:rPr>
          <w:i/>
          <w:color w:val="0B132B"/>
          <w:sz w:val="21"/>
        </w:rPr>
        <w:t>"Good morning, respected members of the evaluation committee, project guide, and external examiner. We are privileged to present our B.Tech final-year capstone project: TrustChain-AI: A Decentralized Trust Intelligence Framework for Secure Autonomous AI Agent Collaboration. In modern enterprise software, autonomous AI agents communicate, delegate sub-tasks, and execute privileged tools without human intervention. However, current systems suffer from a fatal security vulnerability: static point-in-time authentication verifies who an agent is when it connects, but has zero visibility into whether that agent remains safe, reliable, and compliant during execution. TrustChain-AI solves this fundamentally by unifying W3C decentralized public-key identity with continuous mathematical trust scoring and zero-trust policy gating. We have validated our architecture through 80 automated unit tests passing in 15.04 seconds and a full production React 19 SOC portal."</w:t>
      </w:r>
    </w:p>
    <w:p>
      <w:pPr>
        <w:pStyle w:val="Heading2"/>
      </w:pPr>
      <w:r>
        <w:rPr>
          <w:color w:val="2A4B8D"/>
          <w:sz w:val="24"/>
        </w:rPr>
        <w:t>Key Examiner Defense Q&amp;A:</w:t>
      </w:r>
    </w:p>
    <w:p>
      <w:r>
        <w:rPr>
          <w:b/>
          <w:color w:val="B42828"/>
          <w:sz w:val="19"/>
        </w:rPr>
        <w:t>Q: Why did you choose autonomous AI agents rather than traditional microservices for this security framework?</w:t>
        <w:br/>
      </w:r>
      <w:r>
        <w:rPr>
          <w:color w:val="1E293B"/>
          <w:sz w:val="19"/>
        </w:rPr>
        <w:t>A: Traditional microservices execute static, deterministic code where static mTLS certificates and API tokens are sufficient. Autonomous AI agents, however, operate non-deterministically using Large Language Models and tool execution. They can suffer from prompt injection, goal drift, and reasoning hallucination post-authentication. This makes static point-in-time security obsolete and necessitates continuous behavioral trust intelligence.</w:t>
      </w:r>
    </w:p>
    <w:p>
      <w:pPr>
        <w:spacing w:after="200"/>
      </w:pPr>
    </w:p>
    <w:p>
      <w:pPr>
        <w:pStyle w:val="Heading1"/>
      </w:pPr>
      <w:r>
        <w:rPr>
          <w:color w:val="0B132B"/>
          <w:sz w:val="30"/>
        </w:rPr>
        <w:t>Slide 2: Executive Summary &amp; Research Motivation</w:t>
      </w:r>
    </w:p>
    <w:p>
      <w:r>
        <w:rPr>
          <w:b/>
          <w:color w:val="00A8B5"/>
          <w:sz w:val="18"/>
        </w:rPr>
        <w:t>Tracker: RESEARCH MOTIVATION · THE PROBLEM  |  Estimated Time: 50–70s</w:t>
        <w:br/>
      </w:r>
      <w:r>
        <w:rPr>
          <w:color w:val="475569"/>
          <w:sz w:val="18"/>
        </w:rPr>
        <w:t>Evidence Base: docs/blackbook/TrustChain_AI_Blackbook_Part1.md (Chapter 1), NIST SP 800-207 Zero Trust Architecture.</w:t>
      </w:r>
    </w:p>
    <w:p>
      <w:pPr>
        <w:pStyle w:val="Heading2"/>
      </w:pPr>
      <w:r>
        <w:rPr>
          <w:color w:val="2A4B8D"/>
          <w:sz w:val="24"/>
        </w:rPr>
        <w:t>Spoken Word-for-Word Script:</w:t>
      </w:r>
    </w:p>
    <w:p>
      <w:pPr>
        <w:ind w:left="288"/>
      </w:pPr>
      <w:r>
        <w:rPr>
          <w:i/>
          <w:color w:val="0B132B"/>
          <w:sz w:val="21"/>
        </w:rPr>
        <w:t>"Slide 2 establishes the core motivation behind TrustChain-AI. In multi-agent systems, agents are granted expansive access to databases, APIs, and external tools. The fundamental problem is what we term the Point-in-Time Security Failure. Once an agent authenticates at time t=0 using an API key or certificate, the system assumes it will remain trustworthy forever. But autonomous agents are stochastic: an agent can hallucinate, experience prompt injection, or degrade in latency. Under traditional architectures, this drift goes unnoticed until catastrophic damage occurs. TrustChain-AI introduces continuous zero-trust governance: we treat cryptographic identity merely as the initial baseline, while continually evaluating behavioral telemetry to gate access dynamically at runtime."</w:t>
      </w:r>
    </w:p>
    <w:p>
      <w:pPr>
        <w:pStyle w:val="Heading2"/>
      </w:pPr>
      <w:r>
        <w:rPr>
          <w:color w:val="2A4B8D"/>
          <w:sz w:val="24"/>
        </w:rPr>
        <w:t>Key Examiner Defense Q&amp;A:</w:t>
      </w:r>
    </w:p>
    <w:p>
      <w:r>
        <w:rPr>
          <w:b/>
          <w:color w:val="B42828"/>
          <w:sz w:val="19"/>
        </w:rPr>
        <w:t>Q: What is the core vulnerability you are addressing in one sentence?</w:t>
        <w:br/>
      </w:r>
      <w:r>
        <w:rPr>
          <w:color w:val="1E293B"/>
          <w:sz w:val="19"/>
        </w:rPr>
        <w:t>A: We solve the Point-in-Time Security Failure, where existing frameworks verify who an agent is at initial connection (t=0) but remain completely blind when that agent degrades, hallucinates, or acts maliciously during runtime (t &gt; 0).</w:t>
      </w:r>
    </w:p>
    <w:p>
      <w:pPr>
        <w:spacing w:after="200"/>
      </w:pPr>
    </w:p>
    <w:p>
      <w:pPr>
        <w:pStyle w:val="Heading1"/>
      </w:pPr>
      <w:r>
        <w:rPr>
          <w:color w:val="0B132B"/>
          <w:sz w:val="30"/>
        </w:rPr>
        <w:t>Slide 3: Security Failures in Autonomous Multi-Agent Systems</w:t>
      </w:r>
    </w:p>
    <w:p>
      <w:r>
        <w:rPr>
          <w:b/>
          <w:color w:val="00A8B5"/>
          <w:sz w:val="18"/>
        </w:rPr>
        <w:t>Tracker: FAILURE MODES · EMPIRICAL MOTIVATION  |  Estimated Time: 50–70s</w:t>
        <w:br/>
      </w:r>
      <w:r>
        <w:rPr>
          <w:color w:val="475569"/>
          <w:sz w:val="18"/>
        </w:rPr>
        <w:t>Evidence Base: akta/trust_engine.py (degradation math), tests/test_collaboration.py (canary abort verification).</w:t>
      </w:r>
    </w:p>
    <w:p>
      <w:pPr>
        <w:pStyle w:val="Heading2"/>
      </w:pPr>
      <w:r>
        <w:rPr>
          <w:color w:val="2A4B8D"/>
          <w:sz w:val="24"/>
        </w:rPr>
        <w:t>Spoken Word-for-Word Script:</w:t>
      </w:r>
    </w:p>
    <w:p>
      <w:pPr>
        <w:ind w:left="288"/>
      </w:pPr>
      <w:r>
        <w:rPr>
          <w:i/>
          <w:color w:val="0B132B"/>
          <w:sz w:val="21"/>
        </w:rPr>
        <w:t>"On Slide 3, we detail the three critical failure modes that motivate our design. First is the Binary Point-of-Entry Failure: static validation checks keys at connection time, creating a blind spot once access is granted. Second is Post-Authentication Behavioral Drift: autonomous agents are subject to prompt injection and model drift. Even without an adversary, an agent's compliance can degrade over time. Third is Cascading Compromise: in collaborative pipelines, if Agent A is compromised and produces corrupted outputs, downstream Agent B consumes that data and fails as well, causing an uncontained domino effect across the enterprise. TrustChain-AI is specifically engineered to detect and isolate these failures before cascading occurs."</w:t>
      </w:r>
    </w:p>
    <w:p>
      <w:pPr>
        <w:pStyle w:val="Heading2"/>
      </w:pPr>
      <w:r>
        <w:rPr>
          <w:color w:val="2A4B8D"/>
          <w:sz w:val="24"/>
        </w:rPr>
        <w:t>Key Examiner Defense Q&amp;A:</w:t>
      </w:r>
    </w:p>
    <w:p>
      <w:r>
        <w:rPr>
          <w:b/>
          <w:color w:val="B42828"/>
          <w:sz w:val="19"/>
        </w:rPr>
        <w:t>Q: How does cascading compromise happen in multi-agent workflows?</w:t>
        <w:br/>
      </w:r>
      <w:r>
        <w:rPr>
          <w:color w:val="1E293B"/>
          <w:sz w:val="19"/>
        </w:rPr>
        <w:t>A: In sequential or DAG pipelines, if Agent A is compromised and produces corrupted outputs, downstream Agent B consumes that untrusted output and produces further corrupted results, cascading failures across the enterprise. TrustChain-AI intercepts every inter-agent transition with canary telemetry, terminating the workflow before cascading damage occurs.</w:t>
      </w:r>
    </w:p>
    <w:p>
      <w:pPr>
        <w:spacing w:after="200"/>
      </w:pPr>
    </w:p>
    <w:p>
      <w:pPr>
        <w:pStyle w:val="Heading1"/>
      </w:pPr>
      <w:r>
        <w:rPr>
          <w:color w:val="0B132B"/>
          <w:sz w:val="30"/>
        </w:rPr>
        <w:t>Slide 4: Literature Review, Theoretical Foundations &amp; Research Gap</w:t>
      </w:r>
    </w:p>
    <w:p>
      <w:r>
        <w:rPr>
          <w:b/>
          <w:color w:val="00A8B5"/>
          <w:sz w:val="18"/>
        </w:rPr>
        <w:t>Tracker: ACADEMIC FOUNDATIONS · STATE OF THE ART  |  Estimated Time: 50–70s</w:t>
        <w:br/>
      </w:r>
      <w:r>
        <w:rPr>
          <w:color w:val="475569"/>
          <w:sz w:val="18"/>
        </w:rPr>
        <w:t>Evidence Base: W3C DID Core 1.0; W3C VC Data Model 1.1; Kamvar et al. (WWW 2003); NIST SP 800-207.</w:t>
      </w:r>
    </w:p>
    <w:p>
      <w:pPr>
        <w:pStyle w:val="Heading2"/>
      </w:pPr>
      <w:r>
        <w:rPr>
          <w:color w:val="2A4B8D"/>
          <w:sz w:val="24"/>
        </w:rPr>
        <w:t>Spoken Word-for-Word Script:</w:t>
      </w:r>
    </w:p>
    <w:p>
      <w:pPr>
        <w:ind w:left="288"/>
      </w:pPr>
      <w:r>
        <w:rPr>
          <w:i/>
          <w:color w:val="0B132B"/>
          <w:sz w:val="21"/>
        </w:rPr>
        <w:t>"Slide 4 contextualizes our work within academic literature across four domains. Self-Sovereign Identity provides tamper-evident public keys through W3C DIDs and Verifiable Credentials, but remains static. Distributed reputation systems, pioneered by Kamvar's EigenTrust in 2003, calculate peer reputation mathematically, but suffer from high computational latency and lack real-time access gating. NIST Special Publication 800-207 defines Zero Trust Architecture, but focuses on human IAM rather than autonomous agent tool delegation. Finally, legacy FIPA agent standards assume cooperative, benign environments. Our research gap is evident: no prior work combines algorithmic public-key identity with continuous behavioral telemetry and operation-level zero-trust gating."</w:t>
      </w:r>
    </w:p>
    <w:p>
      <w:pPr>
        <w:pStyle w:val="Heading2"/>
      </w:pPr>
      <w:r>
        <w:rPr>
          <w:color w:val="2A4B8D"/>
          <w:sz w:val="24"/>
        </w:rPr>
        <w:t>Key Examiner Defense Q&amp;A:</w:t>
      </w:r>
    </w:p>
    <w:p>
      <w:r>
        <w:rPr>
          <w:b/>
          <w:color w:val="B42828"/>
          <w:sz w:val="19"/>
        </w:rPr>
        <w:t>Q: How does your trust model differ from the famous EigenTrust algorithm?</w:t>
        <w:br/>
      </w:r>
      <w:r>
        <w:rPr>
          <w:color w:val="1E293B"/>
          <w:sz w:val="19"/>
        </w:rPr>
        <w:t>A: EigenTrust computes stationary global reputation vectors in peer-to-peer file sharing using power iteration over peer ratings. However, it lacks real-time sensor telemetry, operates over static matrices, and provides no operation-level zero-trust access gating. TrustChain-AI combines temporal exponential moving average scoring with operation-level policy enforcement.</w:t>
      </w:r>
    </w:p>
    <w:p>
      <w:pPr>
        <w:spacing w:after="200"/>
      </w:pPr>
    </w:p>
    <w:p>
      <w:pPr>
        <w:pStyle w:val="Heading1"/>
      </w:pPr>
      <w:r>
        <w:rPr>
          <w:color w:val="0B132B"/>
          <w:sz w:val="30"/>
        </w:rPr>
        <w:t>Slide 5: Research Objectives &amp; Explicit Scope Boundaries</w:t>
      </w:r>
    </w:p>
    <w:p>
      <w:r>
        <w:rPr>
          <w:b/>
          <w:color w:val="00A8B5"/>
          <w:sz w:val="18"/>
        </w:rPr>
        <w:t>Tracker: PROJECT SPECIFICATION · BOUNDARIES  |  Estimated Time: 50–70s</w:t>
        <w:br/>
      </w:r>
      <w:r>
        <w:rPr>
          <w:color w:val="475569"/>
          <w:sz w:val="18"/>
        </w:rPr>
        <w:t>Evidence Base: akta/ package structure, pyproject.toml, capstone project plan.</w:t>
      </w:r>
    </w:p>
    <w:p>
      <w:pPr>
        <w:pStyle w:val="Heading2"/>
      </w:pPr>
      <w:r>
        <w:rPr>
          <w:color w:val="2A4B8D"/>
          <w:sz w:val="24"/>
        </w:rPr>
        <w:t>Spoken Word-for-Word Script:</w:t>
      </w:r>
    </w:p>
    <w:p>
      <w:pPr>
        <w:ind w:left="288"/>
      </w:pPr>
      <w:r>
        <w:rPr>
          <w:i/>
          <w:color w:val="0B132B"/>
          <w:sz w:val="21"/>
        </w:rPr>
        <w:t>"Slide 5 establishes our six core engineering objectives alongside our explicit scope boundaries. First, implement decentralized did:key identity. Second, issue tamper-evident Verifiable Credentials with JSON-LD canonicalization. Third, ingest real-time telemetry across success, compliance, and latency. Fourth, engineer an Exponential Moving Average trust engine. Fifth, build an adaptive policy gateway that enforces operation gating. Sixth, build an explainable candidate discovery and multi-factor matching engine. We maintain absolute academic honesty regarding our boundaries: our Verifiable Data Registry uses an optimized local SQLite engine with Write-Ahead Logging, agent execution is simulated via LocalAgentConnector, and workflow execution is sequential. These boundaries were chosen deliberately to ensure reproducible, sub-millisecond evaluation."</w:t>
      </w:r>
    </w:p>
    <w:p>
      <w:pPr>
        <w:pStyle w:val="Heading2"/>
      </w:pPr>
      <w:r>
        <w:rPr>
          <w:color w:val="2A4B8D"/>
          <w:sz w:val="24"/>
        </w:rPr>
        <w:t>Key Examiner Defense Q&amp;A:</w:t>
      </w:r>
    </w:p>
    <w:p>
      <w:r>
        <w:rPr>
          <w:b/>
          <w:color w:val="B42828"/>
          <w:sz w:val="19"/>
        </w:rPr>
        <w:t>Q: Why did you limit the scope to a local SQLite VDR instead of deploying to Ethereum or Solana?</w:t>
        <w:br/>
      </w:r>
      <w:r>
        <w:rPr>
          <w:color w:val="1E293B"/>
          <w:sz w:val="19"/>
        </w:rPr>
        <w:t>A: Public blockchains introduce 2-to-15 second block confirmation latencies and variable gas costs per transaction, which is impractical for inter-agent communication operating at millisecond scale. SQLite WAL provides sub-5ms ACID transactions and zero operational overhead, while strictly satisfying the W3C VDR interface requirements.</w:t>
      </w:r>
    </w:p>
    <w:p>
      <w:pPr>
        <w:spacing w:after="200"/>
      </w:pPr>
    </w:p>
    <w:p>
      <w:pPr>
        <w:pStyle w:val="Heading1"/>
      </w:pPr>
      <w:r>
        <w:rPr>
          <w:color w:val="0B132B"/>
          <w:sz w:val="30"/>
        </w:rPr>
        <w:t>Slide 6: System Architecture &amp; 5-Tier Layered Design</w:t>
      </w:r>
    </w:p>
    <w:p>
      <w:r>
        <w:rPr>
          <w:b/>
          <w:color w:val="00A8B5"/>
          <w:sz w:val="18"/>
        </w:rPr>
        <w:t>Tracker: SYSTEM ARCHITECTURE · 5-TIER LAYERED DESIGN  |  Estimated Time: 50–70s</w:t>
        <w:br/>
      </w:r>
      <w:r>
        <w:rPr>
          <w:color w:val="475569"/>
          <w:sz w:val="18"/>
        </w:rPr>
        <w:t>Evidence Base: akta/server.py (ports &amp; routing), frontend/vite.config.js, docs/presentation/final/assets/architecture_diagram.png.</w:t>
      </w:r>
    </w:p>
    <w:p>
      <w:pPr>
        <w:pStyle w:val="Heading2"/>
      </w:pPr>
      <w:r>
        <w:rPr>
          <w:color w:val="2A4B8D"/>
          <w:sz w:val="24"/>
        </w:rPr>
        <w:t>Spoken Word-for-Word Script:</w:t>
      </w:r>
    </w:p>
    <w:p>
      <w:pPr>
        <w:ind w:left="288"/>
      </w:pPr>
      <w:r>
        <w:rPr>
          <w:i/>
          <w:color w:val="0B132B"/>
          <w:sz w:val="21"/>
        </w:rPr>
        <w:t>"Slide 6 presents the 5-tier architecture of TrustChain-AI. At the foundation is the Agent Layer, where agents maintain self-sovereign did:key identities. Above it, the Gateway Layer operates on port 8050 using FastAPI, acting as the security gatekeeper through AdaptivePolicyEnforcer. The Intelligence Layer houses our TrustEngine, telemetry normalizer, and multi-factor candidate matchmaker. The Storage Layer implements our Verifiable Data Registry using SQLite with Write-Ahead Logging across 13 tables, delivering sub-5ms latency and full ACID guarantees. Finally, the Presentation Layer runs on port 5173 using React 19 and Vite, providing human security operators with an enterprise SOC dashboard and a forensic investigation drawer."</w:t>
      </w:r>
    </w:p>
    <w:p>
      <w:pPr>
        <w:pStyle w:val="Heading2"/>
      </w:pPr>
      <w:r>
        <w:rPr>
          <w:color w:val="2A4B8D"/>
          <w:sz w:val="24"/>
        </w:rPr>
        <w:t>Key Examiner Defense Q&amp;A:</w:t>
      </w:r>
    </w:p>
    <w:p>
      <w:r>
        <w:rPr>
          <w:b/>
          <w:color w:val="B42828"/>
          <w:sz w:val="19"/>
        </w:rPr>
        <w:t>Q: What happens if Tier 3 (Trust Intelligence) fails or crashes?</w:t>
        <w:br/>
      </w:r>
      <w:r>
        <w:rPr>
          <w:color w:val="1E293B"/>
          <w:sz w:val="19"/>
        </w:rPr>
        <w:t>A: The Gateway Layer enforces fail-secure zero-trust policies: if trust state cannot be determined, agents default to SUSPICIOUS or QUARANTINED, denying privileged mutations while preserving system integrity.</w:t>
      </w:r>
    </w:p>
    <w:p>
      <w:pPr>
        <w:spacing w:after="200"/>
      </w:pPr>
    </w:p>
    <w:p>
      <w:pPr>
        <w:pStyle w:val="Heading1"/>
      </w:pPr>
      <w:r>
        <w:rPr>
          <w:color w:val="0B132B"/>
          <w:sz w:val="30"/>
        </w:rPr>
        <w:t>Slide 7: Decentralized Identity (DID) &amp; VC Lifecycle</w:t>
      </w:r>
    </w:p>
    <w:p>
      <w:r>
        <w:rPr>
          <w:b/>
          <w:color w:val="00A8B5"/>
          <w:sz w:val="18"/>
        </w:rPr>
        <w:t>Tracker: CRYPTOGRAPHIC FOUNDATION · W3C SSI  |  Estimated Time: 50–70s</w:t>
        <w:br/>
      </w:r>
      <w:r>
        <w:rPr>
          <w:color w:val="475569"/>
          <w:sz w:val="18"/>
        </w:rPr>
        <w:t>Evidence Base: akta/did.py, akta/vc.py, tests/commands/test_claim.py, tests/commands/test_keys.py.</w:t>
      </w:r>
    </w:p>
    <w:p>
      <w:pPr>
        <w:pStyle w:val="Heading2"/>
      </w:pPr>
      <w:r>
        <w:rPr>
          <w:color w:val="2A4B8D"/>
          <w:sz w:val="24"/>
        </w:rPr>
        <w:t>Spoken Word-for-Word Script:</w:t>
      </w:r>
    </w:p>
    <w:p>
      <w:pPr>
        <w:ind w:left="288"/>
      </w:pPr>
      <w:r>
        <w:rPr>
          <w:i/>
          <w:color w:val="0B132B"/>
          <w:sz w:val="21"/>
        </w:rPr>
        <w:t>"Slide 7 details our cryptographic identity foundation. We implement the W3C did:key specification using Ed25519 elliptic curve keypairs. The public key is prefixed with multicodec byte 0xED01 and base58-btc encoded, yielding an identifier like did:key:z6M. This enables stateless verification: any node can decode the agent's public key directly from its DID string without querying a central directory. On top of this, we build W3C Verifiable Credentials. To sign a JSON credential securely, we must eliminate variations in whitespace and key ordering. We pass the credential subject through URDNA2015 RDF dataset canonicalization, generate a SHA-256 hash of the normalized N-Quads, and append an Ed25519 detached signature proof. If a single byte is altered in transit, verification fails cryptographically."</w:t>
      </w:r>
    </w:p>
    <w:p>
      <w:pPr>
        <w:pStyle w:val="Heading2"/>
      </w:pPr>
      <w:r>
        <w:rPr>
          <w:color w:val="2A4B8D"/>
          <w:sz w:val="24"/>
        </w:rPr>
        <w:t>Key Examiner Defense Q&amp;A:</w:t>
      </w:r>
    </w:p>
    <w:p>
      <w:r>
        <w:rPr>
          <w:b/>
          <w:color w:val="B42828"/>
          <w:sz w:val="19"/>
        </w:rPr>
        <w:t>Q: What is URDNA2015 and why is canonicalization necessary before signing a JSON document?</w:t>
        <w:br/>
      </w:r>
      <w:r>
        <w:rPr>
          <w:color w:val="1E293B"/>
          <w:sz w:val="19"/>
        </w:rPr>
        <w:t>A: In JSON, whitespace, indentation, and key ordering can vary without changing semantic meaning, but any byte change alters a SHA-256 hash. URDNA2015 converts the JSON-LD document into standardized N-Quads, ensuring deterministic cryptographic hashing across different languages and platforms.</w:t>
      </w:r>
    </w:p>
    <w:p>
      <w:pPr>
        <w:spacing w:after="200"/>
      </w:pPr>
    </w:p>
    <w:p>
      <w:pPr>
        <w:pStyle w:val="Heading1"/>
      </w:pPr>
      <w:r>
        <w:rPr>
          <w:color w:val="0B132B"/>
          <w:sz w:val="30"/>
        </w:rPr>
        <w:t>Slide 8: Dynamic Behavioral Telemetry &amp; Trust Engine Formulation</w:t>
      </w:r>
    </w:p>
    <w:p>
      <w:r>
        <w:rPr>
          <w:b/>
          <w:color w:val="00A8B5"/>
          <w:sz w:val="18"/>
        </w:rPr>
        <w:t>Tracker: INTELLIGENCE ENGINE · REAL-TIME TRUST EVALUATION  |  Estimated Time: 50–70s</w:t>
        <w:br/>
      </w:r>
      <w:r>
        <w:rPr>
          <w:color w:val="475569"/>
          <w:sz w:val="18"/>
        </w:rPr>
        <w:t>Evidence Base: akta/trust_engine.py (TrustEngine, TrustConfig, calculate_behavioral_score), tests/test_trust_engine.py.</w:t>
      </w:r>
    </w:p>
    <w:p>
      <w:pPr>
        <w:pStyle w:val="Heading2"/>
      </w:pPr>
      <w:r>
        <w:rPr>
          <w:color w:val="2A4B8D"/>
          <w:sz w:val="24"/>
        </w:rPr>
        <w:t>Spoken Word-for-Word Script:</w:t>
      </w:r>
    </w:p>
    <w:p>
      <w:pPr>
        <w:ind w:left="288"/>
      </w:pPr>
      <w:r>
        <w:rPr>
          <w:i/>
          <w:color w:val="0B132B"/>
          <w:sz w:val="21"/>
        </w:rPr>
        <w:t>"Slide 8 introduces the mathematical heart of TrustChain-AI: our dynamic trust engine. Raw telemetry cannot be evaluated naively; we compute an Instantaneous Performance Score, P_i(t), as a weighted sum: 60% weight on task success, 30% on policy compliance, and 10% on latency bonus. Latency is normalized and capped at 2000 milliseconds. To prevent single transient network hiccups from knocking an agent offline, we smooth P_i(t) using an Exponential Moving Average: T_i(t) equals 0.7 times previous trust plus 0.3 times current performance. Newly registered agents start with a baseline score of 1.0. This 70% historical memory provides stability, while the 30% update weight ensures that sustained non-compliance triggers decisive intervention."</w:t>
      </w:r>
    </w:p>
    <w:p>
      <w:pPr>
        <w:pStyle w:val="Heading2"/>
      </w:pPr>
      <w:r>
        <w:rPr>
          <w:color w:val="2A4B8D"/>
          <w:sz w:val="24"/>
        </w:rPr>
        <w:t>Key Examiner Defense Q&amp;A:</w:t>
      </w:r>
    </w:p>
    <w:p>
      <w:r>
        <w:rPr>
          <w:b/>
          <w:color w:val="B42828"/>
          <w:sz w:val="19"/>
        </w:rPr>
        <w:t>Q: Why did you choose lambda = 0.7 for historical memory decay?</w:t>
        <w:br/>
      </w:r>
      <w:r>
        <w:rPr>
          <w:color w:val="1E293B"/>
          <w:sz w:val="19"/>
        </w:rPr>
        <w:t>A: A value of lambda = 0.7 strikes an optimal balance between responsiveness and stability: it retains 70% historical inertia, preventing transient network spikes from flipping an agent's trust state, while ensuring that two consecutive catastrophic failures will decisively drive trust below 0.50 into Quarantine.</w:t>
      </w:r>
    </w:p>
    <w:p>
      <w:pPr>
        <w:spacing w:after="200"/>
      </w:pPr>
    </w:p>
    <w:p>
      <w:pPr>
        <w:pStyle w:val="Heading1"/>
      </w:pPr>
      <w:r>
        <w:rPr>
          <w:color w:val="0B132B"/>
          <w:sz w:val="30"/>
        </w:rPr>
        <w:t>Slide 9: Mathematical Trajectory Dynamics: Degradation &amp; Recovery Timeline</w:t>
      </w:r>
    </w:p>
    <w:p>
      <w:r>
        <w:rPr>
          <w:b/>
          <w:color w:val="00A8B5"/>
          <w:sz w:val="18"/>
        </w:rPr>
        <w:t>Tracker: CALCULATED SCENARIO · 10-ROUND TRUST TIMELINE  |  Estimated Time: 50–70s</w:t>
        <w:br/>
      </w:r>
      <w:r>
        <w:rPr>
          <w:color w:val="475569"/>
          <w:sz w:val="18"/>
        </w:rPr>
        <w:t>Evidence Base: akta/trust_engine.py, generate_charts.py, docs/presentation/final/assets/trust_timeline.png.</w:t>
      </w:r>
    </w:p>
    <w:p>
      <w:pPr>
        <w:pStyle w:val="Heading2"/>
      </w:pPr>
      <w:r>
        <w:rPr>
          <w:color w:val="2A4B8D"/>
          <w:sz w:val="24"/>
        </w:rPr>
        <w:t>Spoken Word-for-Word Script:</w:t>
      </w:r>
    </w:p>
    <w:p>
      <w:pPr>
        <w:ind w:left="288"/>
      </w:pPr>
      <w:r>
        <w:rPr>
          <w:i/>
          <w:color w:val="0B132B"/>
          <w:sz w:val="21"/>
        </w:rPr>
        <w:t>"Slide 9 demonstrates the mathematical behavior of our trust engine through a 10-round illustrative scenario. We emphasize that this is a calculated mathematical demonstration, not live production telemetry. Starting from a baseline of 1.0, rounds 1 and 2 maintain high trust. In round 3, a latency spike drops performance to 0.46, pulling trust down to 0.835, but remaining Trusted due to historical inertia. In round 4, a complete task failure drops trust to 0.584, triggering the Suspicious state. In round 5, a second consecutive failure drives trust down to 0.409, immediately breaching the 0.50 threshold into Quarantine. Notice the asymmetric recovery: because of historical inertia, returning to Trusted requires four consecutive flawless canary rounds. Trust is fast to lose and slow to regain."</w:t>
      </w:r>
    </w:p>
    <w:p>
      <w:pPr>
        <w:pStyle w:val="Heading2"/>
      </w:pPr>
      <w:r>
        <w:rPr>
          <w:color w:val="2A4B8D"/>
          <w:sz w:val="24"/>
        </w:rPr>
        <w:t>Key Examiner Defense Q&amp;A:</w:t>
      </w:r>
    </w:p>
    <w:p>
      <w:r>
        <w:rPr>
          <w:b/>
          <w:color w:val="B42828"/>
          <w:sz w:val="19"/>
        </w:rPr>
        <w:t>Q: Why does recovery require four canary rounds while degradation only took two rounds?</w:t>
        <w:br/>
      </w:r>
      <w:r>
        <w:rPr>
          <w:color w:val="1E293B"/>
          <w:sz w:val="19"/>
        </w:rPr>
        <w:t>A: This asymmetric hysteresis is an intentional security design: trust must be difficult to rebuild and easy to lose. With lambda = 0.7, recovery from T=0.409 requires multiple consistent high-performance canary rounds (P approx 0.99) before crossing the T &gt;= 0.80 threshold back into Trusted.</w:t>
      </w:r>
    </w:p>
    <w:p>
      <w:pPr>
        <w:spacing w:after="200"/>
      </w:pPr>
    </w:p>
    <w:p>
      <w:pPr>
        <w:pStyle w:val="Heading1"/>
      </w:pPr>
      <w:r>
        <w:rPr>
          <w:color w:val="0B132B"/>
          <w:sz w:val="30"/>
        </w:rPr>
        <w:t>Slide 10: Adaptive Authorization &amp; Zero-Trust Access Control</w:t>
      </w:r>
    </w:p>
    <w:p>
      <w:r>
        <w:rPr>
          <w:b/>
          <w:color w:val="00A8B5"/>
          <w:sz w:val="18"/>
        </w:rPr>
        <w:t>Tracker: ACCESS CONTROL · ZERO-TRUST ENFORCEMENT  |  Estimated Time: 50–70s</w:t>
        <w:br/>
      </w:r>
      <w:r>
        <w:rPr>
          <w:color w:val="475569"/>
          <w:sz w:val="18"/>
        </w:rPr>
        <w:t>Evidence Base: akta/adaptive_auth.py, akta/auth/router.py, tests/test_adaptive_policy.py, tests/test_authentication.py.</w:t>
      </w:r>
    </w:p>
    <w:p>
      <w:pPr>
        <w:pStyle w:val="Heading2"/>
      </w:pPr>
      <w:r>
        <w:rPr>
          <w:color w:val="2A4B8D"/>
          <w:sz w:val="24"/>
        </w:rPr>
        <w:t>Spoken Word-for-Word Script:</w:t>
      </w:r>
    </w:p>
    <w:p>
      <w:pPr>
        <w:ind w:left="288"/>
      </w:pPr>
      <w:r>
        <w:rPr>
          <w:i/>
          <w:color w:val="0B132B"/>
          <w:sz w:val="21"/>
        </w:rPr>
        <w:t>"Slide 10 details our defense-in-depth authorization model. We enforce a strict separation between human administrators and autonomous agents. For human operators, we implement Role-Based Access Control across ADMIN, OPERATOR, and VIEWER roles, secured with Argon2id password hashing, a five-strike brute-force lockout policy, and JWT token rotation. For autonomous agents, we implement Attribute-Based Access Control via AdaptivePolicyEnforcer. We classify operations into standard queries and privileged actions. When an agent is TRUSTED, it has full execution privileges. If it degrades into SUSPICIOUS, privileged mutations like workflow orchestration are blocked with HTTP 403. If it falls into QUARANTINED, all execution is blocked. All checks are enforced authoritatively on the backend."</w:t>
      </w:r>
    </w:p>
    <w:p>
      <w:pPr>
        <w:pStyle w:val="Heading2"/>
      </w:pPr>
      <w:r>
        <w:rPr>
          <w:color w:val="2A4B8D"/>
          <w:sz w:val="24"/>
        </w:rPr>
        <w:t>Key Examiner Defense Q&amp;A:</w:t>
      </w:r>
    </w:p>
    <w:p>
      <w:r>
        <w:rPr>
          <w:b/>
          <w:color w:val="B42828"/>
          <w:sz w:val="19"/>
        </w:rPr>
        <w:t>Q: Can a malicious actor bypass role restrictions by modifying client-side JavaScript?</w:t>
        <w:br/>
      </w:r>
      <w:r>
        <w:rPr>
          <w:color w:val="1E293B"/>
          <w:sz w:val="19"/>
        </w:rPr>
        <w:t>A: No. Frontend role flags are strictly presentation aids. All security boundaries are authoritatively enforced on the FastAPI backend using JWT claims verified on every request.</w:t>
      </w:r>
    </w:p>
    <w:p>
      <w:pPr>
        <w:spacing w:after="200"/>
      </w:pPr>
    </w:p>
    <w:p>
      <w:pPr>
        <w:pStyle w:val="Heading1"/>
      </w:pPr>
      <w:r>
        <w:rPr>
          <w:color w:val="0B132B"/>
          <w:sz w:val="30"/>
        </w:rPr>
        <w:t>Slide 11: Agent Capability Discovery &amp; Diagnostic Eligibility</w:t>
      </w:r>
    </w:p>
    <w:p>
      <w:r>
        <w:rPr>
          <w:b/>
          <w:color w:val="00A8B5"/>
          <w:sz w:val="18"/>
        </w:rPr>
        <w:t>Tracker: DISCOVERY ENGINE · TRANSPARENT GOVERNANCE  |  Estimated Time: 50–70s</w:t>
        <w:br/>
      </w:r>
      <w:r>
        <w:rPr>
          <w:color w:val="475569"/>
          <w:sz w:val="18"/>
        </w:rPr>
        <w:t>Evidence Base: frontend/src/components/DiscoveryCenter.jsx, akta/vdr/registry_router.py (/api/v1/registry/discover).</w:t>
      </w:r>
    </w:p>
    <w:p>
      <w:pPr>
        <w:pStyle w:val="Heading2"/>
      </w:pPr>
      <w:r>
        <w:rPr>
          <w:color w:val="2A4B8D"/>
          <w:sz w:val="24"/>
        </w:rPr>
        <w:t>Spoken Word-for-Word Script:</w:t>
      </w:r>
    </w:p>
    <w:p>
      <w:pPr>
        <w:ind w:left="288"/>
      </w:pPr>
      <w:r>
        <w:rPr>
          <w:i/>
          <w:color w:val="0B132B"/>
          <w:sz w:val="21"/>
        </w:rPr>
        <w:t>"Slide 11 showcases our Agent Discovery Engine. It is vital to distinguish discovery from matching: discovery is an inventory exploration and eligibility tool. Operators filter agents by required capability, set a minimum trust threshold slider from 0.0 to 1.0, and filter by operational availability and endpoint health. Instead of silently hiding excluded agents, our engine evaluates every registered agent and returns explicit diagnostic rationales: explaining whether an agent was excluded due to quarantine, low trust, or busy status. Operators can click Investigate on any card to mount our forensic drawer instantly."</w:t>
      </w:r>
    </w:p>
    <w:p>
      <w:pPr>
        <w:pStyle w:val="Heading2"/>
      </w:pPr>
      <w:r>
        <w:rPr>
          <w:color w:val="2A4B8D"/>
          <w:sz w:val="24"/>
        </w:rPr>
        <w:t>Key Examiner Defense Q&amp;A:</w:t>
      </w:r>
    </w:p>
    <w:p>
      <w:r>
        <w:rPr>
          <w:b/>
          <w:color w:val="B42828"/>
          <w:sz w:val="19"/>
        </w:rPr>
        <w:t>Q: What is the primary difference between Discovery and Matching?</w:t>
        <w:br/>
      </w:r>
      <w:r>
        <w:rPr>
          <w:color w:val="1E293B"/>
          <w:sz w:val="19"/>
        </w:rPr>
        <w:t>A: Discovery is an inventory exploration tool that evaluates capability, availability, and eligibility against operator filters. Matching is an algorithmic ranking engine that scores eligible agents for a specific task using a multi-factor equation.</w:t>
      </w:r>
    </w:p>
    <w:p>
      <w:pPr>
        <w:spacing w:after="200"/>
      </w:pPr>
    </w:p>
    <w:p>
      <w:pPr>
        <w:pStyle w:val="Heading1"/>
      </w:pPr>
      <w:r>
        <w:rPr>
          <w:color w:val="0B132B"/>
          <w:sz w:val="30"/>
        </w:rPr>
        <w:t>Slide 12: Task-Driven Matchmaker &amp; Explainable Multi-Factor Ranking</w:t>
      </w:r>
    </w:p>
    <w:p>
      <w:r>
        <w:rPr>
          <w:b/>
          <w:color w:val="00A8B5"/>
          <w:sz w:val="18"/>
        </w:rPr>
        <w:t>Tracker: ALGORITHMIC MATCHMAKING · EXPLAINABLE AI  |  Estimated Time: 50–70s</w:t>
        <w:br/>
      </w:r>
      <w:r>
        <w:rPr>
          <w:color w:val="475569"/>
          <w:sz w:val="18"/>
        </w:rPr>
        <w:t>Evidence Base: akta/vdr/registry_crud.py (find_best_agent_match), tests/test_investigation_discovery_matching.py.</w:t>
      </w:r>
    </w:p>
    <w:p>
      <w:pPr>
        <w:pStyle w:val="Heading2"/>
      </w:pPr>
      <w:r>
        <w:rPr>
          <w:color w:val="2A4B8D"/>
          <w:sz w:val="24"/>
        </w:rPr>
        <w:t>Spoken Word-for-Word Script:</w:t>
      </w:r>
    </w:p>
    <w:p>
      <w:pPr>
        <w:ind w:left="288"/>
      </w:pPr>
      <w:r>
        <w:rPr>
          <w:i/>
          <w:color w:val="0B132B"/>
          <w:sz w:val="21"/>
        </w:rPr>
        <w:t>"Slide 12 covers our Task-Driven Matchmaker. When an operator submits a task description, capability requirement, and minimum trust score, the system ranks all eligible candidates using our multi-factor matching formula: 40% weight on temporal trust, 30% on historical reputation, 20% on success rate, and 10% on latency bonus. The chart on the right illustrates the transparent score contributions for four benchmark candidates. Agent Alpha achieves the top match with a score of 0.963. Notice Agent Delta: despite having a 5.0 reputation, because it is under Quarantine, our zero-trust policy gate immediately forces its MatchScore to zero with REJECTED BY POLICY."</w:t>
      </w:r>
    </w:p>
    <w:p>
      <w:pPr>
        <w:pStyle w:val="Heading2"/>
      </w:pPr>
      <w:r>
        <w:rPr>
          <w:color w:val="2A4B8D"/>
          <w:sz w:val="24"/>
        </w:rPr>
        <w:t>Key Examiner Defense Q&amp;A:</w:t>
      </w:r>
    </w:p>
    <w:p>
      <w:r>
        <w:rPr>
          <w:b/>
          <w:color w:val="B42828"/>
          <w:sz w:val="19"/>
        </w:rPr>
        <w:t>Q: Why does Agent Delta receive a MatchScore of 0.000 despite having a 5.0 reputation?</w:t>
        <w:br/>
      </w:r>
      <w:r>
        <w:rPr>
          <w:color w:val="1E293B"/>
          <w:sz w:val="19"/>
        </w:rPr>
        <w:t>A: Our zero-trust policy gateway enforces hard disqualification: if an agent is in QUARANTINED or REVOKED state, its MatchScore is immediately forced to 0.000 with reason 'REJECTED BY POLICY', regardless of historical reputation.</w:t>
      </w:r>
    </w:p>
    <w:p>
      <w:pPr>
        <w:spacing w:after="200"/>
      </w:pPr>
    </w:p>
    <w:p>
      <w:pPr>
        <w:pStyle w:val="Heading1"/>
      </w:pPr>
      <w:r>
        <w:rPr>
          <w:color w:val="0B132B"/>
          <w:sz w:val="30"/>
        </w:rPr>
        <w:t>Slide 13: Multi-Agent Collaboration Sessions &amp; Sequential Pipeline</w:t>
      </w:r>
    </w:p>
    <w:p>
      <w:r>
        <w:rPr>
          <w:b/>
          <w:color w:val="00A8B5"/>
          <w:sz w:val="18"/>
        </w:rPr>
        <w:t>Tracker: RUNTIME COLLABORATION · BILATERAL SESSION LIFECYCLE  |  Estimated Time: 50–70s</w:t>
        <w:br/>
      </w:r>
      <w:r>
        <w:rPr>
          <w:color w:val="475569"/>
          <w:sz w:val="18"/>
        </w:rPr>
        <w:t>Evidence Base: akta/vdr/registry_router.py (/collaboration/request, /sessions/{id}/step), tests/test_multi_agent.py, tests/test_platform_features.py.</w:t>
      </w:r>
    </w:p>
    <w:p>
      <w:pPr>
        <w:pStyle w:val="Heading2"/>
      </w:pPr>
      <w:r>
        <w:rPr>
          <w:color w:val="2A4B8D"/>
          <w:sz w:val="24"/>
        </w:rPr>
        <w:t>Spoken Word-for-Word Script:</w:t>
      </w:r>
    </w:p>
    <w:p>
      <w:pPr>
        <w:ind w:left="288"/>
      </w:pPr>
      <w:r>
        <w:rPr>
          <w:i/>
          <w:color w:val="0B132B"/>
          <w:sz w:val="21"/>
        </w:rPr>
        <w:t>"Slide 13 details our multi-agent collaboration protocol. Agents do not collaborate blindly; sessions follow a strict finite-state lifecycle: PENDING, ACTIVE, COMPLETED, or TERMINATED. In step 1, mutual DIDs and credentials are exchanged. In step 2, the gateway verifies that both agents are in the Trusted state before activating the session. During multi-step sequential workflows—such as a planning agent delegating to a coding agent—telemetry is captured after every step. If an agent degrades during execution, our canary drift detection aborts the workflow immediately. Upon completion, peer ratings are recorded, feeding back into the agent's long-term reputation."</w:t>
      </w:r>
    </w:p>
    <w:p>
      <w:pPr>
        <w:pStyle w:val="Heading2"/>
      </w:pPr>
      <w:r>
        <w:rPr>
          <w:color w:val="2A4B8D"/>
          <w:sz w:val="24"/>
        </w:rPr>
        <w:t>Key Examiner Defense Q&amp;A:</w:t>
      </w:r>
    </w:p>
    <w:p>
      <w:r>
        <w:rPr>
          <w:b/>
          <w:color w:val="B42828"/>
          <w:sz w:val="19"/>
        </w:rPr>
        <w:t>Q: What happens if an agent degrades mid-way through a multi-step collaboration?</w:t>
        <w:br/>
      </w:r>
      <w:r>
        <w:rPr>
          <w:color w:val="1E293B"/>
          <w:sz w:val="19"/>
        </w:rPr>
        <w:t>A: Telemetry is recorded after every step. If the target agent's trust drops into Quarantine, the gateway aborts the session immediately, marks status as TERMINATED, and logs an alert.</w:t>
      </w:r>
    </w:p>
    <w:p>
      <w:pPr>
        <w:spacing w:after="200"/>
      </w:pPr>
    </w:p>
    <w:p>
      <w:pPr>
        <w:pStyle w:val="Heading1"/>
      </w:pPr>
      <w:r>
        <w:rPr>
          <w:color w:val="0B132B"/>
          <w:sz w:val="30"/>
        </w:rPr>
        <w:t>Slide 14: Local Relational VDR Architecture &amp; Quad-Dimensional Auditability</w:t>
      </w:r>
    </w:p>
    <w:p>
      <w:r>
        <w:rPr>
          <w:b/>
          <w:color w:val="00A8B5"/>
          <w:sz w:val="18"/>
        </w:rPr>
        <w:t>Tracker: DATA INTEGRITY · 13-TABLE VDR SCHEMA  |  Estimated Time: 50–70s</w:t>
        <w:br/>
      </w:r>
      <w:r>
        <w:rPr>
          <w:color w:val="475569"/>
          <w:sz w:val="18"/>
        </w:rPr>
        <w:t>Evidence Base: akta/vdr/models.py, akta/vdr/database.py, tests/test_platform_features.py.</w:t>
      </w:r>
    </w:p>
    <w:p>
      <w:pPr>
        <w:pStyle w:val="Heading2"/>
      </w:pPr>
      <w:r>
        <w:rPr>
          <w:color w:val="2A4B8D"/>
          <w:sz w:val="24"/>
        </w:rPr>
        <w:t>Spoken Word-for-Word Script:</w:t>
      </w:r>
    </w:p>
    <w:p>
      <w:pPr>
        <w:ind w:left="288"/>
      </w:pPr>
      <w:r>
        <w:rPr>
          <w:i/>
          <w:color w:val="0B132B"/>
          <w:sz w:val="21"/>
        </w:rPr>
        <w:t>"Slide 14 presents our Verifiable Data Registry. In W3C specifications, a VDR is an abstract interface, not necessarily a public blockchain. For TrustChain-AI, we engineered a high-throughput relational VDR using SQLite in Write-Ahead Logging mode. This guarantees atomic transactions and sub-5 millisecond response times without gas costs or consensus delays. The database consists of exactly 13 tables across five functional domains. To guarantee forensic accountability, we maintain four separate audit dimensions: stored_vcs for credential provenance, trust_audit_trails for state transitions, telemetry_logs for raw interaction metrics, and security_audit_events for access control violations. Every event is immutable and timestamped."</w:t>
      </w:r>
    </w:p>
    <w:p>
      <w:pPr>
        <w:pStyle w:val="Heading2"/>
      </w:pPr>
      <w:r>
        <w:rPr>
          <w:color w:val="2A4B8D"/>
          <w:sz w:val="24"/>
        </w:rPr>
        <w:t>Key Examiner Defense Q&amp;A:</w:t>
      </w:r>
    </w:p>
    <w:p>
      <w:r>
        <w:rPr>
          <w:b/>
          <w:color w:val="B42828"/>
          <w:sz w:val="19"/>
        </w:rPr>
        <w:t>Q: Why is SQLite WAL sufficient for high-concurrency capstone evaluation?</w:t>
        <w:br/>
      </w:r>
      <w:r>
        <w:rPr>
          <w:color w:val="1E293B"/>
          <w:sz w:val="19"/>
        </w:rPr>
        <w:t>A: SQLite Write-Ahead Logging allows concurrent readers to access the database without blocking writers, maintaining sub-millisecond query latencies and complete ACID compliance for local registries.</w:t>
      </w:r>
    </w:p>
    <w:p>
      <w:pPr>
        <w:spacing w:after="200"/>
      </w:pPr>
    </w:p>
    <w:p>
      <w:pPr>
        <w:pStyle w:val="Heading1"/>
      </w:pPr>
      <w:r>
        <w:rPr>
          <w:color w:val="0B132B"/>
          <w:sz w:val="30"/>
        </w:rPr>
        <w:t>Slide 15: Operational SOC Portal Demonstration &amp; Interface Verification</w:t>
      </w:r>
    </w:p>
    <w:p>
      <w:r>
        <w:rPr>
          <w:b/>
          <w:color w:val="00A8B5"/>
          <w:sz w:val="18"/>
        </w:rPr>
        <w:t>Tracker: FRONTEND IMPLEMENTATION · SECURITY OPERATIONS CENTER  |  Estimated Time: 50–70s</w:t>
        <w:br/>
      </w:r>
      <w:r>
        <w:rPr>
          <w:color w:val="475569"/>
          <w:sz w:val="18"/>
        </w:rPr>
        <w:t>Evidence Base: frontend/src/components/AgentExplorer.jsx, AgentInvestigationDrawer.jsx, AgentDetails.jsx, DiscoveryCenter.jsx, MatchingCenter.jsx.</w:t>
      </w:r>
    </w:p>
    <w:p>
      <w:pPr>
        <w:pStyle w:val="Heading2"/>
      </w:pPr>
      <w:r>
        <w:rPr>
          <w:color w:val="2A4B8D"/>
          <w:sz w:val="24"/>
        </w:rPr>
        <w:t>Spoken Word-for-Word Script:</w:t>
      </w:r>
    </w:p>
    <w:p>
      <w:pPr>
        <w:ind w:left="288"/>
      </w:pPr>
      <w:r>
        <w:rPr>
          <w:i/>
          <w:color w:val="0B132B"/>
          <w:sz w:val="21"/>
        </w:rPr>
        <w:t>"Slide 15 showcases our Security Operations Center portal. Built with React 19 and Vite 8.2, the interface provides a unified cockpit for monitoring autonomous agents. The design follows enterprise SOC conventions with a dark navy palette, high-contrast cyan accents, and complete light mode compatibility. The portal features five dedicated views: Executive Dashboard, Agent Explorer, Discovery Center, Matching Center, and User Management. When an operator clicks 'Investigate' on any agent card, an asynchronous slide-over drawer mounts immediately. Rather than an ungrounded mockup, this drawer is fully wired to our backend endpoints: displaying live model specifications, KPI cards, workload metrics, our P(t) trust math causality breakdown, and dual sub-tabs for raw telemetry records and state transition audit logs, with a direct link to the full agent profile page."</w:t>
      </w:r>
    </w:p>
    <w:p>
      <w:pPr>
        <w:pStyle w:val="Heading2"/>
      </w:pPr>
      <w:r>
        <w:rPr>
          <w:color w:val="2A4B8D"/>
          <w:sz w:val="24"/>
        </w:rPr>
        <w:t>Key Examiner Defense Q&amp;A:</w:t>
      </w:r>
    </w:p>
    <w:p>
      <w:r>
        <w:rPr>
          <w:b/>
          <w:color w:val="B42828"/>
          <w:sz w:val="19"/>
        </w:rPr>
        <w:t>Q: How does the Investigate button work on the frontend?</w:t>
        <w:br/>
      </w:r>
      <w:r>
        <w:rPr>
          <w:color w:val="1E293B"/>
          <w:sz w:val="19"/>
        </w:rPr>
        <w:t>A: Clicking 'Investigate' mounts AgentInvestigationDrawer.jsx, which makes concurrent asynchronous API calls to /registry/agents/{did}, /trust/state/{did}, /trust/telemetry/{did}, and /trust/audit/{did}, displaying live telemetry and audit history without page reloads.</w:t>
      </w:r>
    </w:p>
    <w:p>
      <w:pPr>
        <w:spacing w:after="200"/>
      </w:pPr>
    </w:p>
    <w:p>
      <w:pPr>
        <w:pStyle w:val="Heading1"/>
      </w:pPr>
      <w:r>
        <w:rPr>
          <w:color w:val="0B132B"/>
          <w:sz w:val="30"/>
        </w:rPr>
        <w:t>Slide 16: Empirical Testing, Subsystem Health &amp; Mathematical Verification</w:t>
      </w:r>
    </w:p>
    <w:p>
      <w:r>
        <w:rPr>
          <w:b/>
          <w:color w:val="00A8B5"/>
          <w:sz w:val="18"/>
        </w:rPr>
        <w:t>Tracker: EMPIRICAL VALIDATION · 80/80 AUTOMATED TESTS PASSING  |  Estimated Time: 50–70s</w:t>
        <w:br/>
      </w:r>
      <w:r>
        <w:rPr>
          <w:color w:val="475569"/>
          <w:sz w:val="18"/>
        </w:rPr>
        <w:t>Evidence Base: tests/ (80 passing tests), pytest.ini, frontend/package.json, akta/server.py (/health).</w:t>
      </w:r>
    </w:p>
    <w:p>
      <w:pPr>
        <w:pStyle w:val="Heading2"/>
      </w:pPr>
      <w:r>
        <w:rPr>
          <w:color w:val="2A4B8D"/>
          <w:sz w:val="24"/>
        </w:rPr>
        <w:t>Spoken Word-for-Word Script:</w:t>
      </w:r>
    </w:p>
    <w:p>
      <w:pPr>
        <w:ind w:left="288"/>
      </w:pPr>
      <w:r>
        <w:rPr>
          <w:i/>
          <w:color w:val="0B132B"/>
          <w:sz w:val="21"/>
        </w:rPr>
        <w:t>"Slide 16 details our empirical testing and subsystem verification. In computer science capstone projects, implementation claims must be backed by reproducible evidence. We verified the complete framework against an 80-test automated pytest suite, achieving 100% pass rate in 15.04 seconds across eight distinct test modules in SQLite WAL mode. These tests cover cryptographic primitives, Verifiable Credential tampering, mathematical EMA boundary conditions, adaptive policy enforcement, collaboration lifecycles, and RBAC security. The chart on the upper right shows the distribution across the eight suites. On the frontend, Vite 8.2.2 compiles the production bundle in 14.43 seconds with zero syntax or packaging errors across 2,478 transformed modules. Finally, our live /health endpoint continuously confirms that the SQLite WAL database and trust math engine are operational with sub-millisecond query latency."</w:t>
      </w:r>
    </w:p>
    <w:p>
      <w:pPr>
        <w:pStyle w:val="Heading2"/>
      </w:pPr>
      <w:r>
        <w:rPr>
          <w:color w:val="2A4B8D"/>
          <w:sz w:val="24"/>
        </w:rPr>
        <w:t>Key Examiner Defense Q&amp;A:</w:t>
      </w:r>
    </w:p>
    <w:p>
      <w:r>
        <w:rPr>
          <w:b/>
          <w:color w:val="B42828"/>
          <w:sz w:val="19"/>
        </w:rPr>
        <w:t>Q: How do you verify credential tampering in automated tests?</w:t>
        <w:br/>
      </w:r>
      <w:r>
        <w:rPr>
          <w:color w:val="1E293B"/>
          <w:sz w:val="19"/>
        </w:rPr>
        <w:t>A: In test_vc.py, we alter a single byte in the credentialSubject payload after cryptographic signing and assert that verify_credential raises a cryptographic verification exception.</w:t>
      </w:r>
    </w:p>
    <w:p>
      <w:pPr>
        <w:spacing w:after="200"/>
      </w:pPr>
    </w:p>
    <w:p>
      <w:pPr>
        <w:pStyle w:val="Heading1"/>
      </w:pPr>
      <w:r>
        <w:rPr>
          <w:color w:val="0B132B"/>
          <w:sz w:val="30"/>
        </w:rPr>
        <w:t>Slide 17: Transparent Limitations, Threats to Validity &amp; Research Roadmap</w:t>
      </w:r>
    </w:p>
    <w:p>
      <w:r>
        <w:rPr>
          <w:b/>
          <w:color w:val="00A8B5"/>
          <w:sz w:val="18"/>
        </w:rPr>
        <w:t>Tracker: CRITICAL ANALYSIS · HONEST BOUNDARIES &amp; FUTURE SCOPE  |  Estimated Time: 50–70s</w:t>
        <w:br/>
      </w:r>
      <w:r>
        <w:rPr>
          <w:color w:val="475569"/>
          <w:sz w:val="18"/>
        </w:rPr>
        <w:t>Evidence Base: Capstone Blackbook Chapter 6, research paper conclusions.</w:t>
      </w:r>
    </w:p>
    <w:p>
      <w:pPr>
        <w:pStyle w:val="Heading2"/>
      </w:pPr>
      <w:r>
        <w:rPr>
          <w:color w:val="2A4B8D"/>
          <w:sz w:val="24"/>
        </w:rPr>
        <w:t>Spoken Word-for-Word Script:</w:t>
      </w:r>
    </w:p>
    <w:p>
      <w:pPr>
        <w:ind w:left="288"/>
      </w:pPr>
      <w:r>
        <w:rPr>
          <w:i/>
          <w:color w:val="0B132B"/>
          <w:sz w:val="21"/>
        </w:rPr>
        <w:t>"On Slide 17, we maintain academic rigor by transparently addressing seven technical limitations and outlining our future research roadmap. First, our VDR uses local SQLite WAL rather than a distributed Byzantine consensus network. Second, agent telemetry is deterministically simulated via LocalAgentConnector. Third, we assume gateway sensors are authentic. Fourth, our mathematical weights are static hyperparameters rather than dynamically learned via reinforcement learning. Fifth, our workflow engine executes sequentially rather than as an asynchronous parallel DAG. To address these limitations, our post-capstone roadmap outlines four concrete phases: integrating Hedera Hashgraph for decentralized consensus, implementing zk-SNARK proofs for model privacy, applying reinforcement learning for dynamic weight tuning, and building a full parallel DAG execution runtime."</w:t>
      </w:r>
    </w:p>
    <w:p>
      <w:pPr>
        <w:pStyle w:val="Heading2"/>
      </w:pPr>
      <w:r>
        <w:rPr>
          <w:color w:val="2A4B8D"/>
          <w:sz w:val="24"/>
        </w:rPr>
        <w:t>Key Examiner Defense Q&amp;A:</w:t>
      </w:r>
    </w:p>
    <w:p>
      <w:r>
        <w:rPr>
          <w:b/>
          <w:color w:val="B42828"/>
          <w:sz w:val="19"/>
        </w:rPr>
        <w:t>Q: How will you handle privacy when agents share proprietary prompts or models?</w:t>
        <w:br/>
      </w:r>
      <w:r>
        <w:rPr>
          <w:color w:val="1E293B"/>
          <w:sz w:val="19"/>
        </w:rPr>
        <w:t>A: In Phase 2 of our roadmap, we plan to implement Zero-Knowledge Telemetry Proofs (zk-SNARKs), allowing agents to mathematically prove compliance without disclosing proprietary prompts or model weights.</w:t>
      </w:r>
    </w:p>
    <w:p>
      <w:pPr>
        <w:spacing w:after="200"/>
      </w:pPr>
    </w:p>
    <w:p>
      <w:pPr>
        <w:pStyle w:val="Heading1"/>
      </w:pPr>
      <w:r>
        <w:rPr>
          <w:color w:val="0B132B"/>
          <w:sz w:val="30"/>
        </w:rPr>
        <w:t>Slide 18: Capstone Defense Conclusion, Core Contributions &amp; Open Defense</w:t>
      </w:r>
    </w:p>
    <w:p>
      <w:r>
        <w:rPr>
          <w:b/>
          <w:color w:val="00A8B5"/>
          <w:sz w:val="18"/>
        </w:rPr>
        <w:t>Tracker: PROJECT DEFENSE CONCLUSION · KEY CONTRIBUTIONS  |  Estimated Time: 50–70s</w:t>
        <w:br/>
      </w:r>
      <w:r>
        <w:rPr>
          <w:color w:val="475569"/>
          <w:sz w:val="18"/>
        </w:rPr>
        <w:t>Evidence Base: Entire repository codebase, 80 passing tests, and capstone blackbook.</w:t>
      </w:r>
    </w:p>
    <w:p>
      <w:pPr>
        <w:pStyle w:val="Heading2"/>
      </w:pPr>
      <w:r>
        <w:rPr>
          <w:color w:val="2A4B8D"/>
          <w:sz w:val="24"/>
        </w:rPr>
        <w:t>Spoken Word-for-Word Script:</w:t>
      </w:r>
    </w:p>
    <w:p>
      <w:pPr>
        <w:ind w:left="288"/>
      </w:pPr>
      <w:r>
        <w:rPr>
          <w:i/>
          <w:color w:val="0B132B"/>
          <w:sz w:val="21"/>
        </w:rPr>
        <w:t>"To conclude our defense, TrustChain-AI successfully solves the point-in-time security failure in autonomous multi-agent systems. We have demonstrated three core contributions: a cryptographic trust anchor built on W3C did:key and Verifiable Credentials; dynamic behavioral telemetry coupled with an Exponential Moving Average trust engine and adaptive policy gating; and a high-performance 13-table SQLite WAL Verifiable Data Registry with quad-dimensional auditability and an explainable matching engine. All claims are backed by 80 automated unit tests passing in 15.04 seconds and a verified production frontend. We express our deepest gratitude to the Department of Computer Engineering at MPSTME, SVKM's NMIMS, our project guide, and the examination committee. We are now ready for your questions."</w:t>
      </w:r>
    </w:p>
    <w:p>
      <w:pPr>
        <w:pStyle w:val="Heading2"/>
      </w:pPr>
      <w:r>
        <w:rPr>
          <w:color w:val="2A4B8D"/>
          <w:sz w:val="24"/>
        </w:rPr>
        <w:t>Key Examiner Defense Q&amp;A:</w:t>
      </w:r>
    </w:p>
    <w:p>
      <w:r>
        <w:rPr>
          <w:b/>
          <w:color w:val="B42828"/>
          <w:sz w:val="19"/>
        </w:rPr>
        <w:t>Q: What is the primary academic takeaway of TrustChain-AI?</w:t>
        <w:br/>
      </w:r>
      <w:r>
        <w:rPr>
          <w:color w:val="1E293B"/>
          <w:sz w:val="19"/>
        </w:rPr>
        <w:t>A: That static cryptographic identity is merely the baseline of security. In autonomous multi-agent systems, trust is a dynamic, continuously earned behavioral property that must directly govern runtime authorization.</w:t>
      </w:r>
    </w:p>
    <w:p>
      <w:pPr>
        <w:spacing w:after="20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