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360" w:lineRule="auto"/>
        <w:rPr>
          <w:sz w:val="34"/>
          <w:szCs w:val="34"/>
        </w:rPr>
      </w:pPr>
      <w:bookmarkStart w:colFirst="0" w:colLast="0" w:name="_2u9az5k0zbic" w:id="0"/>
      <w:bookmarkEnd w:id="0"/>
      <w:r w:rsidDel="00000000" w:rsidR="00000000" w:rsidRPr="00000000">
        <w:rPr>
          <w:sz w:val="34"/>
          <w:szCs w:val="34"/>
          <w:rtl w:val="0"/>
        </w:rPr>
        <w:t xml:space="preserve">From Data to Decisions: Unlocking Sales and Profit Insights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404040"/>
        </w:rPr>
      </w:pPr>
      <w:bookmarkStart w:colFirst="0" w:colLast="0" w:name="_2p2whx7ti8jg" w:id="1"/>
      <w:bookmarkEnd w:id="1"/>
      <w:r w:rsidDel="00000000" w:rsidR="00000000" w:rsidRPr="00000000">
        <w:rPr>
          <w:b w:val="1"/>
          <w:color w:val="404040"/>
          <w:rtl w:val="0"/>
        </w:rPr>
        <w:t xml:space="preserve">Introduction</w:t>
      </w:r>
    </w:p>
    <w:p w:rsidR="00000000" w:rsidDel="00000000" w:rsidP="00000000" w:rsidRDefault="00000000" w:rsidRPr="00000000" w14:paraId="00000004">
      <w:pPr>
        <w:rPr>
          <w:color w:val="404040"/>
          <w:sz w:val="24"/>
          <w:szCs w:val="24"/>
        </w:rPr>
      </w:pPr>
      <w:r w:rsidDel="00000000" w:rsidR="00000000" w:rsidRPr="00000000">
        <w:rPr>
          <w:color w:val="404040"/>
          <w:sz w:val="24"/>
          <w:szCs w:val="24"/>
          <w:rtl w:val="0"/>
        </w:rPr>
        <w:t xml:space="preserve">This project focuses on analyzing sales data to gain insights into business performance. The analysis covers key metrics, including customer trends, order patterns, and financial performance, providing actionable insights to drive informed decision-making and improve overall profitability.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404040"/>
        </w:rPr>
      </w:pPr>
      <w:bookmarkStart w:colFirst="0" w:colLast="0" w:name="_3nluarage6je" w:id="2"/>
      <w:bookmarkEnd w:id="2"/>
      <w:r w:rsidDel="00000000" w:rsidR="00000000" w:rsidRPr="00000000">
        <w:rPr>
          <w:b w:val="1"/>
          <w:color w:val="404040"/>
          <w:rtl w:val="0"/>
        </w:rPr>
        <w:t xml:space="preserve">Tools Used</w:t>
      </w:r>
    </w:p>
    <w:p w:rsidR="00000000" w:rsidDel="00000000" w:rsidP="00000000" w:rsidRDefault="00000000" w:rsidRPr="00000000" w14:paraId="00000007">
      <w:pPr>
        <w:numPr>
          <w:ilvl w:val="0"/>
          <w:numId w:val="7"/>
        </w:numPr>
        <w:spacing w:after="0" w:afterAutospacing="0"/>
        <w:ind w:left="720" w:hanging="360"/>
      </w:pPr>
      <w:r w:rsidDel="00000000" w:rsidR="00000000" w:rsidRPr="00000000">
        <w:rPr>
          <w:b w:val="1"/>
          <w:color w:val="404040"/>
          <w:sz w:val="24"/>
          <w:szCs w:val="24"/>
          <w:rtl w:val="0"/>
        </w:rPr>
        <w:t xml:space="preserve">Tableau</w:t>
      </w:r>
      <w:r w:rsidDel="00000000" w:rsidR="00000000" w:rsidRPr="00000000">
        <w:rPr>
          <w:color w:val="404040"/>
          <w:sz w:val="24"/>
          <w:szCs w:val="24"/>
          <w:rtl w:val="0"/>
        </w:rPr>
        <w:t xml:space="preserve">: Used for visualizing and analyzing sales data, enabling the creation of interactive dashboards that provided key insights into profitability, sales trends, and customer behavior.</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color w:val="404040"/>
          <w:sz w:val="24"/>
          <w:szCs w:val="24"/>
          <w:rtl w:val="0"/>
        </w:rPr>
        <w:t xml:space="preserve">SQL</w:t>
      </w:r>
      <w:r w:rsidDel="00000000" w:rsidR="00000000" w:rsidRPr="00000000">
        <w:rPr>
          <w:color w:val="404040"/>
          <w:sz w:val="24"/>
          <w:szCs w:val="24"/>
          <w:rtl w:val="0"/>
        </w:rPr>
        <w:t xml:space="preserve">: Utilized for extracting, cleaning, and preparing data from relational databases, ensuring seamless integration into analysis workflows.</w:t>
      </w:r>
    </w:p>
    <w:p w:rsidR="00000000" w:rsidDel="00000000" w:rsidP="00000000" w:rsidRDefault="00000000" w:rsidRPr="00000000" w14:paraId="00000009">
      <w:pPr>
        <w:numPr>
          <w:ilvl w:val="0"/>
          <w:numId w:val="7"/>
        </w:numPr>
        <w:spacing w:before="0" w:beforeAutospacing="0" w:lineRule="auto"/>
        <w:ind w:left="720" w:hanging="360"/>
      </w:pPr>
      <w:r w:rsidDel="00000000" w:rsidR="00000000" w:rsidRPr="00000000">
        <w:rPr>
          <w:b w:val="1"/>
          <w:color w:val="404040"/>
          <w:sz w:val="24"/>
          <w:szCs w:val="24"/>
          <w:rtl w:val="0"/>
        </w:rPr>
        <w:t xml:space="preserve">Google Colab</w:t>
      </w:r>
      <w:r w:rsidDel="00000000" w:rsidR="00000000" w:rsidRPr="00000000">
        <w:rPr>
          <w:color w:val="404040"/>
          <w:sz w:val="24"/>
          <w:szCs w:val="24"/>
          <w:rtl w:val="0"/>
        </w:rPr>
        <w:t xml:space="preserve">:</w:t>
      </w:r>
      <w:r w:rsidDel="00000000" w:rsidR="00000000" w:rsidRPr="00000000">
        <w:rPr>
          <w:color w:val="404040"/>
          <w:sz w:val="24"/>
          <w:szCs w:val="24"/>
          <w:highlight w:val="yellow"/>
          <w:rtl w:val="0"/>
        </w:rPr>
        <w:t xml:space="preserve"> Leveraged for coding and analysis in a cloud environment, enabling efficient data manipulation and visualization using Python.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404040"/>
        </w:rPr>
      </w:pPr>
      <w:bookmarkStart w:colFirst="0" w:colLast="0" w:name="_3r9uape23dm" w:id="3"/>
      <w:bookmarkEnd w:id="3"/>
      <w:r w:rsidDel="00000000" w:rsidR="00000000" w:rsidRPr="00000000">
        <w:rPr>
          <w:b w:val="1"/>
          <w:color w:val="404040"/>
          <w:rtl w:val="0"/>
        </w:rPr>
        <w:t xml:space="preserve">Data Collection and Cleaning</w:t>
      </w:r>
    </w:p>
    <w:p w:rsidR="00000000" w:rsidDel="00000000" w:rsidP="00000000" w:rsidRDefault="00000000" w:rsidRPr="00000000" w14:paraId="0000000C">
      <w:pPr>
        <w:rPr>
          <w:color w:val="404040"/>
          <w:sz w:val="24"/>
          <w:szCs w:val="24"/>
        </w:rPr>
      </w:pPr>
      <w:r w:rsidDel="00000000" w:rsidR="00000000" w:rsidRPr="00000000">
        <w:rPr>
          <w:b w:val="1"/>
          <w:color w:val="404040"/>
          <w:sz w:val="24"/>
          <w:szCs w:val="24"/>
          <w:rtl w:val="0"/>
        </w:rPr>
        <w:t xml:space="preserve">Data Collection</w:t>
        <w:br w:type="textWrapping"/>
      </w:r>
      <w:r w:rsidDel="00000000" w:rsidR="00000000" w:rsidRPr="00000000">
        <w:rPr>
          <w:color w:val="404040"/>
          <w:sz w:val="24"/>
          <w:szCs w:val="24"/>
          <w:rtl w:val="0"/>
        </w:rPr>
        <w:t xml:space="preserve">The sales data(US_Regional_Sales_Data) was sourced from data_world. Key variables included:</w:t>
      </w:r>
    </w:p>
    <w:p w:rsidR="00000000" w:rsidDel="00000000" w:rsidP="00000000" w:rsidRDefault="00000000" w:rsidRPr="00000000" w14:paraId="0000000D">
      <w:pPr>
        <w:numPr>
          <w:ilvl w:val="0"/>
          <w:numId w:val="3"/>
        </w:numPr>
        <w:spacing w:after="0" w:afterAutospacing="0"/>
        <w:ind w:left="720" w:hanging="360"/>
      </w:pPr>
      <w:r w:rsidDel="00000000" w:rsidR="00000000" w:rsidRPr="00000000">
        <w:rPr>
          <w:b w:val="1"/>
          <w:color w:val="404040"/>
          <w:sz w:val="24"/>
          <w:szCs w:val="24"/>
          <w:rtl w:val="0"/>
        </w:rPr>
        <w:t xml:space="preserve">Customer ID</w:t>
      </w:r>
      <w:r w:rsidDel="00000000" w:rsidR="00000000" w:rsidRPr="00000000">
        <w:rPr>
          <w:color w:val="404040"/>
          <w:sz w:val="24"/>
          <w:szCs w:val="24"/>
          <w:rtl w:val="0"/>
        </w:rPr>
        <w:t xml:space="preserve">: Unique identifier for each customer.</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color w:val="404040"/>
          <w:sz w:val="24"/>
          <w:szCs w:val="24"/>
          <w:rtl w:val="0"/>
        </w:rPr>
        <w:t xml:space="preserve">Order Date</w:t>
      </w:r>
      <w:r w:rsidDel="00000000" w:rsidR="00000000" w:rsidRPr="00000000">
        <w:rPr>
          <w:color w:val="404040"/>
          <w:sz w:val="24"/>
          <w:szCs w:val="24"/>
          <w:rtl w:val="0"/>
        </w:rPr>
        <w:t xml:space="preserve">: Date of each transaction.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color w:val="404040"/>
          <w:sz w:val="24"/>
          <w:szCs w:val="24"/>
          <w:rtl w:val="0"/>
        </w:rPr>
        <w:t xml:space="preserve">Product ID/Category</w:t>
      </w:r>
      <w:r w:rsidDel="00000000" w:rsidR="00000000" w:rsidRPr="00000000">
        <w:rPr>
          <w:color w:val="404040"/>
          <w:sz w:val="24"/>
          <w:szCs w:val="24"/>
          <w:rtl w:val="0"/>
        </w:rPr>
        <w:t xml:space="preserve">: Information on the product sold.</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color w:val="404040"/>
          <w:sz w:val="24"/>
          <w:szCs w:val="24"/>
          <w:rtl w:val="0"/>
        </w:rPr>
        <w:t xml:space="preserve">Order Quantity and Price</w:t>
      </w:r>
      <w:r w:rsidDel="00000000" w:rsidR="00000000" w:rsidRPr="00000000">
        <w:rPr>
          <w:color w:val="404040"/>
          <w:sz w:val="24"/>
          <w:szCs w:val="24"/>
          <w:rtl w:val="0"/>
        </w:rPr>
        <w:t xml:space="preserve">: Quantity sold and price per unit for each order.</w:t>
      </w:r>
    </w:p>
    <w:p w:rsidR="00000000" w:rsidDel="00000000" w:rsidP="00000000" w:rsidRDefault="00000000" w:rsidRPr="00000000" w14:paraId="00000011">
      <w:pPr>
        <w:numPr>
          <w:ilvl w:val="0"/>
          <w:numId w:val="3"/>
        </w:numPr>
        <w:spacing w:before="0" w:beforeAutospacing="0" w:lineRule="auto"/>
        <w:ind w:left="720" w:hanging="360"/>
        <w:rPr>
          <w:highlight w:val="white"/>
        </w:rPr>
      </w:pPr>
      <w:r w:rsidDel="00000000" w:rsidR="00000000" w:rsidRPr="00000000">
        <w:rPr>
          <w:b w:val="1"/>
          <w:color w:val="404040"/>
          <w:sz w:val="24"/>
          <w:szCs w:val="24"/>
          <w:highlight w:val="white"/>
          <w:rtl w:val="0"/>
        </w:rPr>
        <w:t xml:space="preserve">Profit Contribution</w:t>
      </w:r>
      <w:r w:rsidDel="00000000" w:rsidR="00000000" w:rsidRPr="00000000">
        <w:rPr>
          <w:b w:val="1"/>
          <w:color w:val="404040"/>
          <w:sz w:val="24"/>
          <w:szCs w:val="24"/>
          <w:highlight w:val="white"/>
          <w:rtl w:val="0"/>
        </w:rPr>
        <w:t xml:space="preserve"> and Profit Margins</w:t>
      </w:r>
      <w:r w:rsidDel="00000000" w:rsidR="00000000" w:rsidRPr="00000000">
        <w:rPr>
          <w:color w:val="404040"/>
          <w:sz w:val="24"/>
          <w:szCs w:val="24"/>
          <w:highlight w:val="white"/>
          <w:rtl w:val="0"/>
        </w:rPr>
        <w:t xml:space="preserve">: Financial metrics associated with each transaction.</w:t>
      </w:r>
      <w:r w:rsidDel="00000000" w:rsidR="00000000" w:rsidRPr="00000000">
        <w:rPr>
          <w:rtl w:val="0"/>
        </w:rPr>
      </w:r>
    </w:p>
    <w:p w:rsidR="00000000" w:rsidDel="00000000" w:rsidP="00000000" w:rsidRDefault="00000000" w:rsidRPr="00000000" w14:paraId="00000012">
      <w:pPr>
        <w:rPr>
          <w:color w:val="404040"/>
          <w:sz w:val="24"/>
          <w:szCs w:val="24"/>
        </w:rPr>
      </w:pPr>
      <w:r w:rsidDel="00000000" w:rsidR="00000000" w:rsidRPr="00000000">
        <w:rPr>
          <w:b w:val="1"/>
          <w:color w:val="404040"/>
          <w:sz w:val="24"/>
          <w:szCs w:val="24"/>
          <w:rtl w:val="0"/>
        </w:rPr>
        <w:t xml:space="preserve">Data Cleaning</w:t>
        <w:br w:type="textWrapping"/>
      </w:r>
      <w:r w:rsidDel="00000000" w:rsidR="00000000" w:rsidRPr="00000000">
        <w:rPr>
          <w:color w:val="404040"/>
          <w:sz w:val="24"/>
          <w:szCs w:val="24"/>
          <w:rtl w:val="0"/>
        </w:rPr>
        <w:t xml:space="preserve">To ensure data reliability, the following steps were performed:</w:t>
      </w:r>
    </w:p>
    <w:p w:rsidR="00000000" w:rsidDel="00000000" w:rsidP="00000000" w:rsidRDefault="00000000" w:rsidRPr="00000000" w14:paraId="00000013">
      <w:pPr>
        <w:numPr>
          <w:ilvl w:val="0"/>
          <w:numId w:val="10"/>
        </w:numPr>
        <w:spacing w:after="0" w:afterAutospacing="0"/>
        <w:ind w:left="720" w:hanging="360"/>
      </w:pPr>
      <w:r w:rsidDel="00000000" w:rsidR="00000000" w:rsidRPr="00000000">
        <w:rPr>
          <w:b w:val="1"/>
          <w:color w:val="404040"/>
          <w:sz w:val="24"/>
          <w:szCs w:val="24"/>
          <w:rtl w:val="0"/>
        </w:rPr>
        <w:t xml:space="preserve">Handling Missing Values</w:t>
      </w:r>
      <w:r w:rsidDel="00000000" w:rsidR="00000000" w:rsidRPr="00000000">
        <w:rPr>
          <w:color w:val="404040"/>
          <w:sz w:val="24"/>
          <w:szCs w:val="24"/>
          <w:rtl w:val="0"/>
        </w:rPr>
        <w:t xml:space="preserve">: Removed or filled missing values in critical fields like </w:t>
      </w:r>
      <w:r w:rsidDel="00000000" w:rsidR="00000000" w:rsidRPr="00000000">
        <w:rPr>
          <w:b w:val="1"/>
          <w:color w:val="404040"/>
          <w:sz w:val="24"/>
          <w:szCs w:val="24"/>
          <w:rtl w:val="0"/>
        </w:rPr>
        <w:t xml:space="preserve">Order Date</w:t>
      </w:r>
      <w:r w:rsidDel="00000000" w:rsidR="00000000" w:rsidRPr="00000000">
        <w:rPr>
          <w:color w:val="404040"/>
          <w:sz w:val="24"/>
          <w:szCs w:val="24"/>
          <w:rtl w:val="0"/>
        </w:rPr>
        <w:t xml:space="preserve"> and </w:t>
      </w:r>
      <w:r w:rsidDel="00000000" w:rsidR="00000000" w:rsidRPr="00000000">
        <w:rPr>
          <w:b w:val="1"/>
          <w:color w:val="404040"/>
          <w:sz w:val="24"/>
          <w:szCs w:val="24"/>
          <w:rtl w:val="0"/>
        </w:rPr>
        <w:t xml:space="preserve">Revenue</w:t>
      </w:r>
      <w:r w:rsidDel="00000000" w:rsidR="00000000" w:rsidRPr="00000000">
        <w:rPr>
          <w:color w:val="404040"/>
          <w:sz w:val="24"/>
          <w:szCs w:val="24"/>
          <w:rtl w:val="0"/>
        </w:rPr>
        <w:t xml:space="preserve">.</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color w:val="404040"/>
          <w:sz w:val="24"/>
          <w:szCs w:val="24"/>
          <w:rtl w:val="0"/>
        </w:rPr>
        <w:t xml:space="preserve">Data Type Conversion</w:t>
      </w:r>
      <w:r w:rsidDel="00000000" w:rsidR="00000000" w:rsidRPr="00000000">
        <w:rPr>
          <w:color w:val="404040"/>
          <w:sz w:val="24"/>
          <w:szCs w:val="24"/>
          <w:rtl w:val="0"/>
        </w:rPr>
        <w:t xml:space="preserve">: Standardized fields such as </w:t>
      </w:r>
      <w:r w:rsidDel="00000000" w:rsidR="00000000" w:rsidRPr="00000000">
        <w:rPr>
          <w:b w:val="1"/>
          <w:color w:val="404040"/>
          <w:sz w:val="24"/>
          <w:szCs w:val="24"/>
          <w:rtl w:val="0"/>
        </w:rPr>
        <w:t xml:space="preserve">Order Date</w:t>
      </w:r>
      <w:r w:rsidDel="00000000" w:rsidR="00000000" w:rsidRPr="00000000">
        <w:rPr>
          <w:color w:val="404040"/>
          <w:sz w:val="24"/>
          <w:szCs w:val="24"/>
          <w:rtl w:val="0"/>
        </w:rPr>
        <w:t xml:space="preserve"> to date format and numerical data for easier calculations.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color w:val="404040"/>
          <w:sz w:val="24"/>
          <w:szCs w:val="24"/>
          <w:rtl w:val="0"/>
        </w:rPr>
        <w:t xml:space="preserve">Removing Duplicates</w:t>
      </w:r>
      <w:r w:rsidDel="00000000" w:rsidR="00000000" w:rsidRPr="00000000">
        <w:rPr>
          <w:color w:val="404040"/>
          <w:sz w:val="24"/>
          <w:szCs w:val="24"/>
          <w:rtl w:val="0"/>
        </w:rPr>
        <w:t xml:space="preserve">: Eliminated duplicate entries to prevent skewed insights.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color w:val="404040"/>
          <w:sz w:val="24"/>
          <w:szCs w:val="24"/>
          <w:rtl w:val="0"/>
        </w:rPr>
        <w:t xml:space="preserve">Outlier Detection</w:t>
      </w:r>
      <w:r w:rsidDel="00000000" w:rsidR="00000000" w:rsidRPr="00000000">
        <w:rPr>
          <w:color w:val="404040"/>
          <w:sz w:val="24"/>
          <w:szCs w:val="24"/>
          <w:rtl w:val="0"/>
        </w:rPr>
        <w:t xml:space="preserve">:Identified and reviewed outliers in fields like Total Sales and Total Profit to maintain accurate trend insights.</w:t>
      </w:r>
    </w:p>
    <w:p w:rsidR="00000000" w:rsidDel="00000000" w:rsidP="00000000" w:rsidRDefault="00000000" w:rsidRPr="00000000" w14:paraId="00000017">
      <w:pPr>
        <w:numPr>
          <w:ilvl w:val="0"/>
          <w:numId w:val="10"/>
        </w:numPr>
        <w:spacing w:before="0" w:beforeAutospacing="0" w:lineRule="auto"/>
        <w:ind w:left="720" w:hanging="360"/>
      </w:pPr>
      <w:r w:rsidDel="00000000" w:rsidR="00000000" w:rsidRPr="00000000">
        <w:rPr>
          <w:b w:val="1"/>
          <w:color w:val="404040"/>
          <w:sz w:val="24"/>
          <w:szCs w:val="24"/>
          <w:rtl w:val="0"/>
        </w:rPr>
        <w:t xml:space="preserve">Standardization</w:t>
      </w:r>
      <w:r w:rsidDel="00000000" w:rsidR="00000000" w:rsidRPr="00000000">
        <w:rPr>
          <w:color w:val="404040"/>
          <w:sz w:val="24"/>
          <w:szCs w:val="24"/>
          <w:rtl w:val="0"/>
        </w:rPr>
        <w:t xml:space="preserve">: Ensured consistency across categorical fields, such as product categories.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40" w:before="240" w:lineRule="auto"/>
        <w:rPr>
          <w:b w:val="1"/>
          <w:sz w:val="26"/>
          <w:szCs w:val="26"/>
        </w:rPr>
      </w:pPr>
      <w:bookmarkStart w:colFirst="0" w:colLast="0" w:name="_2ghh9lko14w" w:id="4"/>
      <w:bookmarkEnd w:id="4"/>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A">
      <w:pPr>
        <w:pStyle w:val="Heading3"/>
        <w:spacing w:after="240" w:before="240" w:lineRule="auto"/>
        <w:rPr/>
      </w:pPr>
      <w:bookmarkStart w:colFirst="0" w:colLast="0" w:name="_9x27f7xtx0n6" w:id="5"/>
      <w:bookmarkEnd w:id="5"/>
      <w:r w:rsidDel="00000000" w:rsidR="00000000" w:rsidRPr="00000000">
        <w:rPr>
          <w:rtl w:val="0"/>
        </w:rPr>
        <w:t xml:space="preserve">The project followed a structured approach to analyze sales and profitability trends.</w:t>
      </w:r>
    </w:p>
    <w:p w:rsidR="00000000" w:rsidDel="00000000" w:rsidP="00000000" w:rsidRDefault="00000000" w:rsidRPr="00000000" w14:paraId="0000001B">
      <w:pPr>
        <w:pStyle w:val="Heading3"/>
        <w:numPr>
          <w:ilvl w:val="0"/>
          <w:numId w:val="8"/>
        </w:numPr>
        <w:spacing w:after="0" w:afterAutospacing="0" w:before="240" w:lineRule="auto"/>
        <w:ind w:left="720" w:hanging="360"/>
      </w:pPr>
      <w:bookmarkStart w:colFirst="0" w:colLast="0" w:name="_9x27f7xtx0n6" w:id="5"/>
      <w:bookmarkEnd w:id="5"/>
      <w:r w:rsidDel="00000000" w:rsidR="00000000" w:rsidRPr="00000000">
        <w:rPr>
          <w:b w:val="1"/>
          <w:rtl w:val="0"/>
        </w:rPr>
        <w:t xml:space="preserve">Data Cleaning:</w:t>
      </w:r>
      <w:r w:rsidDel="00000000" w:rsidR="00000000" w:rsidRPr="00000000">
        <w:rPr>
          <w:rtl w:val="0"/>
        </w:rPr>
        <w:t xml:space="preserve"> Handled missing values, removed duplicates, and standardized data types for accurate analysis.</w:t>
      </w:r>
    </w:p>
    <w:p w:rsidR="00000000" w:rsidDel="00000000" w:rsidP="00000000" w:rsidRDefault="00000000" w:rsidRPr="00000000" w14:paraId="0000001C">
      <w:pPr>
        <w:pStyle w:val="Heading3"/>
        <w:numPr>
          <w:ilvl w:val="0"/>
          <w:numId w:val="8"/>
        </w:numPr>
        <w:spacing w:after="0" w:afterAutospacing="0" w:before="0" w:beforeAutospacing="0" w:lineRule="auto"/>
        <w:ind w:left="720" w:hanging="360"/>
      </w:pPr>
      <w:bookmarkStart w:colFirst="0" w:colLast="0" w:name="_9x27f7xtx0n6" w:id="5"/>
      <w:bookmarkEnd w:id="5"/>
      <w:r w:rsidDel="00000000" w:rsidR="00000000" w:rsidRPr="00000000">
        <w:rPr>
          <w:b w:val="1"/>
          <w:rtl w:val="0"/>
        </w:rPr>
        <w:t xml:space="preserve">Exploratory Data Analysis (EDA):</w:t>
      </w:r>
      <w:r w:rsidDel="00000000" w:rsidR="00000000" w:rsidRPr="00000000">
        <w:rPr>
          <w:rtl w:val="0"/>
        </w:rPr>
        <w:t xml:space="preserve"> Identified key trends and patterns using Tableau dashboards and Python visualizations.</w:t>
      </w:r>
    </w:p>
    <w:p w:rsidR="00000000" w:rsidDel="00000000" w:rsidP="00000000" w:rsidRDefault="00000000" w:rsidRPr="00000000" w14:paraId="0000001D">
      <w:pPr>
        <w:pStyle w:val="Heading3"/>
        <w:numPr>
          <w:ilvl w:val="0"/>
          <w:numId w:val="8"/>
        </w:numPr>
        <w:spacing w:after="0" w:afterAutospacing="0" w:before="0" w:beforeAutospacing="0" w:lineRule="auto"/>
        <w:ind w:left="720" w:hanging="360"/>
      </w:pPr>
      <w:bookmarkStart w:colFirst="0" w:colLast="0" w:name="_9x27f7xtx0n6" w:id="5"/>
      <w:bookmarkEnd w:id="5"/>
      <w:r w:rsidDel="00000000" w:rsidR="00000000" w:rsidRPr="00000000">
        <w:rPr>
          <w:b w:val="1"/>
          <w:rtl w:val="0"/>
        </w:rPr>
        <w:t xml:space="preserve">Profitability Analysis:</w:t>
      </w:r>
      <w:r w:rsidDel="00000000" w:rsidR="00000000" w:rsidRPr="00000000">
        <w:rPr>
          <w:rtl w:val="0"/>
        </w:rPr>
        <w:t xml:space="preserve"> Assessed product-level sales and profitability to uncover high-performing categories.</w:t>
      </w:r>
    </w:p>
    <w:p w:rsidR="00000000" w:rsidDel="00000000" w:rsidP="00000000" w:rsidRDefault="00000000" w:rsidRPr="00000000" w14:paraId="0000001E">
      <w:pPr>
        <w:pStyle w:val="Heading3"/>
        <w:numPr>
          <w:ilvl w:val="0"/>
          <w:numId w:val="8"/>
        </w:numPr>
        <w:spacing w:after="0" w:afterAutospacing="0" w:before="0" w:beforeAutospacing="0" w:lineRule="auto"/>
        <w:ind w:left="720" w:hanging="360"/>
      </w:pPr>
      <w:bookmarkStart w:colFirst="0" w:colLast="0" w:name="_9x27f7xtx0n6" w:id="5"/>
      <w:bookmarkEnd w:id="5"/>
      <w:r w:rsidDel="00000000" w:rsidR="00000000" w:rsidRPr="00000000">
        <w:rPr>
          <w:b w:val="1"/>
          <w:rtl w:val="0"/>
        </w:rPr>
        <w:t xml:space="preserve">Regional Analysis:</w:t>
      </w:r>
      <w:r w:rsidDel="00000000" w:rsidR="00000000" w:rsidRPr="00000000">
        <w:rPr>
          <w:rtl w:val="0"/>
        </w:rPr>
        <w:t xml:space="preserve"> Compared regional sales performance to identify growth opportunities and optimize sales strategies.</w:t>
      </w:r>
    </w:p>
    <w:p w:rsidR="00000000" w:rsidDel="00000000" w:rsidP="00000000" w:rsidRDefault="00000000" w:rsidRPr="00000000" w14:paraId="0000001F">
      <w:pPr>
        <w:pStyle w:val="Heading3"/>
        <w:numPr>
          <w:ilvl w:val="0"/>
          <w:numId w:val="8"/>
        </w:numPr>
        <w:spacing w:after="240" w:before="0" w:beforeAutospacing="0" w:lineRule="auto"/>
        <w:ind w:left="720" w:hanging="360"/>
      </w:pPr>
      <w:bookmarkStart w:colFirst="0" w:colLast="0" w:name="_u2sd4oldvzw0" w:id="6"/>
      <w:bookmarkEnd w:id="6"/>
      <w:r w:rsidDel="00000000" w:rsidR="00000000" w:rsidRPr="00000000">
        <w:rPr>
          <w:b w:val="1"/>
          <w:rtl w:val="0"/>
        </w:rPr>
        <w:t xml:space="preserve">Actionable Recommendations:</w:t>
      </w:r>
      <w:r w:rsidDel="00000000" w:rsidR="00000000" w:rsidRPr="00000000">
        <w:rPr>
          <w:rtl w:val="0"/>
        </w:rPr>
        <w:t xml:space="preserve"> Delivered insights for stakeholders on improving product focus, regional campaigns, and seasonal marketing efforts.</w:t>
      </w:r>
    </w:p>
    <w:p w:rsidR="00000000" w:rsidDel="00000000" w:rsidP="00000000" w:rsidRDefault="00000000" w:rsidRPr="00000000" w14:paraId="00000020">
      <w:pPr>
        <w:pStyle w:val="Heading3"/>
        <w:rPr>
          <w:b w:val="1"/>
          <w:color w:val="404040"/>
        </w:rPr>
      </w:pPr>
      <w:bookmarkStart w:colFirst="0" w:colLast="0" w:name="_9x27f7xtx0n6" w:id="5"/>
      <w:bookmarkEnd w:id="5"/>
      <w:r w:rsidDel="00000000" w:rsidR="00000000" w:rsidRPr="00000000">
        <w:pict>
          <v:rect style="width:0.0pt;height:1.5pt" o:hr="t" o:hrstd="t" o:hralign="center" fillcolor="#A0A0A0" stroked="f"/>
        </w:pict>
      </w:r>
      <w:r w:rsidDel="00000000" w:rsidR="00000000" w:rsidRPr="00000000">
        <w:rPr>
          <w:b w:val="1"/>
          <w:color w:val="404040"/>
          <w:rtl w:val="0"/>
        </w:rPr>
        <w:t xml:space="preserve">Dashboards Documentation</w:t>
      </w:r>
    </w:p>
    <w:p w:rsidR="00000000" w:rsidDel="00000000" w:rsidP="00000000" w:rsidRDefault="00000000" w:rsidRPr="00000000" w14:paraId="00000021">
      <w:pPr>
        <w:rPr>
          <w:b w:val="1"/>
          <w:color w:val="404040"/>
          <w:sz w:val="24"/>
          <w:szCs w:val="24"/>
        </w:rPr>
      </w:pPr>
      <w:r w:rsidDel="00000000" w:rsidR="00000000" w:rsidRPr="00000000">
        <w:rPr>
          <w:b w:val="1"/>
          <w:color w:val="404040"/>
          <w:sz w:val="24"/>
          <w:szCs w:val="24"/>
          <w:rtl w:val="0"/>
        </w:rPr>
        <w:t xml:space="preserve">1. Profitability Dashboard</w:t>
      </w:r>
    </w:p>
    <w:p w:rsidR="00000000" w:rsidDel="00000000" w:rsidP="00000000" w:rsidRDefault="00000000" w:rsidRPr="00000000" w14:paraId="00000022">
      <w:pPr>
        <w:numPr>
          <w:ilvl w:val="0"/>
          <w:numId w:val="1"/>
        </w:numPr>
        <w:spacing w:after="0" w:afterAutospacing="0"/>
        <w:ind w:left="720" w:hanging="360"/>
      </w:pPr>
      <w:r w:rsidDel="00000000" w:rsidR="00000000" w:rsidRPr="00000000">
        <w:rPr>
          <w:b w:val="1"/>
          <w:color w:val="404040"/>
          <w:sz w:val="24"/>
          <w:szCs w:val="24"/>
          <w:rtl w:val="0"/>
        </w:rPr>
        <w:t xml:space="preserve">Overall Profit</w:t>
      </w:r>
      <w:r w:rsidDel="00000000" w:rsidR="00000000" w:rsidRPr="00000000">
        <w:rPr>
          <w:color w:val="404040"/>
          <w:sz w:val="24"/>
          <w:szCs w:val="24"/>
          <w:rtl w:val="0"/>
        </w:rPr>
        <w:t xml:space="preserve">: Total profit is $21,325,327.</w:t>
      </w:r>
    </w:p>
    <w:p w:rsidR="00000000" w:rsidDel="00000000" w:rsidP="00000000" w:rsidRDefault="00000000" w:rsidRPr="00000000" w14:paraId="00000023">
      <w:pPr>
        <w:numPr>
          <w:ilvl w:val="0"/>
          <w:numId w:val="1"/>
        </w:numPr>
        <w:spacing w:after="0" w:afterAutospacing="0" w:before="0" w:beforeAutospacing="0" w:lineRule="auto"/>
        <w:ind w:left="720" w:hanging="360"/>
        <w:rPr>
          <w:highlight w:val="white"/>
        </w:rPr>
      </w:pPr>
      <w:r w:rsidDel="00000000" w:rsidR="00000000" w:rsidRPr="00000000">
        <w:rPr>
          <w:b w:val="1"/>
          <w:color w:val="404040"/>
          <w:sz w:val="24"/>
          <w:szCs w:val="24"/>
          <w:highlight w:val="white"/>
          <w:rtl w:val="0"/>
        </w:rPr>
        <w:t xml:space="preserve">Profit by Product</w:t>
      </w:r>
      <w:r w:rsidDel="00000000" w:rsidR="00000000" w:rsidRPr="00000000">
        <w:rPr>
          <w:color w:val="404040"/>
          <w:sz w:val="24"/>
          <w:szCs w:val="24"/>
          <w:highlight w:val="white"/>
          <w:rtl w:val="0"/>
        </w:rPr>
        <w:t xml:space="preserve">: Accessories, Photo Frames, and Bathroom Furniture are the most profitable. Cocktail Glasses, Table Linens, and Stemware have comparatively lower profitability yet in the top 10 .</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color w:val="404040"/>
          <w:sz w:val="24"/>
          <w:szCs w:val="24"/>
          <w:rtl w:val="0"/>
        </w:rPr>
        <w:t xml:space="preserve">Profit by Region</w:t>
      </w:r>
      <w:r w:rsidDel="00000000" w:rsidR="00000000" w:rsidRPr="00000000">
        <w:rPr>
          <w:color w:val="404040"/>
          <w:sz w:val="24"/>
          <w:szCs w:val="24"/>
          <w:rtl w:val="0"/>
        </w:rPr>
        <w:t xml:space="preserve">: Midwest and Northeast are the most profitable regions; South and West lag behind.</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color w:val="404040"/>
          <w:sz w:val="24"/>
          <w:szCs w:val="24"/>
          <w:rtl w:val="0"/>
        </w:rPr>
        <w:t xml:space="preserve">Profit Trend</w:t>
      </w:r>
      <w:r w:rsidDel="00000000" w:rsidR="00000000" w:rsidRPr="00000000">
        <w:rPr>
          <w:color w:val="404040"/>
          <w:sz w:val="24"/>
          <w:szCs w:val="24"/>
          <w:rtl w:val="0"/>
        </w:rPr>
        <w:t xml:space="preserve">: Profit peaked in 2019 but declined in 2020.</w:t>
      </w:r>
    </w:p>
    <w:p w:rsidR="00000000" w:rsidDel="00000000" w:rsidP="00000000" w:rsidRDefault="00000000" w:rsidRPr="00000000" w14:paraId="00000026">
      <w:pPr>
        <w:numPr>
          <w:ilvl w:val="0"/>
          <w:numId w:val="1"/>
        </w:numPr>
        <w:spacing w:before="0" w:beforeAutospacing="0" w:lineRule="auto"/>
        <w:ind w:left="720" w:hanging="360"/>
      </w:pPr>
      <w:r w:rsidDel="00000000" w:rsidR="00000000" w:rsidRPr="00000000">
        <w:rPr>
          <w:b w:val="1"/>
          <w:color w:val="404040"/>
          <w:sz w:val="24"/>
          <w:szCs w:val="24"/>
          <w:rtl w:val="0"/>
        </w:rPr>
        <w:t xml:space="preserve">Profit Margin</w:t>
      </w:r>
      <w:r w:rsidDel="00000000" w:rsidR="00000000" w:rsidRPr="00000000">
        <w:rPr>
          <w:color w:val="404040"/>
          <w:sz w:val="24"/>
          <w:szCs w:val="24"/>
          <w:rtl w:val="0"/>
        </w:rPr>
        <w:t xml:space="preserve">: Stable across regions, with Midwest having the highest margin.</w:t>
      </w:r>
    </w:p>
    <w:p w:rsidR="00000000" w:rsidDel="00000000" w:rsidP="00000000" w:rsidRDefault="00000000" w:rsidRPr="00000000" w14:paraId="00000027">
      <w:pPr>
        <w:spacing w:before="60" w:lineRule="auto"/>
        <w:ind w:left="720" w:firstLine="0"/>
        <w:rPr>
          <w:color w:val="404040"/>
          <w:sz w:val="24"/>
          <w:szCs w:val="24"/>
        </w:rPr>
      </w:pPr>
      <w:r w:rsidDel="00000000" w:rsidR="00000000" w:rsidRPr="00000000">
        <w:rPr>
          <w:color w:val="404040"/>
          <w:sz w:val="24"/>
          <w:szCs w:val="24"/>
        </w:rPr>
        <w:drawing>
          <wp:inline distB="114300" distT="114300" distL="114300" distR="114300">
            <wp:extent cx="5286635" cy="312730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86635" cy="31273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color w:val="404040"/>
          <w:sz w:val="24"/>
          <w:szCs w:val="24"/>
        </w:rPr>
      </w:pPr>
      <w:r w:rsidDel="00000000" w:rsidR="00000000" w:rsidRPr="00000000">
        <w:rPr>
          <w:b w:val="1"/>
          <w:color w:val="404040"/>
          <w:sz w:val="24"/>
          <w:szCs w:val="24"/>
          <w:rtl w:val="0"/>
        </w:rPr>
        <w:t xml:space="preserve">2. Sales Dashboard</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b w:val="1"/>
          <w:color w:val="404040"/>
          <w:sz w:val="24"/>
          <w:szCs w:val="24"/>
          <w:rtl w:val="0"/>
        </w:rPr>
        <w:t xml:space="preserve">Overall Sales</w:t>
      </w:r>
      <w:r w:rsidDel="00000000" w:rsidR="00000000" w:rsidRPr="00000000">
        <w:rPr>
          <w:color w:val="404040"/>
          <w:sz w:val="24"/>
          <w:szCs w:val="24"/>
          <w:rtl w:val="0"/>
        </w:rPr>
        <w:t xml:space="preserve">: Total sales are $73,143,380.</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color w:val="404040"/>
          <w:sz w:val="24"/>
          <w:szCs w:val="24"/>
          <w:rtl w:val="0"/>
        </w:rPr>
        <w:t xml:space="preserve">Sales by Region</w:t>
      </w:r>
      <w:r w:rsidDel="00000000" w:rsidR="00000000" w:rsidRPr="00000000">
        <w:rPr>
          <w:color w:val="404040"/>
          <w:sz w:val="24"/>
          <w:szCs w:val="24"/>
          <w:rtl w:val="0"/>
        </w:rPr>
        <w:t xml:space="preserve">: Midwest leads in sales, followed by Northeast. South and West have lower sales.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color w:val="404040"/>
          <w:sz w:val="24"/>
          <w:szCs w:val="24"/>
          <w:rtl w:val="0"/>
        </w:rPr>
        <w:t xml:space="preserve">Best-Selling Products</w:t>
      </w:r>
      <w:r w:rsidDel="00000000" w:rsidR="00000000" w:rsidRPr="00000000">
        <w:rPr>
          <w:color w:val="404040"/>
          <w:sz w:val="24"/>
          <w:szCs w:val="24"/>
          <w:rtl w:val="0"/>
        </w:rPr>
        <w:t xml:space="preserve">: Accessories, Collectibles, and Photo Frames are top performers. Furniture Cushions and Platters underperform.</w:t>
      </w:r>
    </w:p>
    <w:p w:rsidR="00000000" w:rsidDel="00000000" w:rsidP="00000000" w:rsidRDefault="00000000" w:rsidRPr="00000000" w14:paraId="0000002C">
      <w:pPr>
        <w:numPr>
          <w:ilvl w:val="0"/>
          <w:numId w:val="2"/>
        </w:numPr>
        <w:spacing w:before="0" w:beforeAutospacing="0" w:lineRule="auto"/>
        <w:ind w:left="720" w:hanging="360"/>
      </w:pPr>
      <w:r w:rsidDel="00000000" w:rsidR="00000000" w:rsidRPr="00000000">
        <w:rPr>
          <w:b w:val="1"/>
          <w:color w:val="404040"/>
          <w:sz w:val="24"/>
          <w:szCs w:val="24"/>
          <w:rtl w:val="0"/>
        </w:rPr>
        <w:t xml:space="preserve">Sales Trend</w:t>
      </w:r>
      <w:r w:rsidDel="00000000" w:rsidR="00000000" w:rsidRPr="00000000">
        <w:rPr>
          <w:color w:val="404040"/>
          <w:sz w:val="24"/>
          <w:szCs w:val="24"/>
          <w:rtl w:val="0"/>
        </w:rPr>
        <w:t xml:space="preserve">: Sales peaked in 2019 but declined in 2020.</w:t>
      </w:r>
    </w:p>
    <w:p w:rsidR="00000000" w:rsidDel="00000000" w:rsidP="00000000" w:rsidRDefault="00000000" w:rsidRPr="00000000" w14:paraId="0000002D">
      <w:pPr>
        <w:spacing w:before="60" w:lineRule="auto"/>
        <w:ind w:left="720" w:firstLine="0"/>
        <w:rPr>
          <w:color w:val="404040"/>
          <w:sz w:val="24"/>
          <w:szCs w:val="24"/>
        </w:rPr>
      </w:pPr>
      <w:r w:rsidDel="00000000" w:rsidR="00000000" w:rsidRPr="00000000">
        <w:rPr>
          <w:rtl w:val="0"/>
        </w:rPr>
      </w:r>
    </w:p>
    <w:p w:rsidR="00000000" w:rsidDel="00000000" w:rsidP="00000000" w:rsidRDefault="00000000" w:rsidRPr="00000000" w14:paraId="0000002E">
      <w:pPr>
        <w:spacing w:before="60" w:lineRule="auto"/>
        <w:ind w:left="0" w:firstLine="0"/>
        <w:rPr>
          <w:color w:val="404040"/>
          <w:sz w:val="24"/>
          <w:szCs w:val="24"/>
        </w:rPr>
      </w:pPr>
      <w:r w:rsidDel="00000000" w:rsidR="00000000" w:rsidRPr="00000000">
        <w:rPr>
          <w:color w:val="404040"/>
          <w:sz w:val="24"/>
          <w:szCs w:val="24"/>
        </w:rPr>
        <w:drawing>
          <wp:inline distB="114300" distT="114300" distL="114300" distR="114300">
            <wp:extent cx="5943600" cy="330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color w:val="404040"/>
          <w:sz w:val="24"/>
          <w:szCs w:val="24"/>
        </w:rPr>
      </w:pPr>
      <w:r w:rsidDel="00000000" w:rsidR="00000000" w:rsidRPr="00000000">
        <w:rPr>
          <w:rtl w:val="0"/>
        </w:rPr>
      </w:r>
    </w:p>
    <w:p w:rsidR="00000000" w:rsidDel="00000000" w:rsidP="00000000" w:rsidRDefault="00000000" w:rsidRPr="00000000" w14:paraId="00000030">
      <w:pPr>
        <w:rPr>
          <w:b w:val="1"/>
          <w:color w:val="404040"/>
          <w:sz w:val="24"/>
          <w:szCs w:val="24"/>
        </w:rPr>
      </w:pPr>
      <w:r w:rsidDel="00000000" w:rsidR="00000000" w:rsidRPr="00000000">
        <w:rPr>
          <w:rtl w:val="0"/>
        </w:rPr>
      </w:r>
    </w:p>
    <w:p w:rsidR="00000000" w:rsidDel="00000000" w:rsidP="00000000" w:rsidRDefault="00000000" w:rsidRPr="00000000" w14:paraId="00000031">
      <w:pPr>
        <w:rPr>
          <w:b w:val="1"/>
          <w:color w:val="404040"/>
          <w:sz w:val="24"/>
          <w:szCs w:val="24"/>
        </w:rPr>
      </w:pPr>
      <w:r w:rsidDel="00000000" w:rsidR="00000000" w:rsidRPr="00000000">
        <w:rPr>
          <w:rtl w:val="0"/>
        </w:rPr>
      </w:r>
    </w:p>
    <w:p w:rsidR="00000000" w:rsidDel="00000000" w:rsidP="00000000" w:rsidRDefault="00000000" w:rsidRPr="00000000" w14:paraId="00000032">
      <w:pPr>
        <w:rPr>
          <w:b w:val="1"/>
          <w:color w:val="404040"/>
          <w:sz w:val="24"/>
          <w:szCs w:val="24"/>
        </w:rPr>
      </w:pPr>
      <w:r w:rsidDel="00000000" w:rsidR="00000000" w:rsidRPr="00000000">
        <w:rPr>
          <w:rtl w:val="0"/>
        </w:rPr>
      </w:r>
    </w:p>
    <w:p w:rsidR="00000000" w:rsidDel="00000000" w:rsidP="00000000" w:rsidRDefault="00000000" w:rsidRPr="00000000" w14:paraId="00000033">
      <w:pPr>
        <w:rPr>
          <w:b w:val="1"/>
          <w:color w:val="404040"/>
          <w:sz w:val="24"/>
          <w:szCs w:val="24"/>
        </w:rPr>
      </w:pPr>
      <w:r w:rsidDel="00000000" w:rsidR="00000000" w:rsidRPr="00000000">
        <w:rPr>
          <w:rtl w:val="0"/>
        </w:rPr>
      </w:r>
    </w:p>
    <w:p w:rsidR="00000000" w:rsidDel="00000000" w:rsidP="00000000" w:rsidRDefault="00000000" w:rsidRPr="00000000" w14:paraId="00000034">
      <w:pPr>
        <w:rPr>
          <w:b w:val="1"/>
          <w:color w:val="404040"/>
          <w:sz w:val="24"/>
          <w:szCs w:val="24"/>
        </w:rPr>
      </w:pPr>
      <w:r w:rsidDel="00000000" w:rsidR="00000000" w:rsidRPr="00000000">
        <w:rPr>
          <w:rtl w:val="0"/>
        </w:rPr>
      </w:r>
    </w:p>
    <w:p w:rsidR="00000000" w:rsidDel="00000000" w:rsidP="00000000" w:rsidRDefault="00000000" w:rsidRPr="00000000" w14:paraId="00000035">
      <w:pPr>
        <w:rPr>
          <w:b w:val="1"/>
          <w:color w:val="404040"/>
          <w:sz w:val="24"/>
          <w:szCs w:val="24"/>
        </w:rPr>
      </w:pPr>
      <w:r w:rsidDel="00000000" w:rsidR="00000000" w:rsidRPr="00000000">
        <w:rPr>
          <w:rtl w:val="0"/>
        </w:rPr>
      </w:r>
    </w:p>
    <w:p w:rsidR="00000000" w:rsidDel="00000000" w:rsidP="00000000" w:rsidRDefault="00000000" w:rsidRPr="00000000" w14:paraId="00000036">
      <w:pPr>
        <w:rPr>
          <w:b w:val="1"/>
          <w:color w:val="404040"/>
          <w:sz w:val="24"/>
          <w:szCs w:val="24"/>
        </w:rPr>
      </w:pPr>
      <w:r w:rsidDel="00000000" w:rsidR="00000000" w:rsidRPr="00000000">
        <w:rPr>
          <w:rtl w:val="0"/>
        </w:rPr>
      </w:r>
    </w:p>
    <w:p w:rsidR="00000000" w:rsidDel="00000000" w:rsidP="00000000" w:rsidRDefault="00000000" w:rsidRPr="00000000" w14:paraId="00000037">
      <w:pPr>
        <w:rPr>
          <w:b w:val="1"/>
          <w:color w:val="404040"/>
          <w:sz w:val="24"/>
          <w:szCs w:val="24"/>
        </w:rPr>
      </w:pPr>
      <w:r w:rsidDel="00000000" w:rsidR="00000000" w:rsidRPr="00000000">
        <w:rPr>
          <w:rtl w:val="0"/>
        </w:rPr>
      </w:r>
    </w:p>
    <w:p w:rsidR="00000000" w:rsidDel="00000000" w:rsidP="00000000" w:rsidRDefault="00000000" w:rsidRPr="00000000" w14:paraId="00000038">
      <w:pPr>
        <w:rPr>
          <w:b w:val="1"/>
          <w:color w:val="404040"/>
          <w:sz w:val="24"/>
          <w:szCs w:val="24"/>
        </w:rPr>
      </w:pPr>
      <w:r w:rsidDel="00000000" w:rsidR="00000000" w:rsidRPr="00000000">
        <w:rPr>
          <w:rtl w:val="0"/>
        </w:rPr>
      </w:r>
    </w:p>
    <w:p w:rsidR="00000000" w:rsidDel="00000000" w:rsidP="00000000" w:rsidRDefault="00000000" w:rsidRPr="00000000" w14:paraId="00000039">
      <w:pPr>
        <w:rPr>
          <w:b w:val="1"/>
          <w:color w:val="404040"/>
          <w:sz w:val="24"/>
          <w:szCs w:val="24"/>
        </w:rPr>
      </w:pPr>
      <w:r w:rsidDel="00000000" w:rsidR="00000000" w:rsidRPr="00000000">
        <w:rPr>
          <w:rtl w:val="0"/>
        </w:rPr>
      </w:r>
    </w:p>
    <w:p w:rsidR="00000000" w:rsidDel="00000000" w:rsidP="00000000" w:rsidRDefault="00000000" w:rsidRPr="00000000" w14:paraId="0000003A">
      <w:pPr>
        <w:rPr>
          <w:b w:val="1"/>
          <w:color w:val="404040"/>
          <w:sz w:val="24"/>
          <w:szCs w:val="24"/>
        </w:rPr>
      </w:pPr>
      <w:r w:rsidDel="00000000" w:rsidR="00000000" w:rsidRPr="00000000">
        <w:rPr>
          <w:rtl w:val="0"/>
        </w:rPr>
      </w:r>
    </w:p>
    <w:p w:rsidR="00000000" w:rsidDel="00000000" w:rsidP="00000000" w:rsidRDefault="00000000" w:rsidRPr="00000000" w14:paraId="0000003B">
      <w:pPr>
        <w:rPr>
          <w:b w:val="1"/>
          <w:color w:val="404040"/>
          <w:sz w:val="24"/>
          <w:szCs w:val="24"/>
        </w:rPr>
      </w:pPr>
      <w:r w:rsidDel="00000000" w:rsidR="00000000" w:rsidRPr="00000000">
        <w:rPr>
          <w:rtl w:val="0"/>
        </w:rPr>
      </w:r>
    </w:p>
    <w:p w:rsidR="00000000" w:rsidDel="00000000" w:rsidP="00000000" w:rsidRDefault="00000000" w:rsidRPr="00000000" w14:paraId="0000003C">
      <w:pPr>
        <w:rPr>
          <w:b w:val="1"/>
          <w:color w:val="404040"/>
          <w:sz w:val="24"/>
          <w:szCs w:val="24"/>
        </w:rPr>
      </w:pPr>
      <w:r w:rsidDel="00000000" w:rsidR="00000000" w:rsidRPr="00000000">
        <w:rPr>
          <w:rtl w:val="0"/>
        </w:rPr>
      </w:r>
    </w:p>
    <w:p w:rsidR="00000000" w:rsidDel="00000000" w:rsidP="00000000" w:rsidRDefault="00000000" w:rsidRPr="00000000" w14:paraId="0000003D">
      <w:pPr>
        <w:rPr>
          <w:b w:val="1"/>
          <w:color w:val="404040"/>
          <w:sz w:val="24"/>
          <w:szCs w:val="24"/>
        </w:rPr>
      </w:pPr>
      <w:r w:rsidDel="00000000" w:rsidR="00000000" w:rsidRPr="00000000">
        <w:rPr>
          <w:rtl w:val="0"/>
        </w:rPr>
      </w:r>
    </w:p>
    <w:p w:rsidR="00000000" w:rsidDel="00000000" w:rsidP="00000000" w:rsidRDefault="00000000" w:rsidRPr="00000000" w14:paraId="0000003E">
      <w:pPr>
        <w:rPr>
          <w:b w:val="1"/>
          <w:color w:val="404040"/>
          <w:sz w:val="24"/>
          <w:szCs w:val="24"/>
        </w:rPr>
      </w:pPr>
      <w:r w:rsidDel="00000000" w:rsidR="00000000" w:rsidRPr="00000000">
        <w:rPr>
          <w:rtl w:val="0"/>
        </w:rPr>
      </w:r>
    </w:p>
    <w:p w:rsidR="00000000" w:rsidDel="00000000" w:rsidP="00000000" w:rsidRDefault="00000000" w:rsidRPr="00000000" w14:paraId="0000003F">
      <w:pPr>
        <w:rPr>
          <w:b w:val="1"/>
          <w:color w:val="404040"/>
          <w:sz w:val="24"/>
          <w:szCs w:val="24"/>
        </w:rPr>
      </w:pPr>
      <w:r w:rsidDel="00000000" w:rsidR="00000000" w:rsidRPr="00000000">
        <w:rPr>
          <w:rtl w:val="0"/>
        </w:rPr>
      </w:r>
    </w:p>
    <w:p w:rsidR="00000000" w:rsidDel="00000000" w:rsidP="00000000" w:rsidRDefault="00000000" w:rsidRPr="00000000" w14:paraId="00000040">
      <w:pPr>
        <w:rPr>
          <w:b w:val="1"/>
          <w:color w:val="404040"/>
          <w:sz w:val="24"/>
          <w:szCs w:val="24"/>
        </w:rPr>
      </w:pPr>
      <w:r w:rsidDel="00000000" w:rsidR="00000000" w:rsidRPr="00000000">
        <w:rPr>
          <w:rtl w:val="0"/>
        </w:rPr>
      </w:r>
    </w:p>
    <w:p w:rsidR="00000000" w:rsidDel="00000000" w:rsidP="00000000" w:rsidRDefault="00000000" w:rsidRPr="00000000" w14:paraId="00000041">
      <w:pPr>
        <w:rPr>
          <w:b w:val="1"/>
          <w:color w:val="404040"/>
          <w:sz w:val="24"/>
          <w:szCs w:val="24"/>
        </w:rPr>
      </w:pPr>
      <w:r w:rsidDel="00000000" w:rsidR="00000000" w:rsidRPr="00000000">
        <w:rPr>
          <w:b w:val="1"/>
          <w:color w:val="404040"/>
          <w:sz w:val="24"/>
          <w:szCs w:val="24"/>
          <w:rtl w:val="0"/>
        </w:rPr>
        <w:t xml:space="preserve">3. Profit vs Sales Correlation Dashboard</w:t>
      </w:r>
    </w:p>
    <w:p w:rsidR="00000000" w:rsidDel="00000000" w:rsidP="00000000" w:rsidRDefault="00000000" w:rsidRPr="00000000" w14:paraId="00000042">
      <w:pPr>
        <w:numPr>
          <w:ilvl w:val="0"/>
          <w:numId w:val="5"/>
        </w:numPr>
        <w:spacing w:after="0" w:afterAutospacing="0"/>
        <w:ind w:left="720" w:hanging="360"/>
      </w:pPr>
      <w:r w:rsidDel="00000000" w:rsidR="00000000" w:rsidRPr="00000000">
        <w:rPr>
          <w:b w:val="1"/>
          <w:color w:val="404040"/>
          <w:sz w:val="24"/>
          <w:szCs w:val="24"/>
          <w:rtl w:val="0"/>
        </w:rPr>
        <w:t xml:space="preserve">Profit vs Sales Trend</w:t>
      </w:r>
      <w:r w:rsidDel="00000000" w:rsidR="00000000" w:rsidRPr="00000000">
        <w:rPr>
          <w:color w:val="404040"/>
          <w:sz w:val="24"/>
          <w:szCs w:val="24"/>
          <w:rtl w:val="0"/>
        </w:rPr>
        <w:t xml:space="preserve">: Strong correlation between sales and profit, with both peaking in 2019 and declining in 2020.</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color w:val="404040"/>
          <w:sz w:val="24"/>
          <w:szCs w:val="24"/>
          <w:rtl w:val="0"/>
        </w:rPr>
        <w:t xml:space="preserve">Regional Correlation</w:t>
      </w:r>
      <w:r w:rsidDel="00000000" w:rsidR="00000000" w:rsidRPr="00000000">
        <w:rPr>
          <w:color w:val="404040"/>
          <w:sz w:val="24"/>
          <w:szCs w:val="24"/>
          <w:rtl w:val="0"/>
        </w:rPr>
        <w:t xml:space="preserve">: Midwest and Northeast show high sales and profit alignment; South and West lag behind.</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color w:val="404040"/>
          <w:sz w:val="24"/>
          <w:szCs w:val="24"/>
          <w:rtl w:val="0"/>
        </w:rPr>
        <w:t xml:space="preserve">Quarterly Performance</w:t>
      </w:r>
      <w:r w:rsidDel="00000000" w:rsidR="00000000" w:rsidRPr="00000000">
        <w:rPr>
          <w:color w:val="404040"/>
          <w:sz w:val="24"/>
          <w:szCs w:val="24"/>
          <w:rtl w:val="0"/>
        </w:rPr>
        <w:t xml:space="preserve">: Q2 and Q3 consistently outperform Q1 and Q4.</w:t>
      </w:r>
    </w:p>
    <w:p w:rsidR="00000000" w:rsidDel="00000000" w:rsidP="00000000" w:rsidRDefault="00000000" w:rsidRPr="00000000" w14:paraId="00000045">
      <w:pPr>
        <w:numPr>
          <w:ilvl w:val="0"/>
          <w:numId w:val="5"/>
        </w:numPr>
        <w:spacing w:before="0" w:beforeAutospacing="0" w:lineRule="auto"/>
        <w:ind w:left="720" w:hanging="360"/>
      </w:pPr>
      <w:r w:rsidDel="00000000" w:rsidR="00000000" w:rsidRPr="00000000">
        <w:rPr>
          <w:b w:val="1"/>
          <w:color w:val="404040"/>
          <w:sz w:val="24"/>
          <w:szCs w:val="24"/>
          <w:rtl w:val="0"/>
        </w:rPr>
        <w:t xml:space="preserve">Profit Margin by Region</w:t>
      </w:r>
      <w:r w:rsidDel="00000000" w:rsidR="00000000" w:rsidRPr="00000000">
        <w:rPr>
          <w:color w:val="404040"/>
          <w:sz w:val="24"/>
          <w:szCs w:val="24"/>
          <w:rtl w:val="0"/>
        </w:rPr>
        <w:t xml:space="preserve">: West has the highest margin (29.58%), followed by Northeast (29.10%).</w:t>
      </w:r>
    </w:p>
    <w:p w:rsidR="00000000" w:rsidDel="00000000" w:rsidP="00000000" w:rsidRDefault="00000000" w:rsidRPr="00000000" w14:paraId="00000046">
      <w:pPr>
        <w:spacing w:before="60" w:lineRule="auto"/>
        <w:ind w:left="0" w:firstLine="0"/>
        <w:rPr>
          <w:color w:val="404040"/>
          <w:sz w:val="24"/>
          <w:szCs w:val="24"/>
        </w:rPr>
      </w:pPr>
      <w:r w:rsidDel="00000000" w:rsidR="00000000" w:rsidRPr="00000000">
        <w:rPr>
          <w:color w:val="404040"/>
          <w:sz w:val="24"/>
          <w:szCs w:val="24"/>
        </w:rPr>
        <w:drawing>
          <wp:inline distB="114300" distT="114300" distL="114300" distR="114300">
            <wp:extent cx="6044283" cy="299308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44283" cy="299308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404040"/>
        </w:rPr>
      </w:pPr>
      <w:bookmarkStart w:colFirst="0" w:colLast="0" w:name="_dz37suwoixjj" w:id="7"/>
      <w:bookmarkEnd w:id="7"/>
      <w:r w:rsidDel="00000000" w:rsidR="00000000" w:rsidRPr="00000000">
        <w:rPr>
          <w:b w:val="1"/>
          <w:color w:val="404040"/>
          <w:rtl w:val="0"/>
        </w:rPr>
        <w:t xml:space="preserve">Combined Insights</w:t>
      </w:r>
    </w:p>
    <w:p w:rsidR="00000000" w:rsidDel="00000000" w:rsidP="00000000" w:rsidRDefault="00000000" w:rsidRPr="00000000" w14:paraId="00000049">
      <w:pPr>
        <w:numPr>
          <w:ilvl w:val="0"/>
          <w:numId w:val="6"/>
        </w:numPr>
        <w:spacing w:after="0" w:afterAutospacing="0"/>
        <w:ind w:left="720" w:hanging="360"/>
      </w:pPr>
      <w:r w:rsidDel="00000000" w:rsidR="00000000" w:rsidRPr="00000000">
        <w:rPr>
          <w:b w:val="1"/>
          <w:color w:val="404040"/>
          <w:sz w:val="24"/>
          <w:szCs w:val="24"/>
          <w:rtl w:val="0"/>
        </w:rPr>
        <w:t xml:space="preserve">Regional Performance</w:t>
      </w:r>
      <w:r w:rsidDel="00000000" w:rsidR="00000000" w:rsidRPr="00000000">
        <w:rPr>
          <w:color w:val="404040"/>
          <w:sz w:val="24"/>
          <w:szCs w:val="24"/>
          <w:rtl w:val="0"/>
        </w:rPr>
        <w:t xml:space="preserve">: Midwest and Northeast lead in sales and profitability; South and West need improvement.</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color w:val="404040"/>
          <w:sz w:val="24"/>
          <w:szCs w:val="24"/>
          <w:rtl w:val="0"/>
        </w:rPr>
        <w:t xml:space="preserve">Product Performance</w:t>
      </w:r>
      <w:r w:rsidDel="00000000" w:rsidR="00000000" w:rsidRPr="00000000">
        <w:rPr>
          <w:color w:val="404040"/>
          <w:sz w:val="24"/>
          <w:szCs w:val="24"/>
          <w:rtl w:val="0"/>
        </w:rPr>
        <w:t xml:space="preserve">: Accessories and Photo Frames are top performers; Furniture Cushions and Platters need strategic reviews.</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color w:val="404040"/>
          <w:sz w:val="24"/>
          <w:szCs w:val="24"/>
          <w:rtl w:val="0"/>
        </w:rPr>
        <w:t xml:space="preserve">Trends Over Time</w:t>
      </w:r>
      <w:r w:rsidDel="00000000" w:rsidR="00000000" w:rsidRPr="00000000">
        <w:rPr>
          <w:color w:val="404040"/>
          <w:sz w:val="24"/>
          <w:szCs w:val="24"/>
          <w:rtl w:val="0"/>
        </w:rPr>
        <w:t xml:space="preserve">: 2019 was a peak year, but 2020 saw a decline, indicating potential external challenges.</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color w:val="404040"/>
          <w:sz w:val="24"/>
          <w:szCs w:val="24"/>
          <w:rtl w:val="0"/>
        </w:rPr>
        <w:t xml:space="preserve">Seasonal Trends</w:t>
      </w:r>
      <w:r w:rsidDel="00000000" w:rsidR="00000000" w:rsidRPr="00000000">
        <w:rPr>
          <w:color w:val="404040"/>
          <w:sz w:val="24"/>
          <w:szCs w:val="24"/>
          <w:rtl w:val="0"/>
        </w:rPr>
        <w:t xml:space="preserve">: Q2 and Q3 are strong quarters; Q1 and Q4 require targeted campaigns.</w:t>
      </w:r>
    </w:p>
    <w:p w:rsidR="00000000" w:rsidDel="00000000" w:rsidP="00000000" w:rsidRDefault="00000000" w:rsidRPr="00000000" w14:paraId="0000004D">
      <w:pPr>
        <w:numPr>
          <w:ilvl w:val="0"/>
          <w:numId w:val="6"/>
        </w:numPr>
        <w:spacing w:before="0" w:beforeAutospacing="0" w:lineRule="auto"/>
        <w:ind w:left="720" w:hanging="360"/>
      </w:pPr>
      <w:r w:rsidDel="00000000" w:rsidR="00000000" w:rsidRPr="00000000">
        <w:rPr>
          <w:b w:val="1"/>
          <w:color w:val="404040"/>
          <w:sz w:val="24"/>
          <w:szCs w:val="24"/>
          <w:rtl w:val="0"/>
        </w:rPr>
        <w:t xml:space="preserve">Profit Margin Stability</w:t>
      </w:r>
      <w:r w:rsidDel="00000000" w:rsidR="00000000" w:rsidRPr="00000000">
        <w:rPr>
          <w:color w:val="404040"/>
          <w:sz w:val="24"/>
          <w:szCs w:val="24"/>
          <w:rtl w:val="0"/>
        </w:rPr>
        <w:t xml:space="preserve">: Stable margins across regions, with West having the highest margin.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404040"/>
        </w:rPr>
      </w:pPr>
      <w:bookmarkStart w:colFirst="0" w:colLast="0" w:name="_nsu6wjhbwyj" w:id="8"/>
      <w:bookmarkEnd w:id="8"/>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404040"/>
        </w:rPr>
      </w:pPr>
      <w:bookmarkStart w:colFirst="0" w:colLast="0" w:name="_lbq6atrdxy7g" w:id="9"/>
      <w:bookmarkEnd w:id="9"/>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404040"/>
        </w:rPr>
      </w:pPr>
      <w:bookmarkStart w:colFirst="0" w:colLast="0" w:name="_6wg0xe2vfr6s" w:id="10"/>
      <w:bookmarkEnd w:id="10"/>
      <w:r w:rsidDel="00000000" w:rsidR="00000000" w:rsidRPr="00000000">
        <w:rPr>
          <w:b w:val="1"/>
          <w:color w:val="404040"/>
          <w:rtl w:val="0"/>
        </w:rPr>
        <w:t xml:space="preserve">Unveiling Sales and Profitability Insights for Strategic Growth</w:t>
      </w:r>
    </w:p>
    <w:p w:rsidR="00000000" w:rsidDel="00000000" w:rsidP="00000000" w:rsidRDefault="00000000" w:rsidRPr="00000000" w14:paraId="00000052">
      <w:pPr>
        <w:rPr>
          <w:b w:val="1"/>
          <w:color w:val="404040"/>
          <w:sz w:val="24"/>
          <w:szCs w:val="24"/>
        </w:rPr>
      </w:pPr>
      <w:r w:rsidDel="00000000" w:rsidR="00000000" w:rsidRPr="00000000">
        <w:rPr>
          <w:b w:val="1"/>
          <w:color w:val="404040"/>
          <w:sz w:val="24"/>
          <w:szCs w:val="24"/>
          <w:rtl w:val="0"/>
        </w:rPr>
        <w:t xml:space="preserve">1. Actionable Recommendations for Stakeholders</w:t>
      </w:r>
    </w:p>
    <w:p w:rsidR="00000000" w:rsidDel="00000000" w:rsidP="00000000" w:rsidRDefault="00000000" w:rsidRPr="00000000" w14:paraId="00000053">
      <w:pPr>
        <w:numPr>
          <w:ilvl w:val="0"/>
          <w:numId w:val="4"/>
        </w:numPr>
        <w:spacing w:after="0" w:afterAutospacing="0"/>
        <w:ind w:left="720" w:hanging="360"/>
      </w:pPr>
      <w:r w:rsidDel="00000000" w:rsidR="00000000" w:rsidRPr="00000000">
        <w:rPr>
          <w:b w:val="1"/>
          <w:color w:val="404040"/>
          <w:sz w:val="24"/>
          <w:szCs w:val="24"/>
          <w:rtl w:val="0"/>
        </w:rPr>
        <w:t xml:space="preserve">Regional Focus</w:t>
      </w:r>
      <w:r w:rsidDel="00000000" w:rsidR="00000000" w:rsidRPr="00000000">
        <w:rPr>
          <w:color w:val="404040"/>
          <w:sz w:val="24"/>
          <w:szCs w:val="24"/>
          <w:rtl w:val="0"/>
        </w:rPr>
        <w:t xml:space="preserve">: Invest in Midwest and Northeast; develop strategies for South and West.</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b w:val="1"/>
          <w:color w:val="404040"/>
          <w:sz w:val="24"/>
          <w:szCs w:val="24"/>
          <w:rtl w:val="0"/>
        </w:rPr>
        <w:t xml:space="preserve">Product Strategy</w:t>
      </w:r>
      <w:r w:rsidDel="00000000" w:rsidR="00000000" w:rsidRPr="00000000">
        <w:rPr>
          <w:color w:val="404040"/>
          <w:sz w:val="24"/>
          <w:szCs w:val="24"/>
          <w:rtl w:val="0"/>
        </w:rPr>
        <w:t xml:space="preserve">: Increase marketing for top-selling products; review underperformers.</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color w:val="404040"/>
          <w:sz w:val="24"/>
          <w:szCs w:val="24"/>
          <w:rtl w:val="0"/>
        </w:rPr>
        <w:t xml:space="preserve">Seasonal Adjustments</w:t>
      </w:r>
      <w:r w:rsidDel="00000000" w:rsidR="00000000" w:rsidRPr="00000000">
        <w:rPr>
          <w:color w:val="404040"/>
          <w:sz w:val="24"/>
          <w:szCs w:val="24"/>
          <w:rtl w:val="0"/>
        </w:rPr>
        <w:t xml:space="preserve">: Launch promotions in Q1 and Q4 to boost performance.</w:t>
      </w:r>
    </w:p>
    <w:p w:rsidR="00000000" w:rsidDel="00000000" w:rsidP="00000000" w:rsidRDefault="00000000" w:rsidRPr="00000000" w14:paraId="00000056">
      <w:pPr>
        <w:numPr>
          <w:ilvl w:val="0"/>
          <w:numId w:val="4"/>
        </w:numPr>
        <w:spacing w:before="0" w:beforeAutospacing="0" w:lineRule="auto"/>
        <w:ind w:left="720" w:hanging="360"/>
      </w:pPr>
      <w:r w:rsidDel="00000000" w:rsidR="00000000" w:rsidRPr="00000000">
        <w:rPr>
          <w:b w:val="1"/>
          <w:color w:val="404040"/>
          <w:sz w:val="24"/>
          <w:szCs w:val="24"/>
          <w:rtl w:val="0"/>
        </w:rPr>
        <w:t xml:space="preserve">Profit Margins</w:t>
      </w:r>
      <w:r w:rsidDel="00000000" w:rsidR="00000000" w:rsidRPr="00000000">
        <w:rPr>
          <w:color w:val="404040"/>
          <w:sz w:val="24"/>
          <w:szCs w:val="24"/>
          <w:rtl w:val="0"/>
        </w:rPr>
        <w:t xml:space="preserve">: Maintain cost management practices; explore optimization opportunities.</w:t>
      </w:r>
    </w:p>
    <w:p w:rsidR="00000000" w:rsidDel="00000000" w:rsidP="00000000" w:rsidRDefault="00000000" w:rsidRPr="00000000" w14:paraId="00000057">
      <w:pPr>
        <w:rPr>
          <w:b w:val="1"/>
          <w:color w:val="404040"/>
          <w:sz w:val="24"/>
          <w:szCs w:val="24"/>
        </w:rPr>
      </w:pPr>
      <w:r w:rsidDel="00000000" w:rsidR="00000000" w:rsidRPr="00000000">
        <w:rPr>
          <w:b w:val="1"/>
          <w:color w:val="404040"/>
          <w:sz w:val="24"/>
          <w:szCs w:val="24"/>
          <w:rtl w:val="0"/>
        </w:rPr>
        <w:t xml:space="preserve">2. Profit vs Sales Correlation</w:t>
      </w:r>
    </w:p>
    <w:p w:rsidR="00000000" w:rsidDel="00000000" w:rsidP="00000000" w:rsidRDefault="00000000" w:rsidRPr="00000000" w14:paraId="00000058">
      <w:pPr>
        <w:numPr>
          <w:ilvl w:val="0"/>
          <w:numId w:val="9"/>
        </w:numPr>
        <w:ind w:left="720" w:hanging="360"/>
      </w:pPr>
      <w:r w:rsidDel="00000000" w:rsidR="00000000" w:rsidRPr="00000000">
        <w:rPr>
          <w:b w:val="1"/>
          <w:color w:val="404040"/>
          <w:sz w:val="24"/>
          <w:szCs w:val="24"/>
          <w:rtl w:val="0"/>
        </w:rPr>
        <w:t xml:space="preserve">Key Takeaway</w:t>
      </w:r>
      <w:r w:rsidDel="00000000" w:rsidR="00000000" w:rsidRPr="00000000">
        <w:rPr>
          <w:color w:val="404040"/>
          <w:sz w:val="24"/>
          <w:szCs w:val="24"/>
          <w:rtl w:val="0"/>
        </w:rPr>
        <w:t xml:space="preserve">: Sales growth directly drives profitability. Focus on increasing sales in underperforming regions and quarters to boost overall profit.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404040"/>
        </w:rPr>
      </w:pPr>
      <w:bookmarkStart w:colFirst="0" w:colLast="0" w:name="_7ui82cemzya2" w:id="11"/>
      <w:bookmarkEnd w:id="11"/>
      <w:r w:rsidDel="00000000" w:rsidR="00000000" w:rsidRPr="00000000">
        <w:rPr>
          <w:b w:val="1"/>
          <w:color w:val="404040"/>
          <w:rtl w:val="0"/>
        </w:rPr>
        <w:t xml:space="preserve">Conclusion</w:t>
      </w:r>
    </w:p>
    <w:p w:rsidR="00000000" w:rsidDel="00000000" w:rsidP="00000000" w:rsidRDefault="00000000" w:rsidRPr="00000000" w14:paraId="0000005C">
      <w:pPr>
        <w:rPr>
          <w:color w:val="404040"/>
          <w:sz w:val="24"/>
          <w:szCs w:val="24"/>
        </w:rPr>
      </w:pPr>
      <w:r w:rsidDel="00000000" w:rsidR="00000000" w:rsidRPr="00000000">
        <w:rPr>
          <w:color w:val="404040"/>
          <w:sz w:val="24"/>
          <w:szCs w:val="24"/>
          <w:rtl w:val="0"/>
        </w:rPr>
        <w:t xml:space="preserve">This project provided a comprehensive analysis of sales performance, customer behavior, and profitability, identifying opportunities for enhancing business outcomes. By leveraging insights from customer segmentation, retention analysis, and profitability metrics, actionable strategies were outlined to boost customer retention, optimize product offerings, and increase revenue.</w:t>
      </w:r>
    </w:p>
    <w:p w:rsidR="00000000" w:rsidDel="00000000" w:rsidP="00000000" w:rsidRDefault="00000000" w:rsidRPr="00000000" w14:paraId="0000005D">
      <w:pPr>
        <w:rPr>
          <w:color w:val="404040"/>
          <w:sz w:val="24"/>
          <w:szCs w:val="24"/>
        </w:rPr>
      </w:pPr>
      <w:r w:rsidDel="00000000" w:rsidR="00000000" w:rsidRPr="00000000">
        <w:rPr>
          <w:color w:val="404040"/>
          <w:sz w:val="24"/>
          <w:szCs w:val="24"/>
          <w:rtl w:val="0"/>
        </w:rPr>
        <w:t xml:space="preserve">The recommendations, including loyalty programs, targeted marketing, and inventory optimization, offer practical steps to improve sales and long-term profitability. Implementing these strategies can help the business build stronger customer relationships, capitalize on peak sales periods, and maintain sustainable growth.</w:t>
      </w:r>
    </w:p>
    <w:p w:rsidR="00000000" w:rsidDel="00000000" w:rsidP="00000000" w:rsidRDefault="00000000" w:rsidRPr="00000000" w14:paraId="0000005E">
      <w:pPr>
        <w:rPr>
          <w:color w:val="404040"/>
          <w:sz w:val="24"/>
          <w:szCs w:val="24"/>
        </w:rPr>
      </w:pPr>
      <w:r w:rsidDel="00000000" w:rsidR="00000000" w:rsidRPr="00000000">
        <w:rPr>
          <w:color w:val="404040"/>
          <w:sz w:val="24"/>
          <w:szCs w:val="24"/>
          <w:rtl w:val="0"/>
        </w:rPr>
        <w:t xml:space="preserve">This analysis serves as a foundation for data-driven decision-making. Future analyses can expand on these findings by incorporating additional data sources or advanced modeling techniques to refine insights and further support strategic business initiatives.</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