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b/>
          <w:color w:val="6366F1"/>
          <w:sz w:val="48"/>
        </w:rPr>
        <w:t>🎯 ToneShift: Audience-Aware Rewriter</w:t>
      </w:r>
    </w:p>
    <w:p>
      <w:pPr>
        <w:spacing w:before="40" w:after="480" w:line="276" w:lineRule="auto"/>
        <w:jc w:val="center"/>
      </w:pPr>
      <w:r>
        <w:rPr>
          <w:i/>
          <w:color w:val="475569"/>
          <w:sz w:val="24"/>
        </w:rPr>
        <w:t>Project Implementation, Architecture, and Deployment Report</w:t>
      </w:r>
    </w:p>
    <w:p>
      <w:pPr>
        <w:spacing w:before="0" w:after="240" w:line="276" w:lineRule="auto"/>
      </w:pPr>
      <w:r>
        <w:t>ToneShift is a production-grade writing assistant that translates input text into 8 distinct tones and 8 specific audience styles while verifying facts and meaning preservation using a dual-LLM back-translation pipeline. Powered by the Groq API (llama-3.1-8b-instant), ToneShift features instantaneous rewrites, side-by-side highlighted word difference tables, and robust Unicode-safe exporters.</w:t>
      </w:r>
    </w:p>
    <w:p>
      <w:pPr>
        <w:pStyle w:val="Heading1"/>
        <w:spacing w:before="240" w:after="80" w:line="276" w:lineRule="auto"/>
      </w:pPr>
      <w:r>
        <w:rPr>
          <w:rFonts w:ascii="Arial" w:hAnsi="Arial"/>
          <w:b/>
          <w:color w:val="6366F1"/>
          <w:sz w:val="36"/>
        </w:rPr>
        <w:t>1. Architecture &amp; Folder Structure</w:t>
      </w:r>
    </w:p>
    <w:p>
      <w:pPr>
        <w:spacing w:before="0" w:after="120" w:line="276" w:lineRule="auto"/>
      </w:pPr>
      <w:r>
        <w:t>The application enforces clean coding principles, PEP 8 compliance, and a strict separation of concerns between UI layers, business services, prompt templates, and exporting utilities. The code is modularized as follows: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6366F1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168"/>
            <w:shd w:fill="6366F1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</w:rPr>
              <w:t>File Path</w:t>
            </w:r>
          </w:p>
        </w:tc>
        <w:tc>
          <w:tcPr>
            <w:tcW w:type="dxa" w:w="4032"/>
            <w:shd w:fill="6366F1"/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before="80" w:after="80" w:line="276" w:lineRule="auto"/>
            </w:pPr>
            <w:r>
              <w:t>Frontend / UI</w:t>
            </w:r>
          </w:p>
        </w:tc>
        <w:tc>
          <w:tcPr>
            <w:tcW w:type="dxa" w:w="3168"/>
            <w:shd w:fill="F8FAFC"/>
          </w:tcPr>
          <w:p>
            <w:pPr>
              <w:spacing w:before="80" w:after="80" w:line="276" w:lineRule="auto"/>
            </w:pPr>
            <w:r>
              <w:t>app.py</w:t>
            </w:r>
          </w:p>
        </w:tc>
        <w:tc>
          <w:tcPr>
            <w:tcW w:type="dxa" w:w="4032"/>
            <w:shd w:fill="F8FAFC"/>
          </w:tcPr>
          <w:p>
            <w:pPr>
              <w:spacing w:before="80" w:after="80" w:line="276" w:lineRule="auto"/>
            </w:pPr>
            <w:r>
              <w:t>Streamlit UI orchestrator, layout, components, and user interactive elements.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before="80" w:after="80" w:line="276" w:lineRule="auto"/>
            </w:pPr>
            <w:r>
              <w:t>Groq Client</w:t>
            </w:r>
          </w:p>
        </w:tc>
        <w:tc>
          <w:tcPr>
            <w:tcW w:type="dxa" w:w="3168"/>
            <w:shd w:fill="F8FAFC"/>
          </w:tcPr>
          <w:p>
            <w:pPr>
              <w:spacing w:before="80" w:after="80" w:line="276" w:lineRule="auto"/>
            </w:pPr>
            <w:r>
              <w:t>services/grok_client.py</w:t>
            </w:r>
          </w:p>
        </w:tc>
        <w:tc>
          <w:tcPr>
            <w:tcW w:type="dxa" w:w="4032"/>
            <w:shd w:fill="F8FAFC"/>
          </w:tcPr>
          <w:p>
            <w:pPr>
              <w:spacing w:before="80" w:after="80" w:line="276" w:lineRule="auto"/>
            </w:pPr>
            <w:r>
              <w:t>OpenAI-compatible connection manager handling fallback from local .env to Streamlit Cloud Secrets.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before="80" w:after="80" w:line="276" w:lineRule="auto"/>
            </w:pPr>
            <w:r>
              <w:t>Rewrite Engine</w:t>
            </w:r>
          </w:p>
        </w:tc>
        <w:tc>
          <w:tcPr>
            <w:tcW w:type="dxa" w:w="3168"/>
            <w:shd w:fill="F8FAFC"/>
          </w:tcPr>
          <w:p>
            <w:pPr>
              <w:spacing w:before="80" w:after="80" w:line="276" w:lineRule="auto"/>
            </w:pPr>
            <w:r>
              <w:t>services/rewrite_service.py</w:t>
            </w:r>
          </w:p>
        </w:tc>
        <w:tc>
          <w:tcPr>
            <w:tcW w:type="dxa" w:w="4032"/>
            <w:shd w:fill="F8FAFC"/>
          </w:tcPr>
          <w:p>
            <w:pPr>
              <w:spacing w:before="80" w:after="80" w:line="276" w:lineRule="auto"/>
            </w:pPr>
            <w:r>
              <w:t>Handles single text rewriting and multi-tone concurrent generations.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before="80" w:after="80" w:line="276" w:lineRule="auto"/>
            </w:pPr>
            <w:r>
              <w:t>Back-Translation</w:t>
            </w:r>
          </w:p>
        </w:tc>
        <w:tc>
          <w:tcPr>
            <w:tcW w:type="dxa" w:w="3168"/>
            <w:shd w:fill="F8FAFC"/>
          </w:tcPr>
          <w:p>
            <w:pPr>
              <w:spacing w:before="80" w:after="80" w:line="276" w:lineRule="auto"/>
            </w:pPr>
            <w:r>
              <w:t>services/back_translation.py</w:t>
            </w:r>
          </w:p>
        </w:tc>
        <w:tc>
          <w:tcPr>
            <w:tcW w:type="dxa" w:w="4032"/>
            <w:shd w:fill="F8FAFC"/>
          </w:tcPr>
          <w:p>
            <w:pPr>
              <w:spacing w:before="80" w:after="80" w:line="276" w:lineRule="auto"/>
            </w:pPr>
            <w:r>
              <w:t>Converts rewritten text to plain, neutral English for meaning verification.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before="80" w:after="80" w:line="276" w:lineRule="auto"/>
            </w:pPr>
            <w:r>
              <w:t>Similarity Check</w:t>
            </w:r>
          </w:p>
        </w:tc>
        <w:tc>
          <w:tcPr>
            <w:tcW w:type="dxa" w:w="3168"/>
            <w:shd w:fill="F8FAFC"/>
          </w:tcPr>
          <w:p>
            <w:pPr>
              <w:spacing w:before="80" w:after="80" w:line="276" w:lineRule="auto"/>
            </w:pPr>
            <w:r>
              <w:t>services/evaluation_service.py</w:t>
            </w:r>
          </w:p>
        </w:tc>
        <w:tc>
          <w:tcPr>
            <w:tcW w:type="dxa" w:w="4032"/>
            <w:shd w:fill="F8FAFC"/>
          </w:tcPr>
          <w:p>
            <w:pPr>
              <w:spacing w:before="80" w:after="80" w:line="276" w:lineRule="auto"/>
            </w:pPr>
            <w:r>
              <w:t>Asks the LLM to compare texts and extracts strict JSON verdicts.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before="80" w:after="80" w:line="276" w:lineRule="auto"/>
            </w:pPr>
            <w:r>
              <w:t>HTML Diff View</w:t>
            </w:r>
          </w:p>
        </w:tc>
        <w:tc>
          <w:tcPr>
            <w:tcW w:type="dxa" w:w="3168"/>
            <w:shd w:fill="F8FAFC"/>
          </w:tcPr>
          <w:p>
            <w:pPr>
              <w:spacing w:before="80" w:after="80" w:line="276" w:lineRule="auto"/>
            </w:pPr>
            <w:r>
              <w:t>services/diff_view.py</w:t>
            </w:r>
          </w:p>
        </w:tc>
        <w:tc>
          <w:tcPr>
            <w:tcW w:type="dxa" w:w="4032"/>
            <w:shd w:fill="F8FAFC"/>
          </w:tcPr>
          <w:p>
            <w:pPr>
              <w:spacing w:before="80" w:after="80" w:line="276" w:lineRule="auto"/>
            </w:pPr>
            <w:r>
              <w:t>Generates word-by-word highlighted tables via Python's difflib API.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before="80" w:after="80" w:line="276" w:lineRule="auto"/>
            </w:pPr>
            <w:r>
              <w:t>Exporters</w:t>
            </w:r>
          </w:p>
        </w:tc>
        <w:tc>
          <w:tcPr>
            <w:tcW w:type="dxa" w:w="3168"/>
            <w:shd w:fill="F8FAFC"/>
          </w:tcPr>
          <w:p>
            <w:pPr>
              <w:spacing w:before="80" w:after="80" w:line="276" w:lineRule="auto"/>
            </w:pPr>
            <w:r>
              <w:t>utils/export.py</w:t>
            </w:r>
          </w:p>
        </w:tc>
        <w:tc>
          <w:tcPr>
            <w:tcW w:type="dxa" w:w="4032"/>
            <w:shd w:fill="F8FAFC"/>
          </w:tcPr>
          <w:p>
            <w:pPr>
              <w:spacing w:before="80" w:after="80" w:line="276" w:lineRule="auto"/>
            </w:pPr>
            <w:r>
              <w:t>Latin-1 sanitizing FPDF2 PDF builder and plain TXT exporter.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before="80" w:after="80" w:line="276" w:lineRule="auto"/>
            </w:pPr>
            <w:r>
              <w:t>Helpers</w:t>
            </w:r>
          </w:p>
        </w:tc>
        <w:tc>
          <w:tcPr>
            <w:tcW w:type="dxa" w:w="3168"/>
            <w:shd w:fill="F8FAFC"/>
          </w:tcPr>
          <w:p>
            <w:pPr>
              <w:spacing w:before="80" w:after="80" w:line="276" w:lineRule="auto"/>
            </w:pPr>
            <w:r>
              <w:t>utils/helpers.py</w:t>
            </w:r>
          </w:p>
        </w:tc>
        <w:tc>
          <w:tcPr>
            <w:tcW w:type="dxa" w:w="4032"/>
            <w:shd w:fill="F8FAFC"/>
          </w:tcPr>
          <w:p>
            <w:pPr>
              <w:spacing w:before="80" w:after="80" w:line="276" w:lineRule="auto"/>
            </w:pPr>
            <w:r>
              <w:t>Word counter, reading time estimator, and CSS/color mapper.</w:t>
            </w:r>
          </w:p>
        </w:tc>
      </w:tr>
    </w:tbl>
    <w:p>
      <w:pPr>
        <w:spacing w:before="240" w:after="0" w:line="276" w:lineRule="auto"/>
      </w:pPr>
    </w:p>
    <w:p>
      <w:pPr>
        <w:pStyle w:val="Heading1"/>
        <w:spacing w:before="240" w:after="80" w:line="276" w:lineRule="auto"/>
      </w:pPr>
      <w:r>
        <w:rPr>
          <w:rFonts w:ascii="Arial" w:hAnsi="Arial"/>
          <w:b/>
          <w:color w:val="6366F1"/>
          <w:sz w:val="36"/>
        </w:rPr>
        <w:t>2. Semantic Verification Pipeline</w:t>
      </w:r>
    </w:p>
    <w:p>
      <w:pPr>
        <w:spacing w:before="0" w:after="120" w:line="276" w:lineRule="auto"/>
      </w:pPr>
      <w:r>
        <w:t>The most advanced element of ToneShift is the back-translation check. By comparing the rewritten text to the original input semantically, it ensures facts are never lost or hallucinated:</w:t>
      </w:r>
    </w:p>
    <w:p>
      <w:pPr>
        <w:pStyle w:val="ListBullet"/>
        <w:spacing w:before="40" w:after="80" w:line="276" w:lineRule="auto"/>
      </w:pPr>
      <w:r>
        <w:rPr>
          <w:b/>
          <w:color w:val="8B5CF6"/>
        </w:rPr>
        <w:t xml:space="preserve">Wording Adaptation: </w:t>
      </w:r>
      <w:r>
        <w:t>The LLM adapts vocabulary, structure, and tone, which inevitably alters the text's surface-level expressions.</w:t>
      </w:r>
    </w:p>
    <w:p>
      <w:pPr>
        <w:pStyle w:val="ListBullet"/>
        <w:spacing w:before="40" w:after="80" w:line="276" w:lineRule="auto"/>
      </w:pPr>
      <w:r>
        <w:rPr>
          <w:b/>
          <w:color w:val="8B5CF6"/>
        </w:rPr>
        <w:t xml:space="preserve">Stylistic Neutralization: </w:t>
      </w:r>
      <w:r>
        <w:t>The back-translation service takes the rewritten text and re-expresses it in plain, neutral, direct English. This strips away stylistic flourishes while locking in factual claims.</w:t>
      </w:r>
    </w:p>
    <w:p>
      <w:pPr>
        <w:pStyle w:val="ListBullet"/>
        <w:spacing w:before="40" w:after="80" w:line="276" w:lineRule="auto"/>
      </w:pPr>
      <w:r>
        <w:rPr>
          <w:b/>
          <w:color w:val="8B5CF6"/>
        </w:rPr>
        <w:t xml:space="preserve">Dual Comparison: </w:t>
      </w:r>
      <w:r>
        <w:t>The evaluation service feeds both the original input and the neutralized version to Groq. It instructs the model to return a strict JSON schema containing missing or added facts and a similarity confidence score.</w:t>
      </w:r>
    </w:p>
    <w:p>
      <w:pPr>
        <w:pStyle w:val="ListBullet"/>
        <w:spacing w:before="40" w:after="80" w:line="276" w:lineRule="auto"/>
      </w:pPr>
      <w:r>
        <w:rPr>
          <w:b/>
          <w:color w:val="8B5CF6"/>
        </w:rPr>
        <w:t xml:space="preserve">Visual Indicators: </w:t>
      </w:r>
      <w:r>
        <w:t>Scores of 90-100% display green. Orange marks 70-89%, and anything below 70% shows a warning flag signaling meaning drift.</w:t>
      </w:r>
    </w:p>
    <w:p>
      <w:pPr>
        <w:pStyle w:val="Heading1"/>
        <w:spacing w:before="240" w:after="80" w:line="276" w:lineRule="auto"/>
      </w:pPr>
      <w:r>
        <w:rPr>
          <w:rFonts w:ascii="Arial" w:hAnsi="Arial"/>
          <w:b/>
          <w:color w:val="6366F1"/>
          <w:sz w:val="36"/>
        </w:rPr>
        <w:t>3. Word-by-Word HTML Diff View</w:t>
      </w:r>
    </w:p>
    <w:p>
      <w:pPr>
        <w:spacing w:before="0" w:after="120" w:line="276" w:lineRule="auto"/>
      </w:pPr>
      <w:r>
        <w:t>To let users inspect modifications easily, ToneShift provides a customized, built-in side-by-side comparison screen:</w:t>
      </w:r>
    </w:p>
    <w:p>
      <w:pPr>
        <w:pStyle w:val="ListBullet"/>
        <w:spacing w:before="40" w:after="80" w:line="276" w:lineRule="auto"/>
      </w:pPr>
      <w:r>
        <w:rPr>
          <w:rFonts w:ascii="Arial" w:hAnsi="Arial"/>
        </w:rPr>
        <w:t xml:space="preserve">Generated with Python's built-in </w:t>
      </w:r>
      <w:r>
        <w:rPr>
          <w:b/>
        </w:rPr>
        <w:t>difflib.HtmlDiff</w:t>
      </w:r>
      <w:r>
        <w:t xml:space="preserve"> module.</w:t>
      </w:r>
    </w:p>
    <w:p>
      <w:pPr>
        <w:pStyle w:val="ListBullet"/>
        <w:spacing w:before="40" w:after="80" w:line="276" w:lineRule="auto"/>
      </w:pPr>
      <w:r>
        <w:t>Tailored with embedded dark-mode CSS to align with the application's clean aesthetic.</w:t>
      </w:r>
    </w:p>
    <w:p>
      <w:pPr>
        <w:pStyle w:val="ListBullet"/>
        <w:spacing w:before="40" w:after="80" w:line="276" w:lineRule="auto"/>
      </w:pPr>
      <w:r>
        <w:t>Highlights word-level insertions (green), deletions (red), and changes (yellow).</w:t>
      </w:r>
    </w:p>
    <w:p>
      <w:pPr>
        <w:pStyle w:val="Heading1"/>
        <w:spacing w:before="240" w:after="80" w:line="276" w:lineRule="auto"/>
      </w:pPr>
      <w:r>
        <w:rPr>
          <w:rFonts w:ascii="Arial" w:hAnsi="Arial"/>
          <w:b/>
          <w:color w:val="6366F1"/>
          <w:sz w:val="36"/>
        </w:rPr>
        <w:t>4. Cloud Deployment &amp; Secrets Configuration</w:t>
      </w:r>
    </w:p>
    <w:p>
      <w:pPr>
        <w:spacing w:before="0" w:after="120" w:line="276" w:lineRule="auto"/>
      </w:pPr>
      <w:r>
        <w:t>ToneShift is configured for instant deployment on Streamlit Community Cloud, linked directly to the GitHub repository. It securely handles credentials using two fallback tiers:</w:t>
      </w:r>
    </w:p>
    <w:p>
      <w:pPr>
        <w:pStyle w:val="ListBullet"/>
        <w:spacing w:before="40" w:after="80" w:line="276" w:lineRule="auto"/>
      </w:pPr>
      <w:r>
        <w:rPr>
          <w:b/>
        </w:rPr>
        <w:t xml:space="preserve">Local Development: </w:t>
      </w:r>
      <w:r>
        <w:t xml:space="preserve">Reads API keys from </w:t>
      </w:r>
      <w:r>
        <w:rPr>
          <w:b/>
        </w:rPr>
        <w:t>.env</w:t>
      </w:r>
      <w:r>
        <w:t xml:space="preserve"> utilizing python-dotenv.</w:t>
      </w:r>
    </w:p>
    <w:p>
      <w:pPr>
        <w:pStyle w:val="ListBullet"/>
        <w:spacing w:before="40" w:after="80" w:line="276" w:lineRule="auto"/>
      </w:pPr>
      <w:r>
        <w:rPr>
          <w:b/>
        </w:rPr>
        <w:t xml:space="preserve">Cloud Production: </w:t>
      </w:r>
      <w:r>
        <w:t xml:space="preserve">Fetches keys dynamically from </w:t>
      </w:r>
      <w:r>
        <w:rPr>
          <w:b/>
        </w:rPr>
        <w:t>st.secrets</w:t>
      </w:r>
      <w:r>
        <w:t xml:space="preserve"> (Streamlit Secrets Management).</w:t>
      </w:r>
    </w:p>
    <w:p>
      <w:pPr>
        <w:pStyle w:val="Heading1"/>
        <w:spacing w:before="240" w:after="80" w:line="276" w:lineRule="auto"/>
      </w:pPr>
      <w:r>
        <w:rPr>
          <w:rFonts w:ascii="Arial" w:hAnsi="Arial"/>
          <w:b/>
          <w:color w:val="6366F1"/>
          <w:sz w:val="36"/>
        </w:rPr>
        <w:t>5. Future Roadmaps</w:t>
      </w:r>
    </w:p>
    <w:p>
      <w:pPr>
        <w:spacing w:before="0" w:after="120" w:line="276" w:lineRule="auto"/>
      </w:pPr>
      <w:r>
        <w:t>Planned iterations for subsequent releases include:</w:t>
      </w:r>
    </w:p>
    <w:p>
      <w:pPr>
        <w:pStyle w:val="ListBullet"/>
        <w:spacing w:before="40" w:after="80" w:line="276" w:lineRule="auto"/>
      </w:pPr>
      <w:r>
        <w:t>Streaming responses to show token generations in real-time.</w:t>
      </w:r>
    </w:p>
    <w:p>
      <w:pPr>
        <w:pStyle w:val="ListBullet"/>
        <w:spacing w:before="40" w:after="80" w:line="276" w:lineRule="auto"/>
      </w:pPr>
      <w:r>
        <w:t>Custom tone builder allowing user-provided example sentences.</w:t>
      </w:r>
    </w:p>
    <w:p>
      <w:pPr>
        <w:pStyle w:val="ListBullet"/>
        <w:spacing w:before="40" w:after="80" w:line="276" w:lineRule="auto"/>
      </w:pPr>
      <w:r>
        <w:t>Persistent session history to browse previous rewrites within the tab.</w:t>
      </w:r>
    </w:p>
    <w:p>
      <w:pPr>
        <w:pStyle w:val="ListBullet"/>
        <w:spacing w:before="40" w:after="80" w:line="276" w:lineRule="auto"/>
      </w:pPr>
      <w:r>
        <w:t>Multi-language translation-rewriter support.</w:t>
      </w:r>
    </w:p>
    <w:p>
      <w:pPr>
        <w:spacing w:before="480" w:after="0" w:line="276" w:lineRule="auto"/>
        <w:jc w:val="right"/>
      </w:pPr>
      <w:r>
        <w:rPr>
          <w:i/>
          <w:color w:val="475569"/>
          <w:sz w:val="17"/>
        </w:rPr>
        <w:t>Generated by ToneShift Project Manager</w:t>
        <w:br/>
        <w:t>Date: 2026-07-15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