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3a5c"/>
          <w:sz w:val="28"/>
          <w:szCs w:val="28"/>
        </w:rPr>
        <w:t xml:space="preserve">INVESTORS LTD</w:t>
      </w:r>
    </w:p>
    <w:p>
      <w:pPr>
        <w:spacing w:after="120"/>
      </w:pPr>
      <w:r>
        <w:rPr>
          <w:rFonts w:ascii="Arial" w:cs="Arial" w:eastAsia="Arial" w:hAnsi="Arial"/>
          <w:color w:val="1a3a5c"/>
          <w:sz w:val="22"/>
          <w:szCs w:val="22"/>
        </w:rPr>
        <w:t xml:space="preserve">Procurement &amp; Vendor Management Department</w:t>
      </w:r>
    </w:p>
    <w:p>
      <w:pPr>
        <w:pBdr>
          <w:bottom w:val="single" w:color="1a3a5c" w:sz="6" w:space="1"/>
        </w:pBdr>
        <w:spacing w:after="120" w:before="0"/>
      </w:pPr>
    </w:p>
    <w:p>
      <w:pPr>
        <w:spacing w:after="80" w:before="120"/>
      </w:pPr>
      <w:r>
        <w:rPr>
          <w:rFonts w:ascii="Arial" w:cs="Arial" w:eastAsia="Arial" w:hAnsi="Arial"/>
          <w:b/>
          <w:bCs/>
          <w:color w:val="1a3a5c"/>
          <w:sz w:val="32"/>
          <w:szCs w:val="32"/>
        </w:rPr>
        <w:t xml:space="preserve">Vendor Onboarding, Management, and Compliance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34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Policy Number</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PROC-POL-001</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Version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v1.1</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Effective Date</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01 January 2026</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Review Date</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31 December 2026</w:t>
            </w:r>
          </w:p>
        </w:tc>
      </w:tr>
      <w:tr>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Approved By</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COO, CFO</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Classification</w:t>
            </w:r>
          </w:p>
        </w:tc>
        <w:tc>
          <w:tcPr>
            <w:tcW w:type="dxa" w:w="23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Internal — Confidential</w:t>
            </w:r>
          </w:p>
        </w:tc>
      </w:tr>
      <w:tr>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Department</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Procurement &amp; Vendor Management</w:t>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
            </w:r>
          </w:p>
        </w:tc>
      </w:tr>
    </w:tbl>
    <w:p>
      <w:pPr>
        <w:spacing w:after="80"/>
      </w:pPr>
    </w:p>
    <w:p>
      <w:pPr>
        <w:pBdr>
          <w:bottom w:val="single" w:color="cccccc" w:sz="2" w:space="1"/>
        </w:pBdr>
        <w:spacing w:after="120" w:before="0"/>
      </w:pPr>
    </w:p>
    <w:p>
      <w:pPr>
        <w:pStyle w:val="Heading1"/>
        <w:spacing w:after="80" w:before="240"/>
      </w:pPr>
      <w:r>
        <w:rPr>
          <w:rFonts w:ascii="Arial" w:cs="Arial" w:eastAsia="Arial" w:hAnsi="Arial"/>
          <w:b/>
          <w:bCs/>
          <w:color w:val="1a3a5c"/>
          <w:sz w:val="26"/>
          <w:szCs w:val="26"/>
        </w:rPr>
        <w:t xml:space="preserve">1. PURPOSE</w:t>
      </w:r>
    </w:p>
    <w:p>
      <w:pPr>
        <w:spacing w:after="80"/>
      </w:pPr>
      <w:r>
        <w:rPr>
          <w:rFonts w:ascii="Arial" w:cs="Arial" w:eastAsia="Arial" w:hAnsi="Arial"/>
          <w:sz w:val="20"/>
          <w:szCs w:val="20"/>
        </w:rPr>
        <w:t xml:space="preserve">This document defines the standards and procedures for onboarding, managing, and reviewing vendors at Investors Ltd. It ensures that all vendors meet Investors Ltd's compliance, quality, and financial integrity standards before and during engagement.</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2. SCOPE</w:t>
      </w:r>
    </w:p>
    <w:p>
      <w:pPr>
        <w:spacing w:after="80"/>
      </w:pPr>
      <w:r>
        <w:rPr>
          <w:rFonts w:ascii="Arial" w:cs="Arial" w:eastAsia="Arial" w:hAnsi="Arial"/>
          <w:sz w:val="20"/>
          <w:szCs w:val="20"/>
        </w:rPr>
        <w:t xml:space="preserve">These guidelines apply to all external vendors, suppliers, contractors, and service providers engaged by any department at Investors Ltd. All departmental heads and procurement staff must comply with these guidelines.</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3. VENDOR ONBOARDING REQUIREMENTS</w:t>
      </w:r>
    </w:p>
    <w:p>
      <w:pPr>
        <w:pStyle w:val="Heading2"/>
        <w:spacing w:after="60" w:before="180"/>
      </w:pPr>
      <w:r>
        <w:rPr>
          <w:rFonts w:ascii="Arial" w:cs="Arial" w:eastAsia="Arial" w:hAnsi="Arial"/>
          <w:b/>
          <w:bCs/>
          <w:color w:val="2c5282"/>
          <w:sz w:val="22"/>
          <w:szCs w:val="22"/>
        </w:rPr>
        <w:t xml:space="preserve">3.1 Mandatory Documentation</w:t>
      </w:r>
    </w:p>
    <w:p>
      <w:pPr>
        <w:spacing w:after="80"/>
      </w:pPr>
      <w:r>
        <w:rPr>
          <w:rFonts w:ascii="Arial" w:cs="Arial" w:eastAsia="Arial" w:hAnsi="Arial"/>
          <w:sz w:val="20"/>
          <w:szCs w:val="20"/>
        </w:rPr>
        <w:t xml:space="preserve">Before any vendor is approved to submit invoices to Investors Ltd, the following documents must be collected and verified by the Procurement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GST Registration Certificate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Tax compliance verification</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PAN Card</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Identity and tax verification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Bank Account Details with cancelled cheque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Payment account verification</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Company Registration Certificate</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Legal entity verification</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Address Proof</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Business address verification</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Last 2 years audited financials</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Financial stability check</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References from at least 2 clients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Track record verification</w:t>
            </w:r>
          </w:p>
        </w:tc>
      </w:tr>
    </w:tbl>
    <w:p>
      <w:pPr>
        <w:spacing w:after="80"/>
      </w:pPr>
    </w:p>
    <w:p>
      <w:pPr>
        <w:pStyle w:val="Heading2"/>
        <w:spacing w:after="60" w:before="180"/>
      </w:pPr>
      <w:r>
        <w:rPr>
          <w:rFonts w:ascii="Arial" w:cs="Arial" w:eastAsia="Arial" w:hAnsi="Arial"/>
          <w:b/>
          <w:bCs/>
          <w:color w:val="2c5282"/>
          <w:sz w:val="22"/>
          <w:szCs w:val="22"/>
        </w:rPr>
        <w:t xml:space="preserve">3.2 Vendor ID Assignment</w:t>
      </w:r>
    </w:p>
    <w:p>
      <w:pPr>
        <w:spacing w:after="80"/>
      </w:pPr>
      <w:r>
        <w:rPr>
          <w:rFonts w:ascii="Arial" w:cs="Arial" w:eastAsia="Arial" w:hAnsi="Arial"/>
          <w:sz w:val="20"/>
          <w:szCs w:val="20"/>
        </w:rPr>
        <w:t xml:space="preserve">Upon successful onboarding, each vendor is assigned a unique Vendor ID (format: VND-XX). This ID must appear on all invoices and purchase orders. Invoices without a valid Vendor ID will be returned.</w:t>
      </w:r>
    </w:p>
    <w:p>
      <w:pPr>
        <w:pStyle w:val="Heading2"/>
        <w:spacing w:after="60" w:before="180"/>
      </w:pPr>
      <w:r>
        <w:rPr>
          <w:rFonts w:ascii="Arial" w:cs="Arial" w:eastAsia="Arial" w:hAnsi="Arial"/>
          <w:b/>
          <w:bCs/>
          <w:color w:val="2c5282"/>
          <w:sz w:val="22"/>
          <w:szCs w:val="22"/>
        </w:rPr>
        <w:t xml:space="preserve">3.3 Onboarding Approval</w:t>
      </w:r>
    </w:p>
    <w:p>
      <w:pPr>
        <w:spacing w:after="80"/>
      </w:pPr>
      <w:r>
        <w:rPr>
          <w:rFonts w:ascii="Arial" w:cs="Arial" w:eastAsia="Arial" w:hAnsi="Arial"/>
          <w:sz w:val="20"/>
          <w:szCs w:val="20"/>
        </w:rPr>
        <w:t xml:space="preserve">Vendor onboarding must be approved by:</w:t>
      </w:r>
    </w:p>
    <w:p>
      <w:pPr>
        <w:pStyle w:val="ListParagraph"/>
        <w:numPr>
          <w:ilvl w:val="0"/>
          <w:numId w:val="2"/>
        </w:numPr>
        <w:spacing w:after="40"/>
      </w:pPr>
      <w:r>
        <w:rPr>
          <w:rFonts w:ascii="Arial" w:cs="Arial" w:eastAsia="Arial" w:hAnsi="Arial"/>
          <w:sz w:val="20"/>
          <w:szCs w:val="20"/>
        </w:rPr>
        <w:t xml:space="preserve">Procurement Manager for vendors with expected annual spend below Rs.5,00,000</w:t>
      </w:r>
    </w:p>
    <w:p>
      <w:pPr>
        <w:pStyle w:val="ListParagraph"/>
        <w:numPr>
          <w:ilvl w:val="0"/>
          <w:numId w:val="2"/>
        </w:numPr>
        <w:spacing w:after="40"/>
      </w:pPr>
      <w:r>
        <w:rPr>
          <w:rFonts w:ascii="Arial" w:cs="Arial" w:eastAsia="Arial" w:hAnsi="Arial"/>
          <w:sz w:val="20"/>
          <w:szCs w:val="20"/>
        </w:rPr>
        <w:t xml:space="preserve">CFO for vendors with expected annual spend above Rs.5,00,000</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4. VENDOR CATEGORIES AND SPEND LIMITS</w:t>
      </w:r>
    </w:p>
    <w:p>
      <w:pPr>
        <w:pStyle w:val="Heading2"/>
        <w:spacing w:after="60" w:before="180"/>
      </w:pPr>
      <w:r>
        <w:rPr>
          <w:rFonts w:ascii="Arial" w:cs="Arial" w:eastAsia="Arial" w:hAnsi="Arial"/>
          <w:b/>
          <w:bCs/>
          <w:color w:val="2c5282"/>
          <w:sz w:val="22"/>
          <w:szCs w:val="22"/>
        </w:rPr>
        <w:t xml:space="preserve">4.1 Category A — Strategic Vendors</w:t>
      </w:r>
    </w:p>
    <w:p>
      <w:pPr>
        <w:spacing w:after="80"/>
      </w:pPr>
      <w:r>
        <w:rPr>
          <w:rFonts w:ascii="Arial" w:cs="Arial" w:eastAsia="Arial" w:hAnsi="Arial"/>
          <w:sz w:val="20"/>
          <w:szCs w:val="20"/>
        </w:rPr>
        <w:t xml:space="preserve">Annual spend above Rs.10,00,000. Examples: IT infrastructure, logistics partners, consulting firms.</w:t>
      </w:r>
    </w:p>
    <w:p>
      <w:pPr>
        <w:pStyle w:val="ListParagraph"/>
        <w:numPr>
          <w:ilvl w:val="0"/>
          <w:numId w:val="2"/>
        </w:numPr>
        <w:spacing w:after="40"/>
      </w:pPr>
      <w:r>
        <w:rPr>
          <w:rFonts w:ascii="Arial" w:cs="Arial" w:eastAsia="Arial" w:hAnsi="Arial"/>
          <w:sz w:val="20"/>
          <w:szCs w:val="20"/>
        </w:rPr>
        <w:t xml:space="preserve">Annual contract review mandatory</w:t>
      </w:r>
    </w:p>
    <w:p>
      <w:pPr>
        <w:pStyle w:val="ListParagraph"/>
        <w:numPr>
          <w:ilvl w:val="0"/>
          <w:numId w:val="2"/>
        </w:numPr>
        <w:spacing w:after="40"/>
      </w:pPr>
      <w:r>
        <w:rPr>
          <w:rFonts w:ascii="Arial" w:cs="Arial" w:eastAsia="Arial" w:hAnsi="Arial"/>
          <w:sz w:val="20"/>
          <w:szCs w:val="20"/>
        </w:rPr>
        <w:t xml:space="preserve">Quarterly performance review</w:t>
      </w:r>
    </w:p>
    <w:p>
      <w:pPr>
        <w:pStyle w:val="ListParagraph"/>
        <w:numPr>
          <w:ilvl w:val="0"/>
          <w:numId w:val="2"/>
        </w:numPr>
        <w:spacing w:after="40"/>
      </w:pPr>
      <w:r>
        <w:rPr>
          <w:rFonts w:ascii="Arial" w:cs="Arial" w:eastAsia="Arial" w:hAnsi="Arial"/>
          <w:sz w:val="20"/>
          <w:szCs w:val="20"/>
        </w:rPr>
        <w:t xml:space="preserve">Board awareness required for new engagements</w:t>
      </w:r>
    </w:p>
    <w:p>
      <w:pPr>
        <w:pStyle w:val="Heading2"/>
        <w:spacing w:after="60" w:before="180"/>
      </w:pPr>
      <w:r>
        <w:rPr>
          <w:rFonts w:ascii="Arial" w:cs="Arial" w:eastAsia="Arial" w:hAnsi="Arial"/>
          <w:b/>
          <w:bCs/>
          <w:color w:val="2c5282"/>
          <w:sz w:val="22"/>
          <w:szCs w:val="22"/>
        </w:rPr>
        <w:t xml:space="preserve">4.2 Category B — Preferred Vendors</w:t>
      </w:r>
    </w:p>
    <w:p>
      <w:pPr>
        <w:spacing w:after="80"/>
      </w:pPr>
      <w:r>
        <w:rPr>
          <w:rFonts w:ascii="Arial" w:cs="Arial" w:eastAsia="Arial" w:hAnsi="Arial"/>
          <w:sz w:val="20"/>
          <w:szCs w:val="20"/>
        </w:rPr>
        <w:t xml:space="preserve">Annual spend between Rs.2,00,000 and Rs.10,00,000. Examples: facility management, catering, courier services.</w:t>
      </w:r>
    </w:p>
    <w:p>
      <w:pPr>
        <w:pStyle w:val="ListParagraph"/>
        <w:numPr>
          <w:ilvl w:val="0"/>
          <w:numId w:val="2"/>
        </w:numPr>
        <w:spacing w:after="40"/>
      </w:pPr>
      <w:r>
        <w:rPr>
          <w:rFonts w:ascii="Arial" w:cs="Arial" w:eastAsia="Arial" w:hAnsi="Arial"/>
          <w:sz w:val="20"/>
          <w:szCs w:val="20"/>
        </w:rPr>
        <w:t xml:space="preserve">Semi-annual performance review</w:t>
      </w:r>
    </w:p>
    <w:p>
      <w:pPr>
        <w:pStyle w:val="ListParagraph"/>
        <w:numPr>
          <w:ilvl w:val="0"/>
          <w:numId w:val="2"/>
        </w:numPr>
        <w:spacing w:after="40"/>
      </w:pPr>
      <w:r>
        <w:rPr>
          <w:rFonts w:ascii="Arial" w:cs="Arial" w:eastAsia="Arial" w:hAnsi="Arial"/>
          <w:sz w:val="20"/>
          <w:szCs w:val="20"/>
        </w:rPr>
        <w:t xml:space="preserve">Finance Manager approval for new contracts</w:t>
      </w:r>
    </w:p>
    <w:p>
      <w:pPr>
        <w:pStyle w:val="Heading2"/>
        <w:spacing w:after="60" w:before="180"/>
      </w:pPr>
      <w:r>
        <w:rPr>
          <w:rFonts w:ascii="Arial" w:cs="Arial" w:eastAsia="Arial" w:hAnsi="Arial"/>
          <w:b/>
          <w:bCs/>
          <w:color w:val="2c5282"/>
          <w:sz w:val="22"/>
          <w:szCs w:val="22"/>
        </w:rPr>
        <w:t xml:space="preserve">4.3 Category C — Transactional Vendors</w:t>
      </w:r>
    </w:p>
    <w:p>
      <w:pPr>
        <w:spacing w:after="80"/>
      </w:pPr>
      <w:r>
        <w:rPr>
          <w:rFonts w:ascii="Arial" w:cs="Arial" w:eastAsia="Arial" w:hAnsi="Arial"/>
          <w:sz w:val="20"/>
          <w:szCs w:val="20"/>
        </w:rPr>
        <w:t xml:space="preserve">Annual spend below Rs.2,00,000. Examples: office supplies, ad hoc services.</w:t>
      </w:r>
    </w:p>
    <w:p>
      <w:pPr>
        <w:pStyle w:val="ListParagraph"/>
        <w:numPr>
          <w:ilvl w:val="0"/>
          <w:numId w:val="2"/>
        </w:numPr>
        <w:spacing w:after="40"/>
      </w:pPr>
      <w:r>
        <w:rPr>
          <w:rFonts w:ascii="Arial" w:cs="Arial" w:eastAsia="Arial" w:hAnsi="Arial"/>
          <w:sz w:val="20"/>
          <w:szCs w:val="20"/>
        </w:rPr>
        <w:t xml:space="preserve">Annual review sufficient</w:t>
      </w:r>
    </w:p>
    <w:p>
      <w:pPr>
        <w:pStyle w:val="ListParagraph"/>
        <w:numPr>
          <w:ilvl w:val="0"/>
          <w:numId w:val="2"/>
        </w:numPr>
        <w:spacing w:after="40"/>
      </w:pPr>
      <w:r>
        <w:rPr>
          <w:rFonts w:ascii="Arial" w:cs="Arial" w:eastAsia="Arial" w:hAnsi="Arial"/>
          <w:sz w:val="20"/>
          <w:szCs w:val="20"/>
        </w:rPr>
        <w:t xml:space="preserve">Departmental approver can onboard with Procurement notification</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5. PURCHASE ORDER REQUIREMENTS</w:t>
      </w:r>
    </w:p>
    <w:p>
      <w:pPr>
        <w:pStyle w:val="Heading2"/>
        <w:spacing w:after="60" w:before="180"/>
      </w:pPr>
      <w:r>
        <w:rPr>
          <w:rFonts w:ascii="Arial" w:cs="Arial" w:eastAsia="Arial" w:hAnsi="Arial"/>
          <w:b/>
          <w:bCs/>
          <w:color w:val="2c5282"/>
          <w:sz w:val="22"/>
          <w:szCs w:val="22"/>
        </w:rPr>
        <w:t xml:space="preserve">5.1 PO Mandatory Threshold</w:t>
      </w:r>
    </w:p>
    <w:p>
      <w:pPr>
        <w:spacing w:after="80"/>
      </w:pPr>
      <w:r>
        <w:rPr>
          <w:rFonts w:ascii="Arial" w:cs="Arial" w:eastAsia="Arial" w:hAnsi="Arial"/>
          <w:sz w:val="20"/>
          <w:szCs w:val="20"/>
        </w:rPr>
        <w:t xml:space="preserve">A Purchase Order is mandatory for all vendor engagements where the total expected value exceeds Rs.50,000. No invoice above Rs.50,000 should be processed without a corresponding approved PO.</w:t>
      </w:r>
    </w:p>
    <w:p>
      <w:pPr>
        <w:pStyle w:val="Heading2"/>
        <w:spacing w:after="60" w:before="180"/>
      </w:pPr>
      <w:r>
        <w:rPr>
          <w:rFonts w:ascii="Arial" w:cs="Arial" w:eastAsia="Arial" w:hAnsi="Arial"/>
          <w:b/>
          <w:bCs/>
          <w:color w:val="2c5282"/>
          <w:sz w:val="22"/>
          <w:szCs w:val="22"/>
        </w:rPr>
        <w:t xml:space="preserve">5.2 PO Matching</w:t>
      </w:r>
    </w:p>
    <w:p>
      <w:pPr>
        <w:spacing w:after="80"/>
      </w:pPr>
      <w:r>
        <w:rPr>
          <w:rFonts w:ascii="Arial" w:cs="Arial" w:eastAsia="Arial" w:hAnsi="Arial"/>
          <w:sz w:val="20"/>
          <w:szCs w:val="20"/>
        </w:rPr>
        <w:t xml:space="preserve">Finance must match every invoice above Rs.50,000 against its PO before processing payment:</w:t>
      </w:r>
    </w:p>
    <w:p>
      <w:pPr>
        <w:pStyle w:val="ListParagraph"/>
        <w:numPr>
          <w:ilvl w:val="0"/>
          <w:numId w:val="2"/>
        </w:numPr>
        <w:spacing w:after="40"/>
      </w:pPr>
      <w:r>
        <w:rPr>
          <w:rFonts w:ascii="Arial" w:cs="Arial" w:eastAsia="Arial" w:hAnsi="Arial"/>
          <w:sz w:val="20"/>
          <w:szCs w:val="20"/>
        </w:rPr>
        <w:t xml:space="preserve">Invoice amount must not exceed PO value by more than 5%</w:t>
      </w:r>
    </w:p>
    <w:p>
      <w:pPr>
        <w:pStyle w:val="ListParagraph"/>
        <w:numPr>
          <w:ilvl w:val="0"/>
          <w:numId w:val="2"/>
        </w:numPr>
        <w:spacing w:after="40"/>
      </w:pPr>
      <w:r>
        <w:rPr>
          <w:rFonts w:ascii="Arial" w:cs="Arial" w:eastAsia="Arial" w:hAnsi="Arial"/>
          <w:sz w:val="20"/>
          <w:szCs w:val="20"/>
        </w:rPr>
        <w:t xml:space="preserve">Invoice description must match PO scope of work</w:t>
      </w:r>
    </w:p>
    <w:p>
      <w:pPr>
        <w:pStyle w:val="ListParagraph"/>
        <w:numPr>
          <w:ilvl w:val="0"/>
          <w:numId w:val="2"/>
        </w:numPr>
        <w:spacing w:after="40"/>
      </w:pPr>
      <w:r>
        <w:rPr>
          <w:rFonts w:ascii="Arial" w:cs="Arial" w:eastAsia="Arial" w:hAnsi="Arial"/>
          <w:sz w:val="20"/>
          <w:szCs w:val="20"/>
        </w:rPr>
        <w:t xml:space="preserve">Invoice date must fall within PO validity period</w:t>
      </w:r>
    </w:p>
    <w:p>
      <w:pPr>
        <w:pStyle w:val="Heading2"/>
        <w:spacing w:after="60" w:before="180"/>
      </w:pPr>
      <w:r>
        <w:rPr>
          <w:rFonts w:ascii="Arial" w:cs="Arial" w:eastAsia="Arial" w:hAnsi="Arial"/>
          <w:b/>
          <w:bCs/>
          <w:color w:val="2c5282"/>
          <w:sz w:val="22"/>
          <w:szCs w:val="22"/>
        </w:rPr>
        <w:t xml:space="preserve">5.3 PO Exceptions</w:t>
      </w:r>
    </w:p>
    <w:p>
      <w:pPr>
        <w:spacing w:after="80"/>
      </w:pPr>
      <w:r>
        <w:rPr>
          <w:rFonts w:ascii="Arial" w:cs="Arial" w:eastAsia="Arial" w:hAnsi="Arial"/>
          <w:sz w:val="20"/>
          <w:szCs w:val="20"/>
        </w:rPr>
        <w:t xml:space="preserve">Exceptions to the PO requirement require written approval from the Finance Manager and must be documented. Repeated exceptions for the same vendor will trigger a vendor review.</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6. VENDOR PERFORMANCE MONITORING</w:t>
      </w:r>
    </w:p>
    <w:p>
      <w:pPr>
        <w:pStyle w:val="Heading2"/>
        <w:spacing w:after="60" w:before="180"/>
      </w:pPr>
      <w:r>
        <w:rPr>
          <w:rFonts w:ascii="Arial" w:cs="Arial" w:eastAsia="Arial" w:hAnsi="Arial"/>
          <w:b/>
          <w:bCs/>
          <w:color w:val="2c5282"/>
          <w:sz w:val="22"/>
          <w:szCs w:val="22"/>
        </w:rPr>
        <w:t xml:space="preserve">6.1 Invoice Quality Score</w:t>
      </w:r>
    </w:p>
    <w:p>
      <w:pPr>
        <w:spacing w:after="80"/>
      </w:pPr>
      <w:r>
        <w:rPr>
          <w:rFonts w:ascii="Arial" w:cs="Arial" w:eastAsia="Arial" w:hAnsi="Arial"/>
          <w:sz w:val="20"/>
          <w:szCs w:val="20"/>
        </w:rPr>
        <w:t xml:space="preserve">Each vendor is tracked on invoice quality — the percentage of their invoices that are submitted complete, on time, and without flags. A vendor with an invoice quality score below 80% will receive a formal notice.</w:t>
      </w:r>
    </w:p>
    <w:p>
      <w:pPr>
        <w:pStyle w:val="Heading2"/>
        <w:spacing w:after="60" w:before="180"/>
      </w:pPr>
      <w:r>
        <w:rPr>
          <w:rFonts w:ascii="Arial" w:cs="Arial" w:eastAsia="Arial" w:hAnsi="Arial"/>
          <w:b/>
          <w:bCs/>
          <w:color w:val="2c5282"/>
          <w:sz w:val="22"/>
          <w:szCs w:val="22"/>
        </w:rPr>
        <w:t xml:space="preserve">6.2 Flag Tracking</w:t>
      </w:r>
    </w:p>
    <w:p>
      <w:pPr>
        <w:spacing w:after="80"/>
      </w:pPr>
      <w:r>
        <w:rPr>
          <w:rFonts w:ascii="Arial" w:cs="Arial" w:eastAsia="Arial" w:hAnsi="Arial"/>
          <w:sz w:val="20"/>
          <w:szCs w:val="20"/>
        </w:rPr>
        <w:t xml:space="preserve">Finance maintains a flag count for each vendor. Flags include: duplicate invoices, near duplicates, threshold splitting, missing fields, round amounts, and high value anomalies.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Flag Count</w:t>
            </w:r>
          </w:p>
        </w:tc>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flag</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Note on vendor record, monitor closely</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2 flags</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Formal notice to vendor, departmental approver alerted</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 or more flags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Full vendor review initiated, invoice processing paused pending review</w:t>
            </w:r>
          </w:p>
        </w:tc>
      </w:tr>
    </w:tbl>
    <w:p>
      <w:pPr>
        <w:spacing w:after="80"/>
      </w:pPr>
    </w:p>
    <w:p>
      <w:pPr>
        <w:pStyle w:val="Heading2"/>
        <w:spacing w:after="60" w:before="180"/>
      </w:pPr>
      <w:r>
        <w:rPr>
          <w:rFonts w:ascii="Arial" w:cs="Arial" w:eastAsia="Arial" w:hAnsi="Arial"/>
          <w:b/>
          <w:bCs/>
          <w:color w:val="2c5282"/>
          <w:sz w:val="22"/>
          <w:szCs w:val="22"/>
        </w:rPr>
        <w:t xml:space="preserve">6.3 Risky Vendor Classification</w:t>
      </w:r>
    </w:p>
    <w:p>
      <w:pPr>
        <w:spacing w:after="80"/>
      </w:pPr>
      <w:r>
        <w:rPr>
          <w:rFonts w:ascii="Arial" w:cs="Arial" w:eastAsia="Arial" w:hAnsi="Arial"/>
          <w:sz w:val="20"/>
          <w:szCs w:val="20"/>
        </w:rPr>
        <w:t xml:space="preserve">A vendor is classified as Risky if they meet any of the following criteria:</w:t>
      </w:r>
    </w:p>
    <w:p>
      <w:pPr>
        <w:pStyle w:val="ListParagraph"/>
        <w:numPr>
          <w:ilvl w:val="0"/>
          <w:numId w:val="2"/>
        </w:numPr>
        <w:spacing w:after="40"/>
      </w:pPr>
      <w:r>
        <w:rPr>
          <w:rFonts w:ascii="Arial" w:cs="Arial" w:eastAsia="Arial" w:hAnsi="Arial"/>
          <w:sz w:val="20"/>
          <w:szCs w:val="20"/>
        </w:rPr>
        <w:t xml:space="preserve">2 or more flagged invoices of any type</w:t>
      </w:r>
    </w:p>
    <w:p>
      <w:pPr>
        <w:pStyle w:val="ListParagraph"/>
        <w:numPr>
          <w:ilvl w:val="0"/>
          <w:numId w:val="2"/>
        </w:numPr>
        <w:spacing w:after="40"/>
      </w:pPr>
      <w:r>
        <w:rPr>
          <w:rFonts w:ascii="Arial" w:cs="Arial" w:eastAsia="Arial" w:hAnsi="Arial"/>
          <w:sz w:val="20"/>
          <w:szCs w:val="20"/>
        </w:rPr>
        <w:t xml:space="preserve">Any confirmed duplicate invoice (exact or near)</w:t>
      </w:r>
    </w:p>
    <w:p>
      <w:pPr>
        <w:pStyle w:val="ListParagraph"/>
        <w:numPr>
          <w:ilvl w:val="0"/>
          <w:numId w:val="2"/>
        </w:numPr>
        <w:spacing w:after="40"/>
      </w:pPr>
      <w:r>
        <w:rPr>
          <w:rFonts w:ascii="Arial" w:cs="Arial" w:eastAsia="Arial" w:hAnsi="Arial"/>
          <w:sz w:val="20"/>
          <w:szCs w:val="20"/>
        </w:rPr>
        <w:t xml:space="preserve">Any confirmed threshold splitting attempt</w:t>
      </w:r>
    </w:p>
    <w:p>
      <w:pPr>
        <w:pStyle w:val="ListParagraph"/>
        <w:numPr>
          <w:ilvl w:val="0"/>
          <w:numId w:val="2"/>
        </w:numPr>
        <w:spacing w:after="40"/>
      </w:pPr>
      <w:r>
        <w:rPr>
          <w:rFonts w:ascii="Arial" w:cs="Arial" w:eastAsia="Arial" w:hAnsi="Arial"/>
          <w:sz w:val="20"/>
          <w:szCs w:val="20"/>
        </w:rPr>
        <w:t xml:space="preserve">Invoice quality score below 70%</w:t>
      </w:r>
    </w:p>
    <w:p>
      <w:pPr>
        <w:spacing w:after="80"/>
      </w:pPr>
      <w:r>
        <w:rPr>
          <w:rFonts w:ascii="Arial" w:cs="Arial" w:eastAsia="Arial" w:hAnsi="Arial"/>
          <w:sz w:val="20"/>
          <w:szCs w:val="20"/>
        </w:rPr>
        <w:t xml:space="preserve">Risky vendors are placed on a watchlist and all their invoices require Finance Manager sign-off regardless of amount.</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7. VENDOR REVIEW PROCESS</w:t>
      </w:r>
    </w:p>
    <w:p>
      <w:pPr>
        <w:pStyle w:val="Heading2"/>
        <w:spacing w:after="60" w:before="180"/>
      </w:pPr>
      <w:r>
        <w:rPr>
          <w:rFonts w:ascii="Arial" w:cs="Arial" w:eastAsia="Arial" w:hAnsi="Arial"/>
          <w:b/>
          <w:bCs/>
          <w:color w:val="2c5282"/>
          <w:sz w:val="22"/>
          <w:szCs w:val="22"/>
        </w:rPr>
        <w:t xml:space="preserve">7.1 Trigger for Review</w:t>
      </w:r>
    </w:p>
    <w:p>
      <w:pPr>
        <w:spacing w:after="80"/>
      </w:pPr>
      <w:r>
        <w:rPr>
          <w:rFonts w:ascii="Arial" w:cs="Arial" w:eastAsia="Arial" w:hAnsi="Arial"/>
          <w:sz w:val="20"/>
          <w:szCs w:val="20"/>
        </w:rPr>
        <w:t xml:space="preserve">A full vendor review is triggered by:</w:t>
      </w:r>
    </w:p>
    <w:p>
      <w:pPr>
        <w:pStyle w:val="ListParagraph"/>
        <w:numPr>
          <w:ilvl w:val="0"/>
          <w:numId w:val="2"/>
        </w:numPr>
        <w:spacing w:after="40"/>
      </w:pPr>
      <w:r>
        <w:rPr>
          <w:rFonts w:ascii="Arial" w:cs="Arial" w:eastAsia="Arial" w:hAnsi="Arial"/>
          <w:sz w:val="20"/>
          <w:szCs w:val="20"/>
        </w:rPr>
        <w:t xml:space="preserve">3 or more flags of any type</w:t>
      </w:r>
    </w:p>
    <w:p>
      <w:pPr>
        <w:pStyle w:val="ListParagraph"/>
        <w:numPr>
          <w:ilvl w:val="0"/>
          <w:numId w:val="2"/>
        </w:numPr>
        <w:spacing w:after="40"/>
      </w:pPr>
      <w:r>
        <w:rPr>
          <w:rFonts w:ascii="Arial" w:cs="Arial" w:eastAsia="Arial" w:hAnsi="Arial"/>
          <w:sz w:val="20"/>
          <w:szCs w:val="20"/>
        </w:rPr>
        <w:t xml:space="preserve">Any confirmed fraud attempt</w:t>
      </w:r>
    </w:p>
    <w:p>
      <w:pPr>
        <w:pStyle w:val="ListParagraph"/>
        <w:numPr>
          <w:ilvl w:val="0"/>
          <w:numId w:val="2"/>
        </w:numPr>
        <w:spacing w:after="40"/>
      </w:pPr>
      <w:r>
        <w:rPr>
          <w:rFonts w:ascii="Arial" w:cs="Arial" w:eastAsia="Arial" w:hAnsi="Arial"/>
          <w:sz w:val="20"/>
          <w:szCs w:val="20"/>
        </w:rPr>
        <w:t xml:space="preserve">Annual review cycle</w:t>
      </w:r>
    </w:p>
    <w:p>
      <w:pPr>
        <w:pStyle w:val="ListParagraph"/>
        <w:numPr>
          <w:ilvl w:val="0"/>
          <w:numId w:val="2"/>
        </w:numPr>
        <w:spacing w:after="40"/>
      </w:pPr>
      <w:r>
        <w:rPr>
          <w:rFonts w:ascii="Arial" w:cs="Arial" w:eastAsia="Arial" w:hAnsi="Arial"/>
          <w:sz w:val="20"/>
          <w:szCs w:val="20"/>
        </w:rPr>
        <w:t xml:space="preserve">Significant change in spend pattern (more than 50% increase year on year)</w:t>
      </w:r>
    </w:p>
    <w:p>
      <w:pPr>
        <w:pStyle w:val="ListParagraph"/>
        <w:numPr>
          <w:ilvl w:val="0"/>
          <w:numId w:val="2"/>
        </w:numPr>
        <w:spacing w:after="40"/>
      </w:pPr>
      <w:r>
        <w:rPr>
          <w:rFonts w:ascii="Arial" w:cs="Arial" w:eastAsia="Arial" w:hAnsi="Arial"/>
          <w:sz w:val="20"/>
          <w:szCs w:val="20"/>
        </w:rPr>
        <w:t xml:space="preserve">Complaint from internal stakeholder</w:t>
      </w:r>
    </w:p>
    <w:p>
      <w:pPr>
        <w:pStyle w:val="Heading2"/>
        <w:spacing w:after="60" w:before="180"/>
      </w:pPr>
      <w:r>
        <w:rPr>
          <w:rFonts w:ascii="Arial" w:cs="Arial" w:eastAsia="Arial" w:hAnsi="Arial"/>
          <w:b/>
          <w:bCs/>
          <w:color w:val="2c5282"/>
          <w:sz w:val="22"/>
          <w:szCs w:val="22"/>
        </w:rPr>
        <w:t xml:space="preserve">7.2 Review Process</w:t>
      </w:r>
    </w:p>
    <w:p>
      <w:pPr>
        <w:pStyle w:val="ListParagraph"/>
        <w:numPr>
          <w:ilvl w:val="0"/>
          <w:numId w:val="3"/>
        </w:numPr>
        <w:spacing w:after="40"/>
      </w:pPr>
      <w:r>
        <w:rPr>
          <w:rFonts w:ascii="Arial" w:cs="Arial" w:eastAsia="Arial" w:hAnsi="Arial"/>
          <w:sz w:val="20"/>
          <w:szCs w:val="20"/>
        </w:rPr>
        <w:t xml:space="preserve">Procurement freezes new PO issuance for the vendor</w:t>
      </w:r>
    </w:p>
    <w:p>
      <w:pPr>
        <w:pStyle w:val="ListParagraph"/>
        <w:numPr>
          <w:ilvl w:val="0"/>
          <w:numId w:val="3"/>
        </w:numPr>
        <w:spacing w:after="40"/>
      </w:pPr>
      <w:r>
        <w:rPr>
          <w:rFonts w:ascii="Arial" w:cs="Arial" w:eastAsia="Arial" w:hAnsi="Arial"/>
          <w:sz w:val="20"/>
          <w:szCs w:val="20"/>
        </w:rPr>
        <w:t xml:space="preserve">Finance places holds on pending invoices</w:t>
      </w:r>
    </w:p>
    <w:p>
      <w:pPr>
        <w:pStyle w:val="ListParagraph"/>
        <w:numPr>
          <w:ilvl w:val="0"/>
          <w:numId w:val="3"/>
        </w:numPr>
        <w:spacing w:after="40"/>
      </w:pPr>
      <w:r>
        <w:rPr>
          <w:rFonts w:ascii="Arial" w:cs="Arial" w:eastAsia="Arial" w:hAnsi="Arial"/>
          <w:sz w:val="20"/>
          <w:szCs w:val="20"/>
        </w:rPr>
        <w:t xml:space="preserve">Procurement conducts due diligence — re-verify all onboarding documents</w:t>
      </w:r>
    </w:p>
    <w:p>
      <w:pPr>
        <w:pStyle w:val="ListParagraph"/>
        <w:numPr>
          <w:ilvl w:val="0"/>
          <w:numId w:val="3"/>
        </w:numPr>
        <w:spacing w:after="40"/>
      </w:pPr>
      <w:r>
        <w:rPr>
          <w:rFonts w:ascii="Arial" w:cs="Arial" w:eastAsia="Arial" w:hAnsi="Arial"/>
          <w:sz w:val="20"/>
          <w:szCs w:val="20"/>
        </w:rPr>
        <w:t xml:space="preserve">Internal Audit reviews invoice history for the past 12 months</w:t>
      </w:r>
    </w:p>
    <w:p>
      <w:pPr>
        <w:pStyle w:val="ListParagraph"/>
        <w:numPr>
          <w:ilvl w:val="0"/>
          <w:numId w:val="3"/>
        </w:numPr>
        <w:spacing w:after="40"/>
      </w:pPr>
      <w:r>
        <w:rPr>
          <w:rFonts w:ascii="Arial" w:cs="Arial" w:eastAsia="Arial" w:hAnsi="Arial"/>
          <w:sz w:val="20"/>
          <w:szCs w:val="20"/>
        </w:rPr>
        <w:t xml:space="preserve">Outcome: Clear, Conditional Approval, or Suspension</w:t>
      </w:r>
    </w:p>
    <w:p>
      <w:pPr>
        <w:pStyle w:val="Heading2"/>
        <w:spacing w:after="60" w:before="180"/>
      </w:pPr>
      <w:r>
        <w:rPr>
          <w:rFonts w:ascii="Arial" w:cs="Arial" w:eastAsia="Arial" w:hAnsi="Arial"/>
          <w:b/>
          <w:bCs/>
          <w:color w:val="2c5282"/>
          <w:sz w:val="22"/>
          <w:szCs w:val="22"/>
        </w:rPr>
        <w:t xml:space="preserve">7.3 Vendor Suspension</w:t>
      </w:r>
    </w:p>
    <w:p>
      <w:pPr>
        <w:spacing w:after="80"/>
      </w:pPr>
      <w:r>
        <w:rPr>
          <w:rFonts w:ascii="Arial" w:cs="Arial" w:eastAsia="Arial" w:hAnsi="Arial"/>
          <w:sz w:val="20"/>
          <w:szCs w:val="20"/>
        </w:rPr>
        <w:t xml:space="preserve">A vendor may be suspended by the CFO pending investigation. During suspension:</w:t>
      </w:r>
    </w:p>
    <w:p>
      <w:pPr>
        <w:pStyle w:val="ListParagraph"/>
        <w:numPr>
          <w:ilvl w:val="0"/>
          <w:numId w:val="2"/>
        </w:numPr>
        <w:spacing w:after="40"/>
      </w:pPr>
      <w:r>
        <w:rPr>
          <w:rFonts w:ascii="Arial" w:cs="Arial" w:eastAsia="Arial" w:hAnsi="Arial"/>
          <w:sz w:val="20"/>
          <w:szCs w:val="20"/>
        </w:rPr>
        <w:t xml:space="preserve">No new POs may be raised</w:t>
      </w:r>
    </w:p>
    <w:p>
      <w:pPr>
        <w:pStyle w:val="ListParagraph"/>
        <w:numPr>
          <w:ilvl w:val="0"/>
          <w:numId w:val="2"/>
        </w:numPr>
        <w:spacing w:after="40"/>
      </w:pPr>
      <w:r>
        <w:rPr>
          <w:rFonts w:ascii="Arial" w:cs="Arial" w:eastAsia="Arial" w:hAnsi="Arial"/>
          <w:sz w:val="20"/>
          <w:szCs w:val="20"/>
        </w:rPr>
        <w:t xml:space="preserve">No pending invoices may be processed</w:t>
      </w:r>
    </w:p>
    <w:p>
      <w:pPr>
        <w:pStyle w:val="ListParagraph"/>
        <w:numPr>
          <w:ilvl w:val="0"/>
          <w:numId w:val="2"/>
        </w:numPr>
        <w:spacing w:after="40"/>
      </w:pPr>
      <w:r>
        <w:rPr>
          <w:rFonts w:ascii="Arial" w:cs="Arial" w:eastAsia="Arial" w:hAnsi="Arial"/>
          <w:sz w:val="20"/>
          <w:szCs w:val="20"/>
        </w:rPr>
        <w:t xml:space="preserve">Vendor must be notified in writing within 24 hours</w:t>
      </w:r>
    </w:p>
    <w:p>
      <w:pPr>
        <w:pStyle w:val="Heading2"/>
        <w:spacing w:after="60" w:before="180"/>
      </w:pPr>
      <w:r>
        <w:rPr>
          <w:rFonts w:ascii="Arial" w:cs="Arial" w:eastAsia="Arial" w:hAnsi="Arial"/>
          <w:b/>
          <w:bCs/>
          <w:color w:val="2c5282"/>
          <w:sz w:val="22"/>
          <w:szCs w:val="22"/>
        </w:rPr>
        <w:t xml:space="preserve">7.4 Vendor Termination</w:t>
      </w:r>
    </w:p>
    <w:p>
      <w:pPr>
        <w:spacing w:after="80"/>
      </w:pPr>
      <w:r>
        <w:rPr>
          <w:rFonts w:ascii="Arial" w:cs="Arial" w:eastAsia="Arial" w:hAnsi="Arial"/>
          <w:sz w:val="20"/>
          <w:szCs w:val="20"/>
        </w:rPr>
        <w:t xml:space="preserve">Vendor termination requires CFO approval. Grounds for termination include:</w:t>
      </w:r>
    </w:p>
    <w:p>
      <w:pPr>
        <w:pStyle w:val="ListParagraph"/>
        <w:numPr>
          <w:ilvl w:val="0"/>
          <w:numId w:val="2"/>
        </w:numPr>
        <w:spacing w:after="40"/>
      </w:pPr>
      <w:r>
        <w:rPr>
          <w:rFonts w:ascii="Arial" w:cs="Arial" w:eastAsia="Arial" w:hAnsi="Arial"/>
          <w:sz w:val="20"/>
          <w:szCs w:val="20"/>
        </w:rPr>
        <w:t xml:space="preserve">Confirmed fraud or deliberate invoice manipulation</w:t>
      </w:r>
    </w:p>
    <w:p>
      <w:pPr>
        <w:pStyle w:val="ListParagraph"/>
        <w:numPr>
          <w:ilvl w:val="0"/>
          <w:numId w:val="2"/>
        </w:numPr>
        <w:spacing w:after="40"/>
      </w:pPr>
      <w:r>
        <w:rPr>
          <w:rFonts w:ascii="Arial" w:cs="Arial" w:eastAsia="Arial" w:hAnsi="Arial"/>
          <w:sz w:val="20"/>
          <w:szCs w:val="20"/>
        </w:rPr>
        <w:t xml:space="preserve">Persistent non-compliance with invoice requirements</w:t>
      </w:r>
    </w:p>
    <w:p>
      <w:pPr>
        <w:pStyle w:val="ListParagraph"/>
        <w:numPr>
          <w:ilvl w:val="0"/>
          <w:numId w:val="2"/>
        </w:numPr>
        <w:spacing w:after="40"/>
      </w:pPr>
      <w:r>
        <w:rPr>
          <w:rFonts w:ascii="Arial" w:cs="Arial" w:eastAsia="Arial" w:hAnsi="Arial"/>
          <w:sz w:val="20"/>
          <w:szCs w:val="20"/>
        </w:rPr>
        <w:t xml:space="preserve">Failure to pass re-verification during review</w:t>
      </w:r>
    </w:p>
    <w:p>
      <w:pPr>
        <w:pStyle w:val="ListParagraph"/>
        <w:numPr>
          <w:ilvl w:val="0"/>
          <w:numId w:val="2"/>
        </w:numPr>
        <w:spacing w:after="40"/>
      </w:pPr>
      <w:r>
        <w:rPr>
          <w:rFonts w:ascii="Arial" w:cs="Arial" w:eastAsia="Arial" w:hAnsi="Arial"/>
          <w:sz w:val="20"/>
          <w:szCs w:val="20"/>
        </w:rPr>
        <w:t xml:space="preserve">Reputational or legal risk to Investors Ltd</w:t>
      </w:r>
    </w:p>
    <w:p>
      <w:pPr>
        <w:spacing w:after="80"/>
      </w:pPr>
      <w:r>
        <w:rPr>
          <w:rFonts w:ascii="Arial" w:cs="Arial" w:eastAsia="Arial" w:hAnsi="Arial"/>
          <w:sz w:val="20"/>
          <w:szCs w:val="20"/>
        </w:rPr>
        <w:t xml:space="preserve">All terminations must be documented and the vendor notified formally in writing. Outstanding legitimate invoices must be settled before termination is complete.</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8. PREFERRED VENDOR LIST</w:t>
      </w:r>
    </w:p>
    <w:p>
      <w:pPr>
        <w:spacing w:after="80"/>
      </w:pPr>
      <w:r>
        <w:rPr>
          <w:rFonts w:ascii="Arial" w:cs="Arial" w:eastAsia="Arial" w:hAnsi="Arial"/>
          <w:sz w:val="20"/>
          <w:szCs w:val="20"/>
        </w:rPr>
        <w:t xml:space="preserve">Procurement maintains a Preferred Vendor List (PVL) of pre-approved vendors for common spend categories. Departments are encouraged to use PVL vendors where possible to reduce onboarding overhead and ensure quality. Engaging a non-PVL vendor for a category where a PVL vendor exists requires Procurement Manager approval.</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9. VENDOR DATA CONFIDENTIALITY</w:t>
      </w:r>
    </w:p>
    <w:p>
      <w:pPr>
        <w:spacing w:after="80"/>
      </w:pPr>
      <w:r>
        <w:rPr>
          <w:rFonts w:ascii="Arial" w:cs="Arial" w:eastAsia="Arial" w:hAnsi="Arial"/>
          <w:sz w:val="20"/>
          <w:szCs w:val="20"/>
        </w:rPr>
        <w:t xml:space="preserve">All vendor data — financial details, bank accounts, contact information — is strictly confidential and must not be shared outside Investors Ltd without written approval from the CFO. Vendor data must be stored in approved systems only.</w:t>
      </w:r>
    </w:p>
    <w:p>
      <w:pPr>
        <w:pBdr>
          <w:bottom w:val="single" w:color="cccccc" w:sz="4" w:space="1"/>
        </w:pBdr>
        <w:spacing w:after="80" w:before="80"/>
      </w:pPr>
    </w:p>
    <w:p>
      <w:pPr>
        <w:pStyle w:val="Heading1"/>
        <w:spacing w:after="80" w:before="240"/>
      </w:pPr>
      <w:r>
        <w:rPr>
          <w:rFonts w:ascii="Arial" w:cs="Arial" w:eastAsia="Arial" w:hAnsi="Arial"/>
          <w:b/>
          <w:bCs/>
          <w:color w:val="1a3a5c"/>
          <w:sz w:val="26"/>
          <w:szCs w:val="26"/>
        </w:rPr>
        <w:t xml:space="preserve">10.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68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Procurement Team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Onboarding, PVL maintenance, vendor reviews</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Departmental Approver</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First line vendor relationship, invoice quality</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Finance Staff</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Flag tracking, PO matching, payment processing</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Finance Manager</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Risky vendor sign-off, PO exceptions</w:t>
            </w:r>
          </w:p>
        </w:tc>
      </w:tr>
      <w:tr>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Internal Audit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Fraud investigation, annual vendor audit</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CFO</w:t>
            </w:r>
          </w:p>
        </w:tc>
        <w:tc>
          <w:tcPr>
            <w:tcW w:type="dxa" w:w="468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18"/>
                <w:szCs w:val="18"/>
              </w:rPr>
              <w:t xml:space="preserve">Vendor suspension, termination, strategic vendor approval</w:t>
            </w:r>
          </w:p>
        </w:tc>
      </w:tr>
    </w:tbl>
    <w:p>
      <w:pPr>
        <w:spacing w:after="80"/>
      </w:pPr>
    </w:p>
    <w:p>
      <w:pPr>
        <w:pBdr>
          <w:top w:val="single" w:color="cccccc" w:sz="2" w:space="1"/>
        </w:pBdr>
        <w:spacing w:before="120"/>
        <w:jc w:val="center"/>
      </w:pPr>
      <w:r>
        <w:rPr>
          <w:rFonts w:ascii="Arial" w:cs="Arial" w:eastAsia="Arial" w:hAnsi="Arial"/>
          <w:i/>
          <w:iCs/>
          <w:color w:val="888888"/>
          <w:sz w:val="16"/>
          <w:szCs w:val="16"/>
        </w:rPr>
        <w:t xml:space="preserve">Investors Ltd — Procurement &amp; Vendor Management — PROC-POL-001 v1.1 — Confidential — Do not distribute externally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a3a5c"/>
      <w:sz w:val="26"/>
      <w:szCs w:val="26"/>
    </w:rPr>
  </w:style>
  <w:style w:type="paragraph" w:styleId="Heading2">
    <w:name w:val="Heading 2"/>
    <w:basedOn w:val="Normal"/>
    <w:next w:val="Normal"/>
    <w:qFormat/>
    <w:pPr>
      <w:spacing w:after="60" w:before="180"/>
      <w:outlineLvl w:val="1"/>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2026-04-21T08:48:01.792Z</dcterms:created>
  <dcterms:modified xsi:type="dcterms:W3CDTF">2026-04-21T08:48:01.793Z</dcterms:modified>
</cp:coreProperties>
</file>

<file path=docProps/custom.xml><?xml version="1.0" encoding="utf-8"?>
<Properties xmlns="http://schemas.openxmlformats.org/officeDocument/2006/custom-properties" xmlns:vt="http://schemas.openxmlformats.org/officeDocument/2006/docPropsVTypes"/>
</file>