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HaqSetu — AI Welfare and Scholarship Navigator: Concept Note</w:t>
      </w:r>
    </w:p>
    <w:p>
      <w:r>
        <w:t>Primary SDG: SDG 4 (Quality Education) | Related SDGs: SDG 1 (No Poverty), SDG 10 (Reduced Inequalities)</w:t>
      </w:r>
    </w:p>
    <w:p>
      <w:pPr>
        <w:pStyle w:val="Heading1"/>
      </w:pPr>
      <w:r>
        <w:t>1. Problem Statement &amp; Vision</w:t>
      </w:r>
    </w:p>
    <w:p>
      <w:r>
        <w:t>Governments publish welfare and scholarship schemes, yet intended beneficiaries struggle to discover relevant opportunities, interpret complex eligibility clauses, prepare prerequisite documents in the right order, or locate official grievance channels. HaqSetu bridges this gap through the workflow: Eligibility Condition -&gt; Supporting Evidence -&gt; Decision -&gt; Next Action.</w:t>
      </w:r>
    </w:p>
    <w:p>
      <w:pPr>
        <w:pStyle w:val="Heading1"/>
      </w:pPr>
      <w:r>
        <w:t>2. Implemented Architecture &amp; Technical Honesty</w:t>
      </w:r>
    </w:p>
    <w:p>
      <w:r>
        <w:t>HaqSetu is built as a lightweight local modular monolith using Python 3.14.5, FastAPI, Pydantic v2, Python's standard-library graphlib.TopologicalSorter, and a responsive Civic Ledger HTML/CSS/vanilla JS interface. It separates SchemeReadiness (ASSESSABLE vs LISTING_ONLY) from ApplicantOutcome (ELIGIBLE, INELIGIBLE, NEEDS_VERIFICATION). The full test suite runs 32 pytest cases (P2/P3: 18, P5: 5, P4/P7: 9 total across 4 modules, including parametrized cases).</w:t>
      </w:r>
    </w:p>
    <w:p>
      <w:pPr>
        <w:pStyle w:val="Heading1"/>
      </w:pPr>
      <w:r>
        <w:t>3. Honest AI/ML Role &amp; Evaluation</w:t>
      </w:r>
    </w:p>
    <w:p>
      <w:r>
        <w:t>Eligibility decisions are never delegated to a machine-learning classifier or generative LLM. Instead, HaqSetu uses symbolic three-valued Kleene logic for deterministic eligibility evaluation, DAG topological sorting for action planning, and a pure-Python standard-library TF-IDF + cosine similarity retriever for source-grounded policy Q&amp;A (/api/ask). A 10-query synthetic smoke benchmark achieved Top-1=1.0, Top-3=1.0, MRR=1.0, Refusal=1.0. These are small synthetic figures — not independently validated accuracy claims.</w:t>
      </w:r>
    </w:p>
    <w:p>
      <w:pPr>
        <w:pStyle w:val="Heading1"/>
      </w:pPr>
      <w:r>
        <w:t>4. Policy Verification Safeguards &amp; Current Status</w:t>
      </w:r>
    </w:p>
    <w:p>
      <w:r>
        <w:t>Real scheme candidates in data/schemes.json (PM-USP Central Sector Scholarship on scholarships.gov.in and Uttar Pradesh Pre-Matric Scholarship on scholarship.up.gov.in) are maintained as LISTING_ONLY until a human reviewer inspects current academic-year guidelines and records verbatim clauses. Interactive eligibility and planner mechanics are demonstrated safely via an isolated fictional fixture (demo-assessable) that carries persistent FICTIONAL DEMO WARNING banners. No eligibility rules, income limits, marks thresholds, or deadlines have been fabricated for real schemes.</w:t>
      </w:r>
    </w:p>
    <w:p>
      <w:pPr>
        <w:pStyle w:val="Heading1"/>
      </w:pPr>
      <w:r>
        <w:t>5. Privacy, Security &amp; Limitations</w:t>
      </w:r>
    </w:p>
    <w:p>
      <w:r>
        <w:t>HaqSetu collects no Aadhaar numbers, bank details, or logins. User answers remain stateless and are never logged. The application enforces a 32 KB payload cap and defensive security headers. Future scope (not claimed as implemented in the MVP) includes multi-state pin-code discovery, vernacular translation, and nodal-officer SLA tracking. No RAM footprint claim is published because it was not measured in an automated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