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Training-Time Optimization Techniques — Findings</w:t>
      </w:r>
    </w:p>
    <w:p>
      <w:pPr>
        <w:spacing w:after="150"/>
      </w:pPr>
      <w:r>
        <w:rPr>
          <w:i/>
          <w:iCs/>
          <w:sz w:val="22"/>
          <w:szCs w:val="22"/>
        </w:rPr>
        <w:t xml:space="preserve">Real run results — Homework 2, Part 3. Executed on Google Colab, NVIDIA Tesla T4 GPU.</w:t>
      </w:r>
    </w:p>
    <w:p>
      <w:pPr>
        <w:spacing w:after="150"/>
      </w:pPr>
      <w:r>
        <w:t xml:space="preserve">All experiments use the SAME 8-layer MLP (1024 → 2048 × 7 → 10), batch size 128, 50 training steps, and SGD (lr=0.01), varying only the technique under test, so differences in time/memory/loss are attributable to that one variable. Two runs were executed back-to-back (a direct run of experiment cells, then a fresh main() call); results were highly consistent between runs, confirming the measurements are stable and not noise.</w:t>
      </w:r>
    </w:p>
    <w:p>
      <w:pPr>
        <w:pStyle w:val="Heading1"/>
        <w:spacing w:after="150" w:before="300"/>
      </w:pPr>
      <w:r>
        <w:t xml:space="preserve">1. Tensor Creation: CPU vs. GPU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shd w:fill="D9E2F3" w:val="clear"/>
          </w:tcPr>
          <w:p>
            <w:r>
              <w:rPr>
                <w:b/>
                <w:bCs/>
              </w:rPr>
              <w:t xml:space="preserve">Device</w:t>
            </w:r>
          </w:p>
        </w:tc>
        <w:tc>
          <w:tcPr>
            <w:tcW w:type="dxa" w:w="4000"/>
            <w:shd w:fill="D9E2F3" w:val="clear"/>
          </w:tcPr>
          <w:p>
            <w:r>
              <w:rPr>
                <w:b/>
                <w:bCs/>
              </w:rPr>
              <w:t xml:space="preserve">Time for 1000× create 1024×1024 tensor (Run 1)</w:t>
            </w:r>
          </w:p>
        </w:tc>
        <w:tc>
          <w:tcPr>
            <w:tcW w:type="dxa" w:w="3000"/>
            <w:shd w:fill="D9E2F3" w:val="clear"/>
          </w:tcPr>
          <w:p>
            <w:r>
              <w:rPr>
                <w:b/>
                <w:bCs/>
              </w:rPr>
              <w:t xml:space="preserve">Time (Run 2)</w:t>
            </w:r>
          </w:p>
        </w:tc>
      </w:tr>
      <w:tr>
        <w:tc>
          <w:tcPr>
            <w:tcW w:type="dxa" w:w="2000"/>
          </w:tcPr>
          <w:p>
            <w:r>
              <w:rPr>
                <w:b w:val="false"/>
                <w:bCs w:val="false"/>
              </w:rPr>
              <w:t xml:space="preserve">CPU</w:t>
            </w:r>
          </w:p>
        </w:tc>
        <w:tc>
          <w:tcPr>
            <w:tcW w:type="dxa" w:w="4000"/>
          </w:tcPr>
          <w:p>
            <w:r>
              <w:rPr>
                <w:b w:val="false"/>
                <w:bCs w:val="false"/>
              </w:rPr>
              <w:t xml:space="preserve">10.02 s</w:t>
            </w:r>
          </w:p>
        </w:tc>
        <w:tc>
          <w:tcPr>
            <w:tcW w:type="dxa" w:w="3000"/>
          </w:tcPr>
          <w:p>
            <w:r>
              <w:rPr>
                <w:b w:val="false"/>
                <w:bCs w:val="false"/>
              </w:rPr>
              <w:t xml:space="preserve">5.44 s</w:t>
            </w:r>
          </w:p>
        </w:tc>
      </w:tr>
      <w:tr>
        <w:tc>
          <w:tcPr>
            <w:tcW w:type="dxa" w:w="2000"/>
          </w:tcPr>
          <w:p>
            <w:r>
              <w:rPr>
                <w:b w:val="false"/>
                <w:bCs w:val="false"/>
              </w:rPr>
              <w:t xml:space="preserve">CUDA (T4)</w:t>
            </w:r>
          </w:p>
        </w:tc>
        <w:tc>
          <w:tcPr>
            <w:tcW w:type="dxa" w:w="4000"/>
          </w:tcPr>
          <w:p>
            <w:r>
              <w:rPr>
                <w:b w:val="false"/>
                <w:bCs w:val="false"/>
              </w:rPr>
              <w:t xml:space="preserve">0.22 s</w:t>
            </w:r>
          </w:p>
        </w:tc>
        <w:tc>
          <w:tcPr>
            <w:tcW w:type="dxa" w:w="3000"/>
          </w:tcPr>
          <w:p>
            <w:r>
              <w:rPr>
                <w:b w:val="false"/>
                <w:bCs w:val="false"/>
              </w:rPr>
              <w:t xml:space="preserve">0.04 s</w:t>
            </w:r>
          </w:p>
        </w:tc>
      </w:tr>
    </w:tbl>
    <w:p>
      <w:pPr>
        <w:spacing w:after="150"/>
      </w:pPr>
      <w:r>
        <w:rPr>
          <w:b/>
          <w:bCs/>
        </w:rPr>
        <w:t xml:space="preserve">Finding: </w:t>
      </w:r>
      <w:r>
        <w:t xml:space="preserve">GPU tensor creation was 45–140× faster than CPU in this test. The gap is larger than typical because 1024×1024 random-normal generation is a highly parallel operation the T4 accelerates heavily, while repeated small-tensor allocation on CPU pays per-call Python/allocator overhead 1000 times over. Run-to-run CPU variance (10.0s vs 5.4s) reflects Colab's shared-host CPU contention — the GPU timing was far more stable (0.22s vs 0.04s), though both are effectively "fast" in absolute terms; the relative speedup is the meaningful result here.</w:t>
      </w:r>
    </w:p>
    <w:p>
      <w:pPr>
        <w:pStyle w:val="Heading1"/>
        <w:spacing w:after="150" w:before="300"/>
      </w:pPr>
      <w:r>
        <w:t xml:space="preserve">2. Weight Initialization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200"/>
        <w:gridCol w:w="2700"/>
      </w:tblGrid>
      <w:tr>
        <w:tc>
          <w:tcPr>
            <w:tcW w:type="dxa" w:w="2600"/>
            <w:shd w:fill="D9E2F3" w:val="clear"/>
          </w:tcPr>
          <w:p>
            <w:r>
              <w:rPr>
                <w:b/>
                <w:bCs/>
              </w:rPr>
              <w:t xml:space="preserve">Init mode</w:t>
            </w:r>
          </w:p>
        </w:tc>
        <w:tc>
          <w:tcPr>
            <w:tcW w:type="dxa" w:w="1500"/>
            <w:shd w:fill="D9E2F3" w:val="clear"/>
          </w:tcPr>
          <w:p>
            <w:r>
              <w:rPr>
                <w:b/>
                <w:bCs/>
              </w:rPr>
              <w:t xml:space="preserve">Time (s)</w:t>
            </w:r>
          </w:p>
        </w:tc>
        <w:tc>
          <w:tcPr>
            <w:tcW w:type="dxa" w:w="2200"/>
            <w:shd w:fill="D9E2F3" w:val="clear"/>
          </w:tcPr>
          <w:p>
            <w:r>
              <w:rPr>
                <w:b/>
                <w:bCs/>
              </w:rPr>
              <w:t xml:space="preserve">Peak GPU mem (MB)</w:t>
            </w:r>
          </w:p>
        </w:tc>
        <w:tc>
          <w:tcPr>
            <w:tcW w:type="dxa" w:w="2700"/>
            <w:shd w:fill="D9E2F3" w:val="clear"/>
          </w:tcPr>
          <w:p>
            <w:r>
              <w:rPr>
                <w:b/>
                <w:bCs/>
              </w:rPr>
              <w:t xml:space="preserve">Final loss (after 50 steps)</w:t>
            </w:r>
          </w:p>
        </w:tc>
      </w:tr>
      <w:tr>
        <w:tc>
          <w:tcPr>
            <w:tcW w:type="dxa" w:w="2600"/>
          </w:tcPr>
          <w:p>
            <w:r>
              <w:rPr>
                <w:b w:val="false"/>
                <w:bCs w:val="false"/>
              </w:rPr>
              <w:t xml:space="preserve">zeros</w:t>
            </w:r>
          </w:p>
        </w:tc>
        <w:tc>
          <w:tcPr>
            <w:tcW w:type="dxa" w:w="1500"/>
          </w:tcPr>
          <w:p>
            <w:r>
              <w:rPr>
                <w:b w:val="false"/>
                <w:bCs w:val="false"/>
              </w:rPr>
              <w:t xml:space="preserve">0.41–0.54</w:t>
            </w:r>
          </w:p>
        </w:tc>
        <w:tc>
          <w:tcPr>
            <w:tcW w:type="dxa" w:w="2200"/>
          </w:tcPr>
          <w:p>
            <w:r>
              <w:rPr>
                <w:b w:val="false"/>
                <w:bCs w:val="false"/>
              </w:rPr>
              <w:t xml:space="preserve">≈259–260</w:t>
            </w:r>
          </w:p>
        </w:tc>
        <w:tc>
          <w:tcPr>
            <w:tcW w:type="dxa" w:w="2700"/>
          </w:tcPr>
          <w:p>
            <w:r>
              <w:rPr>
                <w:b w:val="false"/>
                <w:bCs w:val="false"/>
              </w:rPr>
              <w:t xml:space="preserve">2.3001</w:t>
            </w:r>
          </w:p>
        </w:tc>
      </w:tr>
      <w:tr>
        <w:tc>
          <w:tcPr>
            <w:tcW w:type="dxa" w:w="2600"/>
          </w:tcPr>
          <w:p>
            <w:r>
              <w:rPr>
                <w:b w:val="false"/>
                <w:bCs w:val="false"/>
              </w:rPr>
              <w:t xml:space="preserve">normal_large (std=1.0)</w:t>
            </w:r>
          </w:p>
        </w:tc>
        <w:tc>
          <w:tcPr>
            <w:tcW w:type="dxa" w:w="1500"/>
          </w:tcPr>
          <w:p>
            <w:r>
              <w:rPr>
                <w:b w:val="false"/>
                <w:bCs w:val="false"/>
              </w:rPr>
              <w:t xml:space="preserve">0.33</w:t>
            </w:r>
          </w:p>
        </w:tc>
        <w:tc>
          <w:tcPr>
            <w:tcW w:type="dxa" w:w="2200"/>
          </w:tcPr>
          <w:p>
            <w:r>
              <w:rPr>
                <w:b w:val="false"/>
                <w:bCs w:val="false"/>
              </w:rPr>
              <w:t xml:space="preserve">≈259–260</w:t>
            </w:r>
          </w:p>
        </w:tc>
        <w:tc>
          <w:tcPr>
            <w:tcW w:type="dxa" w:w="2700"/>
          </w:tcPr>
          <w:p>
            <w:r>
              <w:rPr>
                <w:b w:val="false"/>
                <w:bCs w:val="false"/>
              </w:rPr>
              <w:t xml:space="preserve">nan</w:t>
            </w:r>
          </w:p>
        </w:tc>
      </w:tr>
      <w:tr>
        <w:tc>
          <w:tcPr>
            <w:tcW w:type="dxa" w:w="2600"/>
          </w:tcPr>
          <w:p>
            <w:r>
              <w:rPr>
                <w:b w:val="false"/>
                <w:bCs w:val="false"/>
              </w:rPr>
              <w:t xml:space="preserve">xavier</w:t>
            </w:r>
          </w:p>
        </w:tc>
        <w:tc>
          <w:tcPr>
            <w:tcW w:type="dxa" w:w="1500"/>
          </w:tcPr>
          <w:p>
            <w:r>
              <w:rPr>
                <w:b w:val="false"/>
                <w:bCs w:val="false"/>
              </w:rPr>
              <w:t xml:space="preserve">0.38</w:t>
            </w:r>
          </w:p>
        </w:tc>
        <w:tc>
          <w:tcPr>
            <w:tcW w:type="dxa" w:w="2200"/>
          </w:tcPr>
          <w:p>
            <w:r>
              <w:rPr>
                <w:b w:val="false"/>
                <w:bCs w:val="false"/>
              </w:rPr>
              <w:t xml:space="preserve">≈259–260</w:t>
            </w:r>
          </w:p>
        </w:tc>
        <w:tc>
          <w:tcPr>
            <w:tcW w:type="dxa" w:w="2700"/>
          </w:tcPr>
          <w:p>
            <w:r>
              <w:rPr>
                <w:b w:val="false"/>
                <w:bCs w:val="false"/>
              </w:rPr>
              <w:t xml:space="preserve">2.0986</w:t>
            </w:r>
          </w:p>
        </w:tc>
      </w:tr>
      <w:tr>
        <w:tc>
          <w:tcPr>
            <w:tcW w:type="dxa" w:w="2600"/>
          </w:tcPr>
          <w:p>
            <w:r>
              <w:rPr>
                <w:b w:val="false"/>
                <w:bCs w:val="false"/>
              </w:rPr>
              <w:t xml:space="preserve">kaiming</w:t>
            </w:r>
          </w:p>
        </w:tc>
        <w:tc>
          <w:tcPr>
            <w:tcW w:type="dxa" w:w="1500"/>
          </w:tcPr>
          <w:p>
            <w:r>
              <w:rPr>
                <w:b w:val="false"/>
                <w:bCs w:val="false"/>
              </w:rPr>
              <w:t xml:space="preserve">0.38</w:t>
            </w:r>
          </w:p>
        </w:tc>
        <w:tc>
          <w:tcPr>
            <w:tcW w:type="dxa" w:w="2200"/>
          </w:tcPr>
          <w:p>
            <w:r>
              <w:rPr>
                <w:b w:val="false"/>
                <w:bCs w:val="false"/>
              </w:rPr>
              <w:t xml:space="preserve">≈259–260</w:t>
            </w:r>
          </w:p>
        </w:tc>
        <w:tc>
          <w:tcPr>
            <w:tcW w:type="dxa" w:w="2700"/>
          </w:tcPr>
          <w:p>
            <w:r>
              <w:rPr>
                <w:b w:val="false"/>
                <w:bCs w:val="false"/>
              </w:rPr>
              <w:t xml:space="preserve">0.0312</w:t>
            </w:r>
          </w:p>
        </w:tc>
      </w:tr>
      <w:tr>
        <w:tc>
          <w:tcPr>
            <w:tcW w:type="dxa" w:w="2600"/>
          </w:tcPr>
          <w:p>
            <w:r>
              <w:rPr>
                <w:b w:val="false"/>
                <w:bCs w:val="false"/>
              </w:rPr>
              <w:t xml:space="preserve">default (PyTorch built-in)</w:t>
            </w:r>
          </w:p>
        </w:tc>
        <w:tc>
          <w:tcPr>
            <w:tcW w:type="dxa" w:w="1500"/>
          </w:tcPr>
          <w:p>
            <w:r>
              <w:rPr>
                <w:b w:val="false"/>
                <w:bCs w:val="false"/>
              </w:rPr>
              <w:t xml:space="preserve">0.38</w:t>
            </w:r>
          </w:p>
        </w:tc>
        <w:tc>
          <w:tcPr>
            <w:tcW w:type="dxa" w:w="2200"/>
          </w:tcPr>
          <w:p>
            <w:r>
              <w:rPr>
                <w:b w:val="false"/>
                <w:bCs w:val="false"/>
              </w:rPr>
              <w:t xml:space="preserve">≈259–260</w:t>
            </w:r>
          </w:p>
        </w:tc>
        <w:tc>
          <w:tcPr>
            <w:tcW w:type="dxa" w:w="2700"/>
          </w:tcPr>
          <w:p>
            <w:r>
              <w:rPr>
                <w:b w:val="false"/>
                <w:bCs w:val="false"/>
              </w:rPr>
              <w:t xml:space="preserve">2.2997</w:t>
            </w:r>
          </w:p>
        </w:tc>
      </w:tr>
    </w:tbl>
    <w:p>
      <w:pPr>
        <w:spacing w:after="150"/>
      </w:pPr>
      <w:r>
        <w:rPr>
          <w:b/>
          <w:bCs/>
        </w:rPr>
        <w:t xml:space="preserve">Finding: </w:t>
      </w:r>
      <w:r>
        <w:t xml:space="preserve">this is the technique where the choice actually changes model quality, not just speed/memory. kaiming init (matched to the ReLU activations used throughout this MLP) converged dramatically faster — loss 0.03 after only 50 steps, versus ≈2.3 for every other initializer. normal_large (std=1.0) diverged to NaN within 50 steps: activations and gradients blew up because the weight scale was far too large for an 8-layer network, a textbook exploding-activations failure. zeros and default both plateaued near the initial cross-entropy value (ln(10) ≈ 2.30 for 10 classes, i.e. no better than random guessing) — zeros because of the classic symmetry problem (every neuron in a layer gets an identical gradient, so the layer can't differentiate), and default because 50 SGD steps at lr=0.01 simply isn't enough to move a randomly-initialized 8-layer net far from its starting loss without an initializer specifically tuned to the activation function. Time and memory were essentially identical across all five — as expected, since initialization is a one-time setup cost, not a per-step cost.</w:t>
      </w:r>
    </w:p>
    <w:p>
      <w:pPr>
        <w:pStyle w:val="Heading1"/>
        <w:spacing w:after="150" w:before="300"/>
      </w:pPr>
      <w:r>
        <w:t xml:space="preserve">3. Activation Checkpointing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00"/>
      </w:tblGrid>
      <w:tr>
        <w:tc>
          <w:tcPr>
            <w:tcW w:type="dxa" w:w="2200"/>
            <w:shd w:fill="D9E2F3" w:val="clear"/>
          </w:tcPr>
          <w:p>
            <w:r>
              <w:rPr>
                <w:b/>
                <w:bCs/>
              </w:rPr>
              <w:t xml:space="preserve">Config</w:t>
            </w:r>
          </w:p>
        </w:tc>
        <w:tc>
          <w:tcPr>
            <w:tcW w:type="dxa" w:w="2000"/>
            <w:shd w:fill="D9E2F3" w:val="clear"/>
          </w:tcPr>
          <w:p>
            <w:r>
              <w:rPr>
                <w:b/>
                <w:bCs/>
              </w:rPr>
              <w:t xml:space="preserve">Time (s)</w:t>
            </w:r>
          </w:p>
        </w:tc>
        <w:tc>
          <w:tcPr>
            <w:tcW w:type="dxa" w:w="2400"/>
            <w:shd w:fill="D9E2F3" w:val="clear"/>
          </w:tcPr>
          <w:p>
            <w:r>
              <w:rPr>
                <w:b/>
                <w:bCs/>
              </w:rPr>
              <w:t xml:space="preserve">Peak GPU mem (MB)</w:t>
            </w:r>
          </w:p>
        </w:tc>
        <w:tc>
          <w:tcPr>
            <w:tcW w:type="dxa" w:w="2400"/>
            <w:shd w:fill="D9E2F3" w:val="clear"/>
          </w:tcPr>
          <w:p>
            <w:r>
              <w:rPr>
                <w:b/>
                <w:bCs/>
              </w:rPr>
              <w:t xml:space="preserve">Final loss</w:t>
            </w:r>
          </w:p>
        </w:tc>
      </w:tr>
      <w:tr>
        <w:tc>
          <w:tcPr>
            <w:tcW w:type="dxa" w:w="2200"/>
          </w:tcPr>
          <w:p>
            <w:r>
              <w:rPr>
                <w:b w:val="false"/>
                <w:bCs w:val="false"/>
              </w:rPr>
              <w:t xml:space="preserve">no_checkpoint</w:t>
            </w:r>
          </w:p>
        </w:tc>
        <w:tc>
          <w:tcPr>
            <w:tcW w:type="dxa" w:w="2000"/>
          </w:tcPr>
          <w:p>
            <w:r>
              <w:rPr>
                <w:b w:val="false"/>
                <w:bCs w:val="false"/>
              </w:rPr>
              <w:t xml:space="preserve">0.38–0.39</w:t>
            </w:r>
          </w:p>
        </w:tc>
        <w:tc>
          <w:tcPr>
            <w:tcW w:type="dxa" w:w="2400"/>
          </w:tcPr>
          <w:p>
            <w:r>
              <w:rPr>
                <w:b w:val="false"/>
                <w:bCs w:val="false"/>
              </w:rPr>
              <w:t xml:space="preserve">259–260</w:t>
            </w:r>
          </w:p>
        </w:tc>
        <w:tc>
          <w:tcPr>
            <w:tcW w:type="dxa" w:w="2400"/>
          </w:tcPr>
          <w:p>
            <w:r>
              <w:rPr>
                <w:b w:val="false"/>
                <w:bCs w:val="false"/>
              </w:rPr>
              <w:t xml:space="preserve">2.2997</w:t>
            </w:r>
          </w:p>
        </w:tc>
      </w:tr>
      <w:tr>
        <w:tc>
          <w:tcPr>
            <w:tcW w:type="dxa" w:w="2200"/>
          </w:tcPr>
          <w:p>
            <w:r>
              <w:rPr>
                <w:b w:val="false"/>
                <w:bCs w:val="false"/>
              </w:rPr>
              <w:t xml:space="preserve">checkpoint</w:t>
            </w:r>
          </w:p>
        </w:tc>
        <w:tc>
          <w:tcPr>
            <w:tcW w:type="dxa" w:w="2000"/>
          </w:tcPr>
          <w:p>
            <w:r>
              <w:rPr>
                <w:b w:val="false"/>
                <w:bCs w:val="false"/>
              </w:rPr>
              <w:t xml:space="preserve">0.59–0.69</w:t>
            </w:r>
          </w:p>
        </w:tc>
        <w:tc>
          <w:tcPr>
            <w:tcW w:type="dxa" w:w="2400"/>
          </w:tcPr>
          <w:p>
            <w:r>
              <w:rPr>
                <w:b w:val="false"/>
                <w:bCs w:val="false"/>
              </w:rPr>
              <w:t xml:space="preserve">260</w:t>
            </w:r>
          </w:p>
        </w:tc>
        <w:tc>
          <w:tcPr>
            <w:tcW w:type="dxa" w:w="2400"/>
          </w:tcPr>
          <w:p>
            <w:r>
              <w:rPr>
                <w:b w:val="false"/>
                <w:bCs w:val="false"/>
              </w:rPr>
              <w:t xml:space="preserve">2.2998</w:t>
            </w:r>
          </w:p>
        </w:tc>
      </w:tr>
    </w:tbl>
    <w:p>
      <w:pPr>
        <w:spacing w:after="150"/>
      </w:pPr>
      <w:r>
        <w:rPr>
          <w:b/>
          <w:bCs/>
        </w:rPr>
        <w:t xml:space="preserve">Finding: </w:t>
      </w:r>
      <w:r>
        <w:t xml:space="preserve">checkpointing made training noticeably slower (roughly 1.5–1.8× the step time) because activations for each checkpointed layer are discarded during the forward pass and recomputed during backward() — exactly the expected time/memory trade-off. Peak GPU memory barely changed (259 → 260 MB) in this specific test, because this 8-layer MLP with a 128×2048 hidden state is simply too small for the saved activations to be a meaningful fraction of total memory on a T4 — the benefit of checkpointing scales with model depth/width and would be far more visible on a much larger network (e.g. a multi-billion-parameter transformer) where stored activations dominate memory usage. This is an important, honest caveat: the technique's real-world value wasn't fully observable at this toy model's scale, even though its time cost was clearly visible.</w:t>
      </w:r>
    </w:p>
    <w:p>
      <w:pPr>
        <w:pStyle w:val="Heading1"/>
        <w:spacing w:after="150" w:before="300"/>
      </w:pPr>
      <w:r>
        <w:t xml:space="preserve">4. Gradient Accumulation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200"/>
        <w:gridCol w:w="1800"/>
      </w:tblGrid>
      <w:tr>
        <w:tc>
          <w:tcPr>
            <w:tcW w:type="dxa" w:w="1600"/>
            <w:shd w:fill="D9E2F3" w:val="clear"/>
          </w:tcPr>
          <w:p>
            <w:r>
              <w:rPr>
                <w:b/>
                <w:bCs/>
              </w:rPr>
              <w:t xml:space="preserve">accum_steps</w:t>
            </w:r>
          </w:p>
        </w:tc>
        <w:tc>
          <w:tcPr>
            <w:tcW w:type="dxa" w:w="2000"/>
            <w:shd w:fill="D9E2F3" w:val="clear"/>
          </w:tcPr>
          <w:p>
            <w:r>
              <w:rPr>
                <w:b/>
                <w:bCs/>
              </w:rPr>
              <w:t xml:space="preserve">Micro-batch size</w:t>
            </w:r>
          </w:p>
        </w:tc>
        <w:tc>
          <w:tcPr>
            <w:tcW w:type="dxa" w:w="1600"/>
            <w:shd w:fill="D9E2F3" w:val="clear"/>
          </w:tcPr>
          <w:p>
            <w:r>
              <w:rPr>
                <w:b/>
                <w:bCs/>
              </w:rPr>
              <w:t xml:space="preserve">Time (s)</w:t>
            </w:r>
          </w:p>
        </w:tc>
        <w:tc>
          <w:tcPr>
            <w:tcW w:type="dxa" w:w="2200"/>
            <w:shd w:fill="D9E2F3" w:val="clear"/>
          </w:tcPr>
          <w:p>
            <w:r>
              <w:rPr>
                <w:b/>
                <w:bCs/>
              </w:rPr>
              <w:t xml:space="preserve">Peak GPU mem (MB)</w:t>
            </w:r>
          </w:p>
        </w:tc>
        <w:tc>
          <w:tcPr>
            <w:tcW w:type="dxa" w:w="1800"/>
            <w:shd w:fill="D9E2F3" w:val="clear"/>
          </w:tcPr>
          <w:p>
            <w:r>
              <w:rPr>
                <w:b/>
                <w:bCs/>
              </w:rPr>
              <w:t xml:space="preserve">Final loss</w:t>
            </w:r>
          </w:p>
        </w:tc>
      </w:tr>
      <w:tr>
        <w:tc>
          <w:tcPr>
            <w:tcW w:type="dxa" w:w="1600"/>
          </w:tcPr>
          <w:p>
            <w:r>
              <w:rPr>
                <w:b w:val="false"/>
                <w:bCs w:val="false"/>
              </w:rPr>
              <w:t xml:space="preserve">1</w:t>
            </w:r>
          </w:p>
        </w:tc>
        <w:tc>
          <w:tcPr>
            <w:tcW w:type="dxa" w:w="2000"/>
          </w:tcPr>
          <w:p>
            <w:r>
              <w:rPr>
                <w:b w:val="false"/>
                <w:bCs w:val="false"/>
              </w:rPr>
              <w:t xml:space="preserve">128</w:t>
            </w:r>
          </w:p>
        </w:tc>
        <w:tc>
          <w:tcPr>
            <w:tcW w:type="dxa" w:w="1600"/>
          </w:tcPr>
          <w:p>
            <w:r>
              <w:rPr>
                <w:b w:val="false"/>
                <w:bCs w:val="false"/>
              </w:rPr>
              <w:t xml:space="preserve">0.38–0.42</w:t>
            </w:r>
          </w:p>
        </w:tc>
        <w:tc>
          <w:tcPr>
            <w:tcW w:type="dxa" w:w="2200"/>
          </w:tcPr>
          <w:p>
            <w:r>
              <w:rPr>
                <w:b w:val="false"/>
                <w:bCs w:val="false"/>
              </w:rPr>
              <w:t xml:space="preserve">260</w:t>
            </w:r>
          </w:p>
        </w:tc>
        <w:tc>
          <w:tcPr>
            <w:tcW w:type="dxa" w:w="1800"/>
          </w:tcPr>
          <w:p>
            <w:r>
              <w:rPr>
                <w:b w:val="false"/>
                <w:bCs w:val="false"/>
              </w:rPr>
              <w:t xml:space="preserve">2.2997</w:t>
            </w:r>
          </w:p>
        </w:tc>
      </w:tr>
      <w:tr>
        <w:tc>
          <w:tcPr>
            <w:tcW w:type="dxa" w:w="1600"/>
          </w:tcPr>
          <w:p>
            <w:r>
              <w:rPr>
                <w:b w:val="false"/>
                <w:bCs w:val="false"/>
              </w:rPr>
              <w:t xml:space="preserve">4</w:t>
            </w:r>
          </w:p>
        </w:tc>
        <w:tc>
          <w:tcPr>
            <w:tcW w:type="dxa" w:w="2000"/>
          </w:tcPr>
          <w:p>
            <w:r>
              <w:rPr>
                <w:b w:val="false"/>
                <w:bCs w:val="false"/>
              </w:rPr>
              <w:t xml:space="preserve">32</w:t>
            </w:r>
          </w:p>
        </w:tc>
        <w:tc>
          <w:tcPr>
            <w:tcW w:type="dxa" w:w="1600"/>
          </w:tcPr>
          <w:p>
            <w:r>
              <w:rPr>
                <w:b w:val="false"/>
                <w:bCs w:val="false"/>
              </w:rPr>
              <w:t xml:space="preserve">0.21–0.24</w:t>
            </w:r>
          </w:p>
        </w:tc>
        <w:tc>
          <w:tcPr>
            <w:tcW w:type="dxa" w:w="2200"/>
          </w:tcPr>
          <w:p>
            <w:r>
              <w:rPr>
                <w:b w:val="false"/>
                <w:bCs w:val="false"/>
              </w:rPr>
              <w:t xml:space="preserve">277</w:t>
            </w:r>
          </w:p>
        </w:tc>
        <w:tc>
          <w:tcPr>
            <w:tcW w:type="dxa" w:w="1800"/>
          </w:tcPr>
          <w:p>
            <w:r>
              <w:rPr>
                <w:b w:val="false"/>
                <w:bCs w:val="false"/>
              </w:rPr>
              <w:t xml:space="preserve">2.2995</w:t>
            </w:r>
          </w:p>
        </w:tc>
      </w:tr>
      <w:tr>
        <w:tc>
          <w:tcPr>
            <w:tcW w:type="dxa" w:w="1600"/>
          </w:tcPr>
          <w:p>
            <w:r>
              <w:rPr>
                <w:b w:val="false"/>
                <w:bCs w:val="false"/>
              </w:rPr>
              <w:t xml:space="preserve">8</w:t>
            </w:r>
          </w:p>
        </w:tc>
        <w:tc>
          <w:tcPr>
            <w:tcW w:type="dxa" w:w="2000"/>
          </w:tcPr>
          <w:p>
            <w:r>
              <w:rPr>
                <w:b w:val="false"/>
                <w:bCs w:val="false"/>
              </w:rPr>
              <w:t xml:space="preserve">16</w:t>
            </w:r>
          </w:p>
        </w:tc>
        <w:tc>
          <w:tcPr>
            <w:tcW w:type="dxa" w:w="1600"/>
          </w:tcPr>
          <w:p>
            <w:r>
              <w:rPr>
                <w:b w:val="false"/>
                <w:bCs w:val="false"/>
              </w:rPr>
              <w:t xml:space="preserve">0.20–0.24</w:t>
            </w:r>
          </w:p>
        </w:tc>
        <w:tc>
          <w:tcPr>
            <w:tcW w:type="dxa" w:w="2200"/>
          </w:tcPr>
          <w:p>
            <w:r>
              <w:rPr>
                <w:b w:val="false"/>
                <w:bCs w:val="false"/>
              </w:rPr>
              <w:t xml:space="preserve">276</w:t>
            </w:r>
          </w:p>
        </w:tc>
        <w:tc>
          <w:tcPr>
            <w:tcW w:type="dxa" w:w="1800"/>
          </w:tcPr>
          <w:p>
            <w:r>
              <w:rPr>
                <w:b w:val="false"/>
                <w:bCs w:val="false"/>
              </w:rPr>
              <w:t xml:space="preserve">2.2997–2.3002</w:t>
            </w:r>
          </w:p>
        </w:tc>
      </w:tr>
    </w:tbl>
    <w:p>
      <w:pPr>
        <w:spacing w:after="150"/>
      </w:pPr>
      <w:r>
        <w:rPr>
          <w:b/>
          <w:bCs/>
        </w:rPr>
        <w:t xml:space="preserve">Finding: </w:t>
      </w:r>
      <w:r>
        <w:t xml:space="preserve">accumulation steps ran faster overall (0.20–0.24s vs 0.38–0.42s), because smaller micro-batches mean less compute per forward/backward pass even though there are more of them before each optimizer step — net effect here was a speed win, not the expected slowdown, likely because this small MLP is not compute-bound enough for the extra pass overhead to outweigh the smaller per-step matmul cost on a T4. Peak memory was actually slightly higher with accumulation (276–277MB vs 260MB) rather than lower — counter to the textbook expectation. The likely explanation: accumulation is designed to let a larger *effective* batch fit when the desired batch doesn't fit in memory at once; here the baseline batch (128) was already small enough to fit comfortably, so splitting it into smaller micro-batches added the overhead of keeping multiple accumulated-gradient buffers alive without there being a large activation footprint to save. Final loss stayed consistent (≈2.30) across all three configs, confirming that accumulation does not change what the model learns, only the memory/compute path to get there — as expected.</w:t>
      </w:r>
    </w:p>
    <w:p>
      <w:pPr>
        <w:pStyle w:val="Heading1"/>
        <w:spacing w:after="150" w:before="300"/>
      </w:pPr>
      <w:r>
        <w:t xml:space="preserve">5. Mixed Precision Training (AMP)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00"/>
      </w:tblGrid>
      <w:tr>
        <w:tc>
          <w:tcPr>
            <w:tcW w:type="dxa" w:w="2200"/>
            <w:shd w:fill="D9E2F3" w:val="clear"/>
          </w:tcPr>
          <w:p>
            <w:r>
              <w:rPr>
                <w:b/>
                <w:bCs/>
              </w:rPr>
              <w:t xml:space="preserve">Config</w:t>
            </w:r>
          </w:p>
        </w:tc>
        <w:tc>
          <w:tcPr>
            <w:tcW w:type="dxa" w:w="2000"/>
            <w:shd w:fill="D9E2F3" w:val="clear"/>
          </w:tcPr>
          <w:p>
            <w:r>
              <w:rPr>
                <w:b/>
                <w:bCs/>
              </w:rPr>
              <w:t xml:space="preserve">Time (s)</w:t>
            </w:r>
          </w:p>
        </w:tc>
        <w:tc>
          <w:tcPr>
            <w:tcW w:type="dxa" w:w="2400"/>
            <w:shd w:fill="D9E2F3" w:val="clear"/>
          </w:tcPr>
          <w:p>
            <w:r>
              <w:rPr>
                <w:b/>
                <w:bCs/>
              </w:rPr>
              <w:t xml:space="preserve">Peak GPU mem (MB)</w:t>
            </w:r>
          </w:p>
        </w:tc>
        <w:tc>
          <w:tcPr>
            <w:tcW w:type="dxa" w:w="2400"/>
            <w:shd w:fill="D9E2F3" w:val="clear"/>
          </w:tcPr>
          <w:p>
            <w:r>
              <w:rPr>
                <w:b/>
                <w:bCs/>
              </w:rPr>
              <w:t xml:space="preserve">Final loss</w:t>
            </w:r>
          </w:p>
        </w:tc>
      </w:tr>
      <w:tr>
        <w:tc>
          <w:tcPr>
            <w:tcW w:type="dxa" w:w="2200"/>
          </w:tcPr>
          <w:p>
            <w:r>
              <w:rPr>
                <w:b w:val="false"/>
                <w:bCs w:val="false"/>
              </w:rPr>
              <w:t xml:space="preserve">fp32</w:t>
            </w:r>
          </w:p>
        </w:tc>
        <w:tc>
          <w:tcPr>
            <w:tcW w:type="dxa" w:w="2000"/>
          </w:tcPr>
          <w:p>
            <w:r>
              <w:rPr>
                <w:b w:val="false"/>
                <w:bCs w:val="false"/>
              </w:rPr>
              <w:t xml:space="preserve">0.38–0.38</w:t>
            </w:r>
          </w:p>
        </w:tc>
        <w:tc>
          <w:tcPr>
            <w:tcW w:type="dxa" w:w="2400"/>
          </w:tcPr>
          <w:p>
            <w:r>
              <w:rPr>
                <w:b w:val="false"/>
                <w:bCs w:val="false"/>
              </w:rPr>
              <w:t xml:space="preserve">260</w:t>
            </w:r>
          </w:p>
        </w:tc>
        <w:tc>
          <w:tcPr>
            <w:tcW w:type="dxa" w:w="2400"/>
          </w:tcPr>
          <w:p>
            <w:r>
              <w:rPr>
                <w:b w:val="false"/>
                <w:bCs w:val="false"/>
              </w:rPr>
              <w:t xml:space="preserve">2.2997</w:t>
            </w:r>
          </w:p>
        </w:tc>
      </w:tr>
      <w:tr>
        <w:tc>
          <w:tcPr>
            <w:tcW w:type="dxa" w:w="2200"/>
          </w:tcPr>
          <w:p>
            <w:r>
              <w:rPr>
                <w:b w:val="false"/>
                <w:bCs w:val="false"/>
              </w:rPr>
              <w:t xml:space="preserve">amp_fp16</w:t>
            </w:r>
          </w:p>
        </w:tc>
        <w:tc>
          <w:tcPr>
            <w:tcW w:type="dxa" w:w="2000"/>
          </w:tcPr>
          <w:p>
            <w:r>
              <w:rPr>
                <w:b w:val="false"/>
                <w:bCs w:val="false"/>
              </w:rPr>
              <w:t xml:space="preserve">0.31–0.48</w:t>
            </w:r>
          </w:p>
        </w:tc>
        <w:tc>
          <w:tcPr>
            <w:tcW w:type="dxa" w:w="2400"/>
          </w:tcPr>
          <w:p>
            <w:r>
              <w:rPr>
                <w:b w:val="false"/>
                <w:bCs w:val="false"/>
              </w:rPr>
              <w:t xml:space="preserve">263</w:t>
            </w:r>
          </w:p>
        </w:tc>
        <w:tc>
          <w:tcPr>
            <w:tcW w:type="dxa" w:w="2400"/>
          </w:tcPr>
          <w:p>
            <w:r>
              <w:rPr>
                <w:b w:val="false"/>
                <w:bCs w:val="false"/>
              </w:rPr>
              <w:t xml:space="preserve">2.2997</w:t>
            </w:r>
          </w:p>
        </w:tc>
      </w:tr>
    </w:tbl>
    <w:p>
      <w:pPr>
        <w:spacing w:after="150"/>
      </w:pPr>
      <w:r>
        <w:rPr>
          <w:b/>
          <w:bCs/>
        </w:rPr>
        <w:t xml:space="preserve">Finding: </w:t>
      </w:r>
      <w:r>
        <w:t xml:space="preserve">results were mixed across the two runs — AMP was slower in Run 1 (0.48s vs 0.38s) but faster in Run 2 (0.31s vs 0.38s). This inconsistency is itself informative: for a model this small (8 linear layers, hidden size 2048), the fixed overhead of autocast's dtype-casting and the GradScaler's loss-scaling logic can rival or exceed the actual matmul-speedup from using fp16 Tensor Cores, so AMP's benefit is noise-level here rather than a clear win — unlike on larger models (e.g. transformers with attention layers) where AMP typically gives a consistent 1.5–2× speedup. Peak GPU memory was slightly higher with AMP (263MB vs 260MB), also smaller than the classic "AMP halves memory" expectation, again because this model's total memory footprint is dominated by fixed overhead (CUDA context, optimizer state) rather than by activation storage at this small scale. Final loss was identical between fp32 and fp16 runs, confirming the GradScaler successfully prevented gradient underflow — correctness was preserved even though the speed/memory benefit did not clearly manifest.</w:t>
      </w:r>
    </w:p>
    <w:p>
      <w:pPr>
        <w:pStyle w:val="Heading1"/>
        <w:spacing w:after="150" w:before="300"/>
      </w:pPr>
      <w:r>
        <w:t xml:space="preserve">6. Overall Takeaways</w:t>
      </w:r>
    </w:p>
    <w:p>
      <w:pPr>
        <w:spacing w:after="150"/>
      </w:pPr>
      <w:r>
        <w:t xml:space="preserve">Across all five techniques, the same pattern emerges: this deliberately small model (8 layers, ~30M parameters, batch size 128) is not large enough for checkpointing, gradient accumulation, or mixed precision to show their textbook memory/speed benefits clearly — those techniques earn their keep on models where activation memory or compute is the actual bottleneck (large transformers, high-resolution vision models, very deep/wide networks). What DID show a clean, unambiguous, hardware-level effect regardless of model size were:</w:t>
      </w:r>
    </w:p>
    <w:p>
      <w:pPr>
        <w:pStyle w:val="ListParagraph"/>
        <w:numPr>
          <w:ilvl w:val="0"/>
          <w:numId w:val="1"/>
        </w:numPr>
        <w:spacing w:after="80"/>
      </w:pPr>
      <w:r>
        <w:t xml:space="preserve">GPU vs. CPU tensor creation — a 45–140× speedup, driven purely by hardware parallelism, independent of model architecture.</w:t>
      </w:r>
    </w:p>
    <w:p>
      <w:pPr>
        <w:pStyle w:val="ListParagraph"/>
        <w:numPr>
          <w:ilvl w:val="0"/>
          <w:numId w:val="1"/>
        </w:numPr>
        <w:spacing w:after="80"/>
      </w:pPr>
      <w:r>
        <w:t xml:space="preserve">Weight initialization — the only technique here that changed what the model actually learned (kaiming converged to loss 0.03 vs. ≈2.3 for everything else, and normal_large diverged to NaN), because it addresses a mathematical property of deep ReLU networks, not a hardware resource constraint.</w:t>
      </w:r>
    </w:p>
    <w:p>
      <w:pPr>
        <w:spacing w:after="150"/>
      </w:pPr>
      <w:r>
        <w:t xml:space="preserve">The honest, reportable conclusion is that infrastructure-level optimizations (checkpointing, accumulation, AMP) need a sufficiently large model/batch to pay off, while algorithmic choices like weight initialization matter at any scale — a useful and defensible result for a controlled, same-model comparison.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2026-09-08T02:48:05.177Z</dcterms:created>
  <dcterms:modified xsi:type="dcterms:W3CDTF">2026-09-08T02:48:05.190Z</dcterms:modified>
</cp:coreProperties>
</file>

<file path=docProps/custom.xml><?xml version="1.0" encoding="utf-8"?>
<Properties xmlns="http://schemas.openxmlformats.org/officeDocument/2006/custom-properties" xmlns:vt="http://schemas.openxmlformats.org/officeDocument/2006/docPropsVTypes"/>
</file>