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14.3.1 Overview of Treatment-Emergent Adverse Events</w:t>
      </w:r>
    </w:p>
    <w:p>
      <w:r>
        <w:t>Safety Population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Placebo (N=19)</w:t>
            </w:r>
          </w:p>
        </w:tc>
        <w:tc>
          <w:tcPr>
            <w:tcW w:type="dxa" w:w="1728"/>
          </w:tcPr>
          <w:p>
            <w:r>
              <w:t>Drug A 50mg (N=20)</w:t>
            </w:r>
          </w:p>
        </w:tc>
        <w:tc>
          <w:tcPr>
            <w:tcW w:type="dxa" w:w="1728"/>
          </w:tcPr>
          <w:p>
            <w:r>
              <w:t>Drug A 100mg (N=20)</w:t>
            </w:r>
          </w:p>
        </w:tc>
        <w:tc>
          <w:tcPr>
            <w:tcW w:type="dxa" w:w="1728"/>
          </w:tcPr>
          <w:p>
            <w:r>
              <w:t>Total (N=59)</w:t>
            </w:r>
          </w:p>
        </w:tc>
      </w:tr>
      <w:tr>
        <w:tc>
          <w:tcPr>
            <w:tcW w:type="dxa" w:w="1728"/>
          </w:tcPr>
          <w:p>
            <w:r>
              <w:t>Any TEAE</w:t>
            </w:r>
          </w:p>
        </w:tc>
        <w:tc>
          <w:tcPr>
            <w:tcW w:type="dxa" w:w="1728"/>
          </w:tcPr>
          <w:p>
            <w:r>
              <w:t>15 (78.9%)</w:t>
            </w:r>
          </w:p>
        </w:tc>
        <w:tc>
          <w:tcPr>
            <w:tcW w:type="dxa" w:w="1728"/>
          </w:tcPr>
          <w:p>
            <w:r>
              <w:t>17 (85.0%)</w:t>
            </w:r>
          </w:p>
        </w:tc>
        <w:tc>
          <w:tcPr>
            <w:tcW w:type="dxa" w:w="1728"/>
          </w:tcPr>
          <w:p>
            <w:r>
              <w:t>11 (55.0%)</w:t>
            </w:r>
          </w:p>
        </w:tc>
        <w:tc>
          <w:tcPr>
            <w:tcW w:type="dxa" w:w="1728"/>
          </w:tcPr>
          <w:p>
            <w:r>
              <w:t>43 (72.9%)</w:t>
            </w:r>
          </w:p>
        </w:tc>
      </w:tr>
      <w:tr>
        <w:tc>
          <w:tcPr>
            <w:tcW w:type="dxa" w:w="1728"/>
          </w:tcPr>
          <w:p>
            <w:r>
              <w:t xml:space="preserve">  Maximum severity: Mild</w:t>
            </w:r>
          </w:p>
        </w:tc>
        <w:tc>
          <w:tcPr>
            <w:tcW w:type="dxa" w:w="1728"/>
          </w:tcPr>
          <w:p>
            <w:r>
              <w:t>8 (42.1%)</w:t>
            </w:r>
          </w:p>
        </w:tc>
        <w:tc>
          <w:tcPr>
            <w:tcW w:type="dxa" w:w="1728"/>
          </w:tcPr>
          <w:p>
            <w:r>
              <w:t>9 (45.0%)</w:t>
            </w:r>
          </w:p>
        </w:tc>
        <w:tc>
          <w:tcPr>
            <w:tcW w:type="dxa" w:w="1728"/>
          </w:tcPr>
          <w:p>
            <w:r>
              <w:t>8 (40.0%)</w:t>
            </w:r>
          </w:p>
        </w:tc>
        <w:tc>
          <w:tcPr>
            <w:tcW w:type="dxa" w:w="1728"/>
          </w:tcPr>
          <w:p>
            <w:r>
              <w:t>25 (42.4%)</w:t>
            </w:r>
          </w:p>
        </w:tc>
      </w:tr>
      <w:tr>
        <w:tc>
          <w:tcPr>
            <w:tcW w:type="dxa" w:w="1728"/>
          </w:tcPr>
          <w:p>
            <w:r>
              <w:t xml:space="preserve">  Maximum severity: Moderate</w:t>
            </w:r>
          </w:p>
        </w:tc>
        <w:tc>
          <w:tcPr>
            <w:tcW w:type="dxa" w:w="1728"/>
          </w:tcPr>
          <w:p>
            <w:r>
              <w:t>6 (31.6%)</w:t>
            </w:r>
          </w:p>
        </w:tc>
        <w:tc>
          <w:tcPr>
            <w:tcW w:type="dxa" w:w="1728"/>
          </w:tcPr>
          <w:p>
            <w:r>
              <w:t>7 (35.0%)</w:t>
            </w:r>
          </w:p>
        </w:tc>
        <w:tc>
          <w:tcPr>
            <w:tcW w:type="dxa" w:w="1728"/>
          </w:tcPr>
          <w:p>
            <w:r>
              <w:t>2 (10.0%)</w:t>
            </w:r>
          </w:p>
        </w:tc>
        <w:tc>
          <w:tcPr>
            <w:tcW w:type="dxa" w:w="1728"/>
          </w:tcPr>
          <w:p>
            <w:r>
              <w:t>15 (25.4%)</w:t>
            </w:r>
          </w:p>
        </w:tc>
      </w:tr>
      <w:tr>
        <w:tc>
          <w:tcPr>
            <w:tcW w:type="dxa" w:w="1728"/>
          </w:tcPr>
          <w:p>
            <w:r>
              <w:t xml:space="preserve">  Maximum severity: Severe</w:t>
            </w:r>
          </w:p>
        </w:tc>
        <w:tc>
          <w:tcPr>
            <w:tcW w:type="dxa" w:w="1728"/>
          </w:tcPr>
          <w:p>
            <w:r>
              <w:t>1 (5.3%)</w:t>
            </w:r>
          </w:p>
        </w:tc>
        <w:tc>
          <w:tcPr>
            <w:tcW w:type="dxa" w:w="1728"/>
          </w:tcPr>
          <w:p>
            <w:r>
              <w:t>1 (5.0%)</w:t>
            </w:r>
          </w:p>
        </w:tc>
        <w:tc>
          <w:tcPr>
            <w:tcW w:type="dxa" w:w="1728"/>
          </w:tcPr>
          <w:p>
            <w:r>
              <w:t>1 (5.0%)</w:t>
            </w:r>
          </w:p>
        </w:tc>
        <w:tc>
          <w:tcPr>
            <w:tcW w:type="dxa" w:w="1728"/>
          </w:tcPr>
          <w:p>
            <w:r>
              <w:t>3 (5.1%)</w:t>
            </w:r>
          </w:p>
        </w:tc>
      </w:tr>
      <w:tr>
        <w:tc>
          <w:tcPr>
            <w:tcW w:type="dxa" w:w="1728"/>
          </w:tcPr>
          <w:p>
            <w:r>
              <w:t>Any serious TEAE</w:t>
            </w:r>
          </w:p>
        </w:tc>
        <w:tc>
          <w:tcPr>
            <w:tcW w:type="dxa" w:w="1728"/>
          </w:tcPr>
          <w:p>
            <w:r>
              <w:t>1 (5.3%)</w:t>
            </w:r>
          </w:p>
        </w:tc>
        <w:tc>
          <w:tcPr>
            <w:tcW w:type="dxa" w:w="1728"/>
          </w:tcPr>
          <w:p>
            <w:r>
              <w:t>1 (5.0%)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2 (3.4%)</w:t>
            </w:r>
          </w:p>
        </w:tc>
      </w:tr>
      <w:tr>
        <w:tc>
          <w:tcPr>
            <w:tcW w:type="dxa" w:w="1728"/>
          </w:tcPr>
          <w:p>
            <w:r>
              <w:t>Any TEAE related to study drug</w:t>
            </w:r>
          </w:p>
        </w:tc>
        <w:tc>
          <w:tcPr>
            <w:tcW w:type="dxa" w:w="1728"/>
          </w:tcPr>
          <w:p>
            <w:r>
              <w:t>7 (36.8%)</w:t>
            </w:r>
          </w:p>
        </w:tc>
        <w:tc>
          <w:tcPr>
            <w:tcW w:type="dxa" w:w="1728"/>
          </w:tcPr>
          <w:p>
            <w:r>
              <w:t>10 (50.0%)</w:t>
            </w:r>
          </w:p>
        </w:tc>
        <w:tc>
          <w:tcPr>
            <w:tcW w:type="dxa" w:w="1728"/>
          </w:tcPr>
          <w:p>
            <w:r>
              <w:t>5 (25.0%)</w:t>
            </w:r>
          </w:p>
        </w:tc>
        <w:tc>
          <w:tcPr>
            <w:tcW w:type="dxa" w:w="1728"/>
          </w:tcPr>
          <w:p>
            <w:r>
              <w:t>22 (37.3%)</w:t>
            </w:r>
          </w:p>
        </w:tc>
      </w:tr>
    </w:tbl>
    <w:p>
      <w:r>
        <w:t>Percentages are based on the number of subjects in the Safety Population.</w:t>
      </w:r>
    </w:p>
    <w:p>
      <w:r>
        <w:t>A subject with more than one event is counted once per category.</w:t>
      </w:r>
    </w:p>
    <w:p>
      <w:r>
        <w:t>Source: ADSL, ADAE. Program: t_14_3_1.sas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