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Project Report</w:t>
      </w:r>
    </w:p>
    <w:p>
      <w:pPr>
        <w:spacing w:after="100"/>
        <w:jc w:val="center"/>
      </w:pPr>
      <w:r>
        <w:rPr>
          <w:b/>
          <w:bCs/>
          <w:sz w:val="22"/>
          <w:szCs w:val="22"/>
        </w:rPr>
        <w:t xml:space="preserve">Auto Ticket Classification Using Flow Designer</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Mar>
              <w:top w:type="dxa" w:w="70"/>
              <w:left w:type="dxa" w:w="110"/>
              <w:bottom w:type="dxa" w:w="70"/>
              <w:right w:type="dxa" w:w="110"/>
            </w:tcMar>
            <w:vAlign w:val="center"/>
          </w:tcPr>
          <w:p>
            <w:r>
              <w:rPr>
                <w:b/>
                <w:bCs/>
                <w:sz w:val="19"/>
                <w:szCs w:val="19"/>
              </w:rPr>
              <w:t xml:space="preserve">Date</w:t>
            </w:r>
          </w:p>
        </w:tc>
        <w:tc>
          <w:tcPr>
            <w:tcW w:type="dxa" w:w="6400"/>
            <w:tcMar>
              <w:top w:type="dxa" w:w="70"/>
              <w:left w:type="dxa" w:w="110"/>
              <w:bottom w:type="dxa" w:w="70"/>
              <w:right w:type="dxa" w:w="110"/>
            </w:tcMar>
            <w:vAlign w:val="center"/>
          </w:tcPr>
          <w:p>
            <w:r>
              <w:rPr>
                <w:sz w:val="19"/>
                <w:szCs w:val="19"/>
              </w:rPr>
              <w:t xml:space="preserve">03 October 2026</w:t>
            </w:r>
          </w:p>
        </w:tc>
      </w:tr>
      <w:tr>
        <w:tc>
          <w:tcPr>
            <w:tcW w:type="dxa" w:w="3200"/>
            <w:tcMar>
              <w:top w:type="dxa" w:w="70"/>
              <w:left w:type="dxa" w:w="110"/>
              <w:bottom w:type="dxa" w:w="70"/>
              <w:right w:type="dxa" w:w="110"/>
            </w:tcMar>
            <w:vAlign w:val="center"/>
          </w:tcPr>
          <w:p>
            <w:r>
              <w:rPr>
                <w:b/>
                <w:bCs/>
                <w:sz w:val="19"/>
                <w:szCs w:val="19"/>
              </w:rPr>
              <w:t xml:space="preserve">Team ID</w:t>
            </w:r>
          </w:p>
        </w:tc>
        <w:tc>
          <w:tcPr>
            <w:tcW w:type="dxa" w:w="6400"/>
            <w:tcMar>
              <w:top w:type="dxa" w:w="70"/>
              <w:left w:type="dxa" w:w="110"/>
              <w:bottom w:type="dxa" w:w="70"/>
              <w:right w:type="dxa" w:w="110"/>
            </w:tcMar>
            <w:vAlign w:val="center"/>
          </w:tcPr>
          <w:p>
            <w:r>
              <w:rPr>
                <w:sz w:val="19"/>
                <w:szCs w:val="19"/>
              </w:rPr>
              <w:t xml:space="preserve">[Enter Team ID]</w:t>
            </w:r>
          </w:p>
        </w:tc>
      </w:tr>
      <w:tr>
        <w:tc>
          <w:tcPr>
            <w:tcW w:type="dxa" w:w="3200"/>
            <w:tcMar>
              <w:top w:type="dxa" w:w="70"/>
              <w:left w:type="dxa" w:w="110"/>
              <w:bottom w:type="dxa" w:w="70"/>
              <w:right w:type="dxa" w:w="110"/>
            </w:tcMar>
            <w:vAlign w:val="center"/>
          </w:tcPr>
          <w:p>
            <w:r>
              <w:rPr>
                <w:b/>
                <w:bCs/>
                <w:sz w:val="19"/>
                <w:szCs w:val="19"/>
              </w:rPr>
              <w:t xml:space="preserve">Project Name</w:t>
            </w:r>
          </w:p>
        </w:tc>
        <w:tc>
          <w:tcPr>
            <w:tcW w:type="dxa" w:w="6400"/>
            <w:tcMar>
              <w:top w:type="dxa" w:w="70"/>
              <w:left w:type="dxa" w:w="110"/>
              <w:bottom w:type="dxa" w:w="70"/>
              <w:right w:type="dxa" w:w="110"/>
            </w:tcMar>
            <w:vAlign w:val="center"/>
          </w:tcPr>
          <w:p>
            <w:r>
              <w:rPr>
                <w:sz w:val="19"/>
                <w:szCs w:val="19"/>
              </w:rPr>
              <w:t xml:space="preserve">Auto Ticket Classification Using Flow Designer</w:t>
            </w:r>
          </w:p>
        </w:tc>
      </w:tr>
    </w:tbl>
    <w:p>
      <w:pPr>
        <w:pStyle w:val="Heading1"/>
        <w:spacing w:after="100" w:before="240"/>
      </w:pPr>
      <w:r>
        <w:rPr>
          <w:b/>
          <w:bCs/>
          <w:color w:val="1F4E79"/>
          <w:sz w:val="24"/>
          <w:szCs w:val="24"/>
        </w:rPr>
        <w:t xml:space="preserve">1. Introduction</w:t>
      </w:r>
    </w:p>
    <w:p>
      <w:pPr>
        <w:pStyle w:val="Heading2"/>
        <w:spacing w:after="70" w:before="140"/>
      </w:pPr>
      <w:r>
        <w:rPr>
          <w:b/>
          <w:bCs/>
          <w:sz w:val="20"/>
          <w:szCs w:val="20"/>
        </w:rPr>
        <w:t xml:space="preserve">1.1 Project Overview</w:t>
      </w:r>
    </w:p>
    <w:p>
      <w:pPr>
        <w:spacing w:after="90"/>
      </w:pPr>
      <w:r>
        <w:rPr>
          <w:sz w:val="19"/>
          <w:szCs w:val="19"/>
        </w:rPr>
        <w:t xml:space="preserve">This project automates the classification of IT support tickets in ServiceNow using Flow Designer. When a new ticket is created on the custom Incident WorkFlow table, a flow automatically evaluates its short description, assigns the correct category, and sends a confirmation notification - replacing a manual, inconsistent first-line triage step.</w:t>
      </w:r>
    </w:p>
    <w:p>
      <w:pPr>
        <w:pStyle w:val="Heading2"/>
        <w:spacing w:after="70" w:before="140"/>
      </w:pPr>
      <w:r>
        <w:rPr>
          <w:b/>
          <w:bCs/>
          <w:sz w:val="20"/>
          <w:szCs w:val="20"/>
        </w:rPr>
        <w:t xml:space="preserve">1.2 Purpose</w:t>
      </w:r>
    </w:p>
    <w:p>
      <w:pPr>
        <w:spacing w:after="90"/>
      </w:pPr>
      <w:r>
        <w:rPr>
          <w:sz w:val="19"/>
          <w:szCs w:val="19"/>
        </w:rPr>
        <w:t xml:space="preserve">To reduce ticket classification time and inconsistency for IT support teams by using a no-code, auditable automation that any ServiceNow admin can extend, rather than custom scripts or a third-party tool.</w:t>
      </w:r>
    </w:p>
    <w:p>
      <w:pPr>
        <w:pStyle w:val="Heading1"/>
        <w:spacing w:after="100" w:before="240"/>
      </w:pPr>
      <w:r>
        <w:rPr>
          <w:b/>
          <w:bCs/>
          <w:color w:val="1F4E79"/>
          <w:sz w:val="24"/>
          <w:szCs w:val="24"/>
        </w:rPr>
        <w:t xml:space="preserve">2. Ideation Phase</w:t>
      </w:r>
    </w:p>
    <w:p>
      <w:pPr>
        <w:pStyle w:val="Heading2"/>
        <w:spacing w:after="70" w:before="140"/>
      </w:pPr>
      <w:r>
        <w:rPr>
          <w:b/>
          <w:bCs/>
          <w:sz w:val="20"/>
          <w:szCs w:val="20"/>
        </w:rPr>
        <w:t xml:space="preserve">2.1 Problem Statement</w:t>
      </w:r>
    </w:p>
    <w:p>
      <w:pPr>
        <w:spacing w:after="90"/>
      </w:pPr>
      <w:r>
        <w:rPr>
          <w:sz w:val="19"/>
          <w:szCs w:val="19"/>
        </w:rPr>
        <w:t xml:space="preserve">IT support teams receive tickets covering network, hardware, password/access, performance, and general issues. Manual classification of each ticket is time-consuming and often inconsistent, which delays routing to the correct support team and slows down resolution.</w:t>
      </w:r>
    </w:p>
    <w:p>
      <w:pPr>
        <w:pStyle w:val="Heading2"/>
        <w:spacing w:after="70" w:before="140"/>
      </w:pPr>
      <w:r>
        <w:rPr>
          <w:b/>
          <w:bCs/>
          <w:sz w:val="20"/>
          <w:szCs w:val="20"/>
        </w:rPr>
        <w:t xml:space="preserve">2.2 Empathy Map Canvas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E2F3" w:val="clear"/>
            <w:tcMar>
              <w:top w:type="dxa" w:w="60"/>
              <w:left w:type="dxa" w:w="80"/>
              <w:bottom w:type="dxa" w:w="60"/>
              <w:right w:type="dxa" w:w="80"/>
            </w:tcMar>
            <w:vAlign w:val="center"/>
          </w:tcPr>
          <w:p>
            <w:r>
              <w:rPr>
                <w:b/>
                <w:bCs/>
                <w:sz w:val="16"/>
                <w:szCs w:val="16"/>
              </w:rPr>
              <w:t xml:space="preserve">Quadrant</w:t>
            </w:r>
          </w:p>
        </w:tc>
        <w:tc>
          <w:tcPr>
            <w:tcW w:type="dxa" w:w="7800"/>
            <w:shd w:fill="D9E2F3" w:val="clear"/>
            <w:tcMar>
              <w:top w:type="dxa" w:w="60"/>
              <w:left w:type="dxa" w:w="80"/>
              <w:bottom w:type="dxa" w:w="60"/>
              <w:right w:type="dxa" w:w="80"/>
            </w:tcMar>
            <w:vAlign w:val="center"/>
          </w:tcPr>
          <w:p>
            <w:r>
              <w:rPr>
                <w:b/>
                <w:bCs/>
                <w:sz w:val="16"/>
                <w:szCs w:val="16"/>
              </w:rPr>
              <w:t xml:space="preserve">IT Support User / Employee</w:t>
            </w:r>
          </w:p>
        </w:tc>
      </w:tr>
      <w:tr>
        <w:tc>
          <w:tcPr>
            <w:tcW w:type="dxa" w:w="1800"/>
            <w:tcMar>
              <w:top w:type="dxa" w:w="60"/>
              <w:left w:type="dxa" w:w="80"/>
              <w:bottom w:type="dxa" w:w="60"/>
              <w:right w:type="dxa" w:w="80"/>
            </w:tcMar>
            <w:vAlign w:val="top"/>
          </w:tcPr>
          <w:p>
            <w:r>
              <w:rPr>
                <w:b/>
                <w:bCs/>
                <w:sz w:val="16"/>
                <w:szCs w:val="16"/>
              </w:rPr>
              <w:t xml:space="preserve">Says</w:t>
            </w:r>
          </w:p>
        </w:tc>
        <w:tc>
          <w:tcPr>
            <w:tcW w:type="dxa" w:w="7800"/>
            <w:tcMar>
              <w:top w:type="dxa" w:w="60"/>
              <w:left w:type="dxa" w:w="80"/>
              <w:bottom w:type="dxa" w:w="60"/>
              <w:right w:type="dxa" w:w="80"/>
            </w:tcMar>
            <w:vAlign w:val="top"/>
          </w:tcPr>
          <w:p>
            <w:r>
              <w:rPr>
                <w:sz w:val="16"/>
                <w:szCs w:val="16"/>
              </w:rPr>
              <w:t xml:space="preserve">"I don't know who to send this to." "Why is this taking so long?" "I just need my Wi-Fi fixed."</w:t>
            </w:r>
          </w:p>
        </w:tc>
      </w:tr>
      <w:tr>
        <w:tc>
          <w:tcPr>
            <w:tcW w:type="dxa" w:w="1800"/>
            <w:tcMar>
              <w:top w:type="dxa" w:w="60"/>
              <w:left w:type="dxa" w:w="80"/>
              <w:bottom w:type="dxa" w:w="60"/>
              <w:right w:type="dxa" w:w="80"/>
            </w:tcMar>
            <w:vAlign w:val="top"/>
          </w:tcPr>
          <w:p>
            <w:r>
              <w:rPr>
                <w:b/>
                <w:bCs/>
                <w:sz w:val="16"/>
                <w:szCs w:val="16"/>
              </w:rPr>
              <w:t xml:space="preserve">Thinks</w:t>
            </w:r>
          </w:p>
        </w:tc>
        <w:tc>
          <w:tcPr>
            <w:tcW w:type="dxa" w:w="7800"/>
            <w:tcMar>
              <w:top w:type="dxa" w:w="60"/>
              <w:left w:type="dxa" w:w="80"/>
              <w:bottom w:type="dxa" w:w="60"/>
              <w:right w:type="dxa" w:w="80"/>
            </w:tcMar>
            <w:vAlign w:val="top"/>
          </w:tcPr>
          <w:p>
            <w:r>
              <w:rPr>
                <w:sz w:val="16"/>
                <w:szCs w:val="16"/>
              </w:rPr>
              <w:t xml:space="preserve">"Is anyone even looking at my ticket?" "This should be simple to fix."</w:t>
            </w:r>
          </w:p>
        </w:tc>
      </w:tr>
      <w:tr>
        <w:tc>
          <w:tcPr>
            <w:tcW w:type="dxa" w:w="1800"/>
            <w:tcMar>
              <w:top w:type="dxa" w:w="60"/>
              <w:left w:type="dxa" w:w="80"/>
              <w:bottom w:type="dxa" w:w="60"/>
              <w:right w:type="dxa" w:w="80"/>
            </w:tcMar>
            <w:vAlign w:val="top"/>
          </w:tcPr>
          <w:p>
            <w:r>
              <w:rPr>
                <w:b/>
                <w:bCs/>
                <w:sz w:val="16"/>
                <w:szCs w:val="16"/>
              </w:rPr>
              <w:t xml:space="preserve">Does</w:t>
            </w:r>
          </w:p>
        </w:tc>
        <w:tc>
          <w:tcPr>
            <w:tcW w:type="dxa" w:w="7800"/>
            <w:tcMar>
              <w:top w:type="dxa" w:w="60"/>
              <w:left w:type="dxa" w:w="80"/>
              <w:bottom w:type="dxa" w:w="60"/>
              <w:right w:type="dxa" w:w="80"/>
            </w:tcMar>
            <w:vAlign w:val="top"/>
          </w:tcPr>
          <w:p>
            <w:r>
              <w:rPr>
                <w:sz w:val="16"/>
                <w:szCs w:val="16"/>
              </w:rPr>
              <w:t xml:space="preserve">Submits a ticket with a short, informal description; follows up by email or chat if there's no response.</w:t>
            </w:r>
          </w:p>
        </w:tc>
      </w:tr>
      <w:tr>
        <w:tc>
          <w:tcPr>
            <w:tcW w:type="dxa" w:w="1800"/>
            <w:tcMar>
              <w:top w:type="dxa" w:w="60"/>
              <w:left w:type="dxa" w:w="80"/>
              <w:bottom w:type="dxa" w:w="60"/>
              <w:right w:type="dxa" w:w="80"/>
            </w:tcMar>
            <w:vAlign w:val="top"/>
          </w:tcPr>
          <w:p>
            <w:r>
              <w:rPr>
                <w:b/>
                <w:bCs/>
                <w:sz w:val="16"/>
                <w:szCs w:val="16"/>
              </w:rPr>
              <w:t xml:space="preserve">Feels</w:t>
            </w:r>
          </w:p>
        </w:tc>
        <w:tc>
          <w:tcPr>
            <w:tcW w:type="dxa" w:w="7800"/>
            <w:tcMar>
              <w:top w:type="dxa" w:w="60"/>
              <w:left w:type="dxa" w:w="80"/>
              <w:bottom w:type="dxa" w:w="60"/>
              <w:right w:type="dxa" w:w="80"/>
            </w:tcMar>
            <w:vAlign w:val="top"/>
          </w:tcPr>
          <w:p>
            <w:r>
              <w:rPr>
                <w:sz w:val="16"/>
                <w:szCs w:val="16"/>
              </w:rPr>
              <w:t xml:space="preserve">Frustrated by delay and uncertainty; relieved once the issue is picked up by the right team.</w:t>
            </w:r>
          </w:p>
        </w:tc>
      </w:tr>
      <w:tr>
        <w:tc>
          <w:tcPr>
            <w:tcW w:type="dxa" w:w="1800"/>
            <w:tcMar>
              <w:top w:type="dxa" w:w="60"/>
              <w:left w:type="dxa" w:w="80"/>
              <w:bottom w:type="dxa" w:w="60"/>
              <w:right w:type="dxa" w:w="80"/>
            </w:tcMar>
            <w:vAlign w:val="top"/>
          </w:tcPr>
          <w:p>
            <w:r>
              <w:rPr>
                <w:b/>
                <w:bCs/>
                <w:sz w:val="16"/>
                <w:szCs w:val="16"/>
              </w:rPr>
              <w:t xml:space="preserve">Pains</w:t>
            </w:r>
          </w:p>
        </w:tc>
        <w:tc>
          <w:tcPr>
            <w:tcW w:type="dxa" w:w="7800"/>
            <w:tcMar>
              <w:top w:type="dxa" w:w="60"/>
              <w:left w:type="dxa" w:w="80"/>
              <w:bottom w:type="dxa" w:w="60"/>
              <w:right w:type="dxa" w:w="80"/>
            </w:tcMar>
            <w:vAlign w:val="top"/>
          </w:tcPr>
          <w:p>
            <w:r>
              <w:rPr>
                <w:sz w:val="16"/>
                <w:szCs w:val="16"/>
              </w:rPr>
              <w:t xml:space="preserve">Tickets sit unclassified; inconsistent routing; repeated follow-ups to check status.</w:t>
            </w:r>
          </w:p>
        </w:tc>
      </w:tr>
      <w:tr>
        <w:tc>
          <w:tcPr>
            <w:tcW w:type="dxa" w:w="1800"/>
            <w:tcMar>
              <w:top w:type="dxa" w:w="60"/>
              <w:left w:type="dxa" w:w="80"/>
              <w:bottom w:type="dxa" w:w="60"/>
              <w:right w:type="dxa" w:w="80"/>
            </w:tcMar>
            <w:vAlign w:val="top"/>
          </w:tcPr>
          <w:p>
            <w:r>
              <w:rPr>
                <w:b/>
                <w:bCs/>
                <w:sz w:val="16"/>
                <w:szCs w:val="16"/>
              </w:rPr>
              <w:t xml:space="preserve">Gains</w:t>
            </w:r>
          </w:p>
        </w:tc>
        <w:tc>
          <w:tcPr>
            <w:tcW w:type="dxa" w:w="7800"/>
            <w:tcMar>
              <w:top w:type="dxa" w:w="60"/>
              <w:left w:type="dxa" w:w="80"/>
              <w:bottom w:type="dxa" w:w="60"/>
              <w:right w:type="dxa" w:w="80"/>
            </w:tcMar>
            <w:vAlign w:val="top"/>
          </w:tcPr>
          <w:p>
            <w:r>
              <w:rPr>
                <w:sz w:val="16"/>
                <w:szCs w:val="16"/>
              </w:rPr>
              <w:t xml:space="preserve">Fast, predictable routing; a confirmation that the system has understood the issue.</w:t>
            </w:r>
          </w:p>
        </w:tc>
      </w:tr>
    </w:tbl>
    <w:p>
      <w:pPr>
        <w:pStyle w:val="Heading2"/>
        <w:spacing w:after="70" w:before="140"/>
      </w:pPr>
      <w:r>
        <w:rPr>
          <w:b/>
          <w:bCs/>
          <w:sz w:val="20"/>
          <w:szCs w:val="20"/>
        </w:rPr>
        <w:t xml:space="preserve">2.3 Brainstorming</w:t>
      </w:r>
    </w:p>
    <w:p>
      <w:pPr>
        <w:spacing w:after="90"/>
      </w:pPr>
      <w:r>
        <w:rPr>
          <w:sz w:val="19"/>
          <w:szCs w:val="19"/>
        </w:rPr>
        <w:t xml:space="preserve">Options considered before settling on the final approach:</w:t>
      </w:r>
    </w:p>
    <w:p>
      <w:pPr>
        <w:spacing w:after="45"/>
      </w:pPr>
      <w:r>
        <w:rPr>
          <w:sz w:val="19"/>
          <w:szCs w:val="19"/>
        </w:rPr>
        <w:t xml:space="preserve">•  A manual SOP / checklist for agents - rejected: still manual, still inconsistent.</w:t>
      </w:r>
    </w:p>
    <w:p>
      <w:pPr>
        <w:spacing w:after="45"/>
      </w:pPr>
      <w:r>
        <w:rPr>
          <w:sz w:val="19"/>
          <w:szCs w:val="19"/>
        </w:rPr>
        <w:t xml:space="preserve">•  A custom-built NLP/ML classifier - rejected for this scope: higher build/maintenance cost for a small, well-defined keyword set.</w:t>
      </w:r>
    </w:p>
    <w:p>
      <w:pPr>
        <w:spacing w:after="45"/>
      </w:pPr>
      <w:r>
        <w:rPr>
          <w:sz w:val="19"/>
          <w:szCs w:val="19"/>
        </w:rPr>
        <w:t xml:space="preserve">•  A third-party ticketing bot/integration - rejected: adds an external dependency and licensing cost.</w:t>
      </w:r>
    </w:p>
    <w:p>
      <w:pPr>
        <w:spacing w:after="45"/>
      </w:pPr>
      <w:r>
        <w:rPr>
          <w:sz w:val="19"/>
          <w:szCs w:val="19"/>
        </w:rPr>
        <w:t xml:space="preserve">•  ServiceNow Flow Designer automation (chosen) - no-code, native to the platform already in use, transparent If/Else logic that non-developers can maintain, and natively auditable via Update Sets.</w:t>
      </w:r>
    </w:p>
    <w:p>
      <w:pPr>
        <w:pStyle w:val="Heading1"/>
        <w:spacing w:after="100" w:before="240"/>
      </w:pPr>
      <w:r>
        <w:rPr>
          <w:b/>
          <w:bCs/>
          <w:color w:val="1F4E79"/>
          <w:sz w:val="24"/>
          <w:szCs w:val="24"/>
        </w:rPr>
        <w:t xml:space="preserve">3. Requirement Analysis</w:t>
      </w:r>
    </w:p>
    <w:p>
      <w:pPr>
        <w:pStyle w:val="Heading2"/>
        <w:spacing w:after="70" w:before="140"/>
      </w:pPr>
      <w:r>
        <w:rPr>
          <w:b/>
          <w:bCs/>
          <w:sz w:val="20"/>
          <w:szCs w:val="20"/>
        </w:rPr>
        <w:t xml:space="preserve">3.1 Customer Journey 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000"/>
      </w:tblGrid>
      <w:tr>
        <w:trPr>
          <w:tblHeader/>
        </w:trPr>
        <w:tc>
          <w:tcPr>
            <w:tcW w:type="dxa" w:w="2200"/>
            <w:shd w:fill="D9E2F3" w:val="clear"/>
            <w:tcMar>
              <w:top w:type="dxa" w:w="60"/>
              <w:left w:type="dxa" w:w="80"/>
              <w:bottom w:type="dxa" w:w="60"/>
              <w:right w:type="dxa" w:w="80"/>
            </w:tcMar>
            <w:vAlign w:val="center"/>
          </w:tcPr>
          <w:p>
            <w:r>
              <w:rPr>
                <w:b/>
                <w:bCs/>
                <w:sz w:val="16"/>
                <w:szCs w:val="16"/>
              </w:rPr>
              <w:t xml:space="preserve">Stage</w:t>
            </w:r>
          </w:p>
        </w:tc>
        <w:tc>
          <w:tcPr>
            <w:tcW w:type="dxa" w:w="5400"/>
            <w:shd w:fill="D9E2F3" w:val="clear"/>
            <w:tcMar>
              <w:top w:type="dxa" w:w="60"/>
              <w:left w:type="dxa" w:w="80"/>
              <w:bottom w:type="dxa" w:w="60"/>
              <w:right w:type="dxa" w:w="80"/>
            </w:tcMar>
            <w:vAlign w:val="center"/>
          </w:tcPr>
          <w:p>
            <w:r>
              <w:rPr>
                <w:b/>
                <w:bCs/>
                <w:sz w:val="16"/>
                <w:szCs w:val="16"/>
              </w:rPr>
              <w:t xml:space="preserve">What Happens</w:t>
            </w:r>
          </w:p>
        </w:tc>
        <w:tc>
          <w:tcPr>
            <w:tcW w:type="dxa" w:w="2000"/>
            <w:shd w:fill="D9E2F3" w:val="clear"/>
            <w:tcMar>
              <w:top w:type="dxa" w:w="60"/>
              <w:left w:type="dxa" w:w="80"/>
              <w:bottom w:type="dxa" w:w="60"/>
              <w:right w:type="dxa" w:w="80"/>
            </w:tcMar>
            <w:vAlign w:val="center"/>
          </w:tcPr>
          <w:p>
            <w:r>
              <w:rPr>
                <w:b/>
                <w:bCs/>
                <w:sz w:val="16"/>
                <w:szCs w:val="16"/>
              </w:rPr>
              <w:t xml:space="preserve">Emotion</w:t>
            </w:r>
          </w:p>
        </w:tc>
      </w:tr>
      <w:tr>
        <w:tc>
          <w:tcPr>
            <w:tcW w:type="dxa" w:w="2200"/>
            <w:tcMar>
              <w:top w:type="dxa" w:w="60"/>
              <w:left w:type="dxa" w:w="80"/>
              <w:bottom w:type="dxa" w:w="60"/>
              <w:right w:type="dxa" w:w="80"/>
            </w:tcMar>
            <w:vAlign w:val="top"/>
          </w:tcPr>
          <w:p>
            <w:r>
              <w:rPr>
                <w:b/>
                <w:bCs/>
                <w:sz w:val="16"/>
                <w:szCs w:val="16"/>
              </w:rPr>
              <w:t xml:space="preserve">Issue occurs</w:t>
            </w:r>
          </w:p>
        </w:tc>
        <w:tc>
          <w:tcPr>
            <w:tcW w:type="dxa" w:w="5400"/>
            <w:tcMar>
              <w:top w:type="dxa" w:w="60"/>
              <w:left w:type="dxa" w:w="80"/>
              <w:bottom w:type="dxa" w:w="60"/>
              <w:right w:type="dxa" w:w="80"/>
            </w:tcMar>
            <w:vAlign w:val="top"/>
          </w:tcPr>
          <w:p>
            <w:r>
              <w:rPr>
                <w:sz w:val="16"/>
                <w:szCs w:val="16"/>
              </w:rPr>
              <w:t xml:space="preserve">Employee hits a Wi-Fi, hardware, password, or performance problem.</w:t>
            </w:r>
          </w:p>
        </w:tc>
        <w:tc>
          <w:tcPr>
            <w:tcW w:type="dxa" w:w="2000"/>
            <w:tcMar>
              <w:top w:type="dxa" w:w="60"/>
              <w:left w:type="dxa" w:w="80"/>
              <w:bottom w:type="dxa" w:w="60"/>
              <w:right w:type="dxa" w:w="80"/>
            </w:tcMar>
            <w:vAlign w:val="top"/>
          </w:tcPr>
          <w:p>
            <w:r>
              <w:rPr>
                <w:sz w:val="16"/>
                <w:szCs w:val="16"/>
              </w:rPr>
              <w:t xml:space="preserve">Frustration</w:t>
            </w:r>
          </w:p>
        </w:tc>
      </w:tr>
      <w:tr>
        <w:tc>
          <w:tcPr>
            <w:tcW w:type="dxa" w:w="2200"/>
            <w:tcMar>
              <w:top w:type="dxa" w:w="60"/>
              <w:left w:type="dxa" w:w="80"/>
              <w:bottom w:type="dxa" w:w="60"/>
              <w:right w:type="dxa" w:w="80"/>
            </w:tcMar>
            <w:vAlign w:val="top"/>
          </w:tcPr>
          <w:p>
            <w:r>
              <w:rPr>
                <w:b/>
                <w:bCs/>
                <w:sz w:val="16"/>
                <w:szCs w:val="16"/>
              </w:rPr>
              <w:t xml:space="preserve">Submits ticket</w:t>
            </w:r>
          </w:p>
        </w:tc>
        <w:tc>
          <w:tcPr>
            <w:tcW w:type="dxa" w:w="5400"/>
            <w:tcMar>
              <w:top w:type="dxa" w:w="60"/>
              <w:left w:type="dxa" w:w="80"/>
              <w:bottom w:type="dxa" w:w="60"/>
              <w:right w:type="dxa" w:w="80"/>
            </w:tcMar>
            <w:vAlign w:val="top"/>
          </w:tcPr>
          <w:p>
            <w:r>
              <w:rPr>
                <w:sz w:val="16"/>
                <w:szCs w:val="16"/>
              </w:rPr>
              <w:t xml:space="preserve">Fills in the Incident WorkFlow form with a short description.</w:t>
            </w:r>
          </w:p>
        </w:tc>
        <w:tc>
          <w:tcPr>
            <w:tcW w:type="dxa" w:w="2000"/>
            <w:tcMar>
              <w:top w:type="dxa" w:w="60"/>
              <w:left w:type="dxa" w:w="80"/>
              <w:bottom w:type="dxa" w:w="60"/>
              <w:right w:type="dxa" w:w="80"/>
            </w:tcMar>
            <w:vAlign w:val="top"/>
          </w:tcPr>
          <w:p>
            <w:r>
              <w:rPr>
                <w:sz w:val="16"/>
                <w:szCs w:val="16"/>
              </w:rPr>
              <w:t xml:space="preserve">Hopeful, slightly unsure</w:t>
            </w:r>
          </w:p>
        </w:tc>
      </w:tr>
      <w:tr>
        <w:tc>
          <w:tcPr>
            <w:tcW w:type="dxa" w:w="2200"/>
            <w:tcMar>
              <w:top w:type="dxa" w:w="60"/>
              <w:left w:type="dxa" w:w="80"/>
              <w:bottom w:type="dxa" w:w="60"/>
              <w:right w:type="dxa" w:w="80"/>
            </w:tcMar>
            <w:vAlign w:val="top"/>
          </w:tcPr>
          <w:p>
            <w:r>
              <w:rPr>
                <w:b/>
                <w:bCs/>
                <w:sz w:val="16"/>
                <w:szCs w:val="16"/>
              </w:rPr>
              <w:t xml:space="preserve">Flow classifies</w:t>
            </w:r>
          </w:p>
        </w:tc>
        <w:tc>
          <w:tcPr>
            <w:tcW w:type="dxa" w:w="5400"/>
            <w:tcMar>
              <w:top w:type="dxa" w:w="60"/>
              <w:left w:type="dxa" w:w="80"/>
              <w:bottom w:type="dxa" w:w="60"/>
              <w:right w:type="dxa" w:w="80"/>
            </w:tcMar>
            <w:vAlign w:val="top"/>
          </w:tcPr>
          <w:p>
            <w:r>
              <w:rPr>
                <w:sz w:val="16"/>
                <w:szCs w:val="16"/>
              </w:rPr>
              <w:t xml:space="preserve">Flow Designer evaluates the description and updates Category automatically.</w:t>
            </w:r>
          </w:p>
        </w:tc>
        <w:tc>
          <w:tcPr>
            <w:tcW w:type="dxa" w:w="2000"/>
            <w:tcMar>
              <w:top w:type="dxa" w:w="60"/>
              <w:left w:type="dxa" w:w="80"/>
              <w:bottom w:type="dxa" w:w="60"/>
              <w:right w:type="dxa" w:w="80"/>
            </w:tcMar>
            <w:vAlign w:val="top"/>
          </w:tcPr>
          <w:p>
            <w:r>
              <w:rPr>
                <w:sz w:val="16"/>
                <w:szCs w:val="16"/>
              </w:rPr>
              <w:t xml:space="preserve">Neutral / waiting</w:t>
            </w:r>
          </w:p>
        </w:tc>
      </w:tr>
      <w:tr>
        <w:tc>
          <w:tcPr>
            <w:tcW w:type="dxa" w:w="2200"/>
            <w:tcMar>
              <w:top w:type="dxa" w:w="60"/>
              <w:left w:type="dxa" w:w="80"/>
              <w:bottom w:type="dxa" w:w="60"/>
              <w:right w:type="dxa" w:w="80"/>
            </w:tcMar>
            <w:vAlign w:val="top"/>
          </w:tcPr>
          <w:p>
            <w:r>
              <w:rPr>
                <w:b/>
                <w:bCs/>
                <w:sz w:val="16"/>
                <w:szCs w:val="16"/>
              </w:rPr>
              <w:t xml:space="preserve">Notification received</w:t>
            </w:r>
          </w:p>
        </w:tc>
        <w:tc>
          <w:tcPr>
            <w:tcW w:type="dxa" w:w="5400"/>
            <w:tcMar>
              <w:top w:type="dxa" w:w="60"/>
              <w:left w:type="dxa" w:w="80"/>
              <w:bottom w:type="dxa" w:w="60"/>
              <w:right w:type="dxa" w:w="80"/>
            </w:tcMar>
            <w:vAlign w:val="top"/>
          </w:tcPr>
          <w:p>
            <w:r>
              <w:rPr>
                <w:sz w:val="16"/>
                <w:szCs w:val="16"/>
              </w:rPr>
              <w:t xml:space="preserve">Send Email action confirms the ticket has been processed.</w:t>
            </w:r>
          </w:p>
        </w:tc>
        <w:tc>
          <w:tcPr>
            <w:tcW w:type="dxa" w:w="2000"/>
            <w:tcMar>
              <w:top w:type="dxa" w:w="60"/>
              <w:left w:type="dxa" w:w="80"/>
              <w:bottom w:type="dxa" w:w="60"/>
              <w:right w:type="dxa" w:w="80"/>
            </w:tcMar>
            <w:vAlign w:val="top"/>
          </w:tcPr>
          <w:p>
            <w:r>
              <w:rPr>
                <w:sz w:val="16"/>
                <w:szCs w:val="16"/>
              </w:rPr>
              <w:t xml:space="preserve">Reassured</w:t>
            </w:r>
          </w:p>
        </w:tc>
      </w:tr>
      <w:tr>
        <w:tc>
          <w:tcPr>
            <w:tcW w:type="dxa" w:w="2200"/>
            <w:tcMar>
              <w:top w:type="dxa" w:w="60"/>
              <w:left w:type="dxa" w:w="80"/>
              <w:bottom w:type="dxa" w:w="60"/>
              <w:right w:type="dxa" w:w="80"/>
            </w:tcMar>
            <w:vAlign w:val="top"/>
          </w:tcPr>
          <w:p>
            <w:r>
              <w:rPr>
                <w:b/>
                <w:bCs/>
                <w:sz w:val="16"/>
                <w:szCs w:val="16"/>
              </w:rPr>
              <w:t xml:space="preserve">Ticket resolved</w:t>
            </w:r>
          </w:p>
        </w:tc>
        <w:tc>
          <w:tcPr>
            <w:tcW w:type="dxa" w:w="5400"/>
            <w:tcMar>
              <w:top w:type="dxa" w:w="60"/>
              <w:left w:type="dxa" w:w="80"/>
              <w:bottom w:type="dxa" w:w="60"/>
              <w:right w:type="dxa" w:w="80"/>
            </w:tcMar>
            <w:vAlign w:val="top"/>
          </w:tcPr>
          <w:p>
            <w:r>
              <w:rPr>
                <w:sz w:val="16"/>
                <w:szCs w:val="16"/>
              </w:rPr>
              <w:t xml:space="preserve">Correct support team picks up the correctly-routed ticket.</w:t>
            </w:r>
          </w:p>
        </w:tc>
        <w:tc>
          <w:tcPr>
            <w:tcW w:type="dxa" w:w="2000"/>
            <w:tcMar>
              <w:top w:type="dxa" w:w="60"/>
              <w:left w:type="dxa" w:w="80"/>
              <w:bottom w:type="dxa" w:w="60"/>
              <w:right w:type="dxa" w:w="80"/>
            </w:tcMar>
            <w:vAlign w:val="top"/>
          </w:tcPr>
          <w:p>
            <w:r>
              <w:rPr>
                <w:sz w:val="16"/>
                <w:szCs w:val="16"/>
              </w:rPr>
              <w:t xml:space="preserve">Relieved / satisfied</w:t>
            </w:r>
          </w:p>
        </w:tc>
      </w:tr>
    </w:tbl>
    <w:p>
      <w:pPr>
        <w:pStyle w:val="Heading2"/>
        <w:spacing w:after="70" w:before="140"/>
      </w:pPr>
      <w:r>
        <w:rPr>
          <w:b/>
          <w:bCs/>
          <w:sz w:val="20"/>
          <w:szCs w:val="20"/>
        </w:rPr>
        <w:t xml:space="preserve">3.2 Solution Requirement</w:t>
      </w:r>
    </w:p>
    <w:p>
      <w:pPr>
        <w:spacing w:after="70"/>
      </w:pPr>
      <w:r>
        <w:rPr>
          <w:b/>
          <w:bCs/>
          <w:sz w:val="19"/>
          <w:szCs w:val="19"/>
        </w:rPr>
        <w:t xml:space="preserve">Functional: </w:t>
      </w:r>
      <w:r>
        <w:rPr>
          <w:b w:val="false"/>
          <w:bCs w:val="false"/>
          <w:sz w:val="19"/>
          <w:szCs w:val="19"/>
        </w:rPr>
        <w:t xml:space="preserve">trigger on ticket creation; evaluate Short Description against defined keywords; update Category/Subcategory/Assignment; send a confirmation email.</w:t>
      </w:r>
    </w:p>
    <w:p>
      <w:pPr>
        <w:spacing w:after="70"/>
      </w:pPr>
      <w:r>
        <w:rPr>
          <w:b/>
          <w:bCs/>
          <w:sz w:val="19"/>
          <w:szCs w:val="19"/>
        </w:rPr>
        <w:t xml:space="preserve">Non-functional: </w:t>
      </w:r>
      <w:r>
        <w:rPr>
          <w:b w:val="false"/>
          <w:bCs w:val="false"/>
          <w:sz w:val="19"/>
          <w:szCs w:val="19"/>
        </w:rPr>
        <w:t xml:space="preserve">classification should complete within seconds of ticket creation; logic must be maintainable by a non-developer admin; all configuration changes must be auditable via an Update Set.</w:t>
      </w:r>
    </w:p>
    <w:p>
      <w:pPr>
        <w:pStyle w:val="Heading2"/>
        <w:spacing w:after="70" w:before="140"/>
      </w:pPr>
      <w:r>
        <w:rPr>
          <w:b/>
          <w:bCs/>
          <w:sz w:val="20"/>
          <w:szCs w:val="20"/>
        </w:rPr>
        <w:t xml:space="preserve">3.3 Data Flow Diagram</w:t>
      </w:r>
    </w:p>
    <w:p>
      <w:pPr>
        <w:spacing w:after="40" w:before="6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24075"/>
                    </a:xfrm>
                    <a:prstGeom prst="rect">
                      <a:avLst/>
                    </a:prstGeom>
                  </pic:spPr>
                </pic:pic>
              </a:graphicData>
            </a:graphic>
          </wp:inline>
        </w:drawing>
      </w:r>
    </w:p>
    <w:p>
      <w:pPr>
        <w:spacing w:after="120"/>
        <w:jc w:val="center"/>
      </w:pPr>
      <w:r>
        <w:rPr>
          <w:i/>
          <w:iCs/>
          <w:sz w:val="17"/>
          <w:szCs w:val="17"/>
        </w:rPr>
        <w:t xml:space="preserve">Figure 1: Data flow from ticket creation through classification to notification</w:t>
      </w:r>
    </w:p>
    <w:p>
      <w:pPr>
        <w:pStyle w:val="Heading2"/>
        <w:spacing w:after="70" w:before="140"/>
      </w:pPr>
      <w:r>
        <w:rPr>
          <w:b/>
          <w:bCs/>
          <w:sz w:val="20"/>
          <w:szCs w:val="20"/>
        </w:rPr>
        <w:t xml:space="preserve">3.4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D9E2F3" w:val="clear"/>
            <w:tcMar>
              <w:top w:type="dxa" w:w="60"/>
              <w:left w:type="dxa" w:w="80"/>
              <w:bottom w:type="dxa" w:w="60"/>
              <w:right w:type="dxa" w:w="80"/>
            </w:tcMar>
            <w:vAlign w:val="center"/>
          </w:tcPr>
          <w:p>
            <w:r>
              <w:rPr>
                <w:b/>
                <w:bCs/>
                <w:sz w:val="16"/>
                <w:szCs w:val="16"/>
              </w:rPr>
              <w:t xml:space="preserve">Layer</w:t>
            </w:r>
          </w:p>
        </w:tc>
        <w:tc>
          <w:tcPr>
            <w:tcW w:type="dxa" w:w="6800"/>
            <w:shd w:fill="D9E2F3" w:val="clear"/>
            <w:tcMar>
              <w:top w:type="dxa" w:w="60"/>
              <w:left w:type="dxa" w:w="80"/>
              <w:bottom w:type="dxa" w:w="60"/>
              <w:right w:type="dxa" w:w="80"/>
            </w:tcMar>
            <w:vAlign w:val="center"/>
          </w:tcPr>
          <w:p>
            <w:r>
              <w:rPr>
                <w:b/>
                <w:bCs/>
                <w:sz w:val="16"/>
                <w:szCs w:val="16"/>
              </w:rPr>
              <w:t xml:space="preserve">Technology</w:t>
            </w:r>
          </w:p>
        </w:tc>
      </w:tr>
      <w:tr>
        <w:tc>
          <w:tcPr>
            <w:tcW w:type="dxa" w:w="2800"/>
            <w:tcMar>
              <w:top w:type="dxa" w:w="60"/>
              <w:left w:type="dxa" w:w="80"/>
              <w:bottom w:type="dxa" w:w="60"/>
              <w:right w:type="dxa" w:w="80"/>
            </w:tcMar>
            <w:vAlign w:val="top"/>
          </w:tcPr>
          <w:p>
            <w:r>
              <w:rPr>
                <w:b/>
                <w:bCs/>
                <w:sz w:val="16"/>
                <w:szCs w:val="16"/>
              </w:rPr>
              <w:t xml:space="preserve">Platform</w:t>
            </w:r>
          </w:p>
        </w:tc>
        <w:tc>
          <w:tcPr>
            <w:tcW w:type="dxa" w:w="6800"/>
            <w:tcMar>
              <w:top w:type="dxa" w:w="60"/>
              <w:left w:type="dxa" w:w="80"/>
              <w:bottom w:type="dxa" w:w="60"/>
              <w:right w:type="dxa" w:w="80"/>
            </w:tcMar>
            <w:vAlign w:val="top"/>
          </w:tcPr>
          <w:p>
            <w:r>
              <w:rPr>
                <w:sz w:val="16"/>
                <w:szCs w:val="16"/>
              </w:rPr>
              <w:t xml:space="preserve">ServiceNow (Now Platform)</w:t>
            </w:r>
          </w:p>
        </w:tc>
      </w:tr>
      <w:tr>
        <w:tc>
          <w:tcPr>
            <w:tcW w:type="dxa" w:w="2800"/>
            <w:tcMar>
              <w:top w:type="dxa" w:w="60"/>
              <w:left w:type="dxa" w:w="80"/>
              <w:bottom w:type="dxa" w:w="60"/>
              <w:right w:type="dxa" w:w="80"/>
            </w:tcMar>
            <w:vAlign w:val="top"/>
          </w:tcPr>
          <w:p>
            <w:r>
              <w:rPr>
                <w:b/>
                <w:bCs/>
                <w:sz w:val="16"/>
                <w:szCs w:val="16"/>
              </w:rPr>
              <w:t xml:space="preserve">Automation</w:t>
            </w:r>
          </w:p>
        </w:tc>
        <w:tc>
          <w:tcPr>
            <w:tcW w:type="dxa" w:w="6800"/>
            <w:tcMar>
              <w:top w:type="dxa" w:w="60"/>
              <w:left w:type="dxa" w:w="80"/>
              <w:bottom w:type="dxa" w:w="60"/>
              <w:right w:type="dxa" w:w="80"/>
            </w:tcMar>
            <w:vAlign w:val="top"/>
          </w:tcPr>
          <w:p>
            <w:r>
              <w:rPr>
                <w:sz w:val="16"/>
                <w:szCs w:val="16"/>
              </w:rPr>
              <w:t xml:space="preserve">Flow Designer (trigger, If/Else-If flow logic, Update Record, Send Email actions)</w:t>
            </w:r>
          </w:p>
        </w:tc>
      </w:tr>
      <w:tr>
        <w:tc>
          <w:tcPr>
            <w:tcW w:type="dxa" w:w="2800"/>
            <w:tcMar>
              <w:top w:type="dxa" w:w="60"/>
              <w:left w:type="dxa" w:w="80"/>
              <w:bottom w:type="dxa" w:w="60"/>
              <w:right w:type="dxa" w:w="80"/>
            </w:tcMar>
            <w:vAlign w:val="top"/>
          </w:tcPr>
          <w:p>
            <w:r>
              <w:rPr>
                <w:b/>
                <w:bCs/>
                <w:sz w:val="16"/>
                <w:szCs w:val="16"/>
              </w:rPr>
              <w:t xml:space="preserve">Data storage</w:t>
            </w:r>
          </w:p>
        </w:tc>
        <w:tc>
          <w:tcPr>
            <w:tcW w:type="dxa" w:w="6800"/>
            <w:tcMar>
              <w:top w:type="dxa" w:w="60"/>
              <w:left w:type="dxa" w:w="80"/>
              <w:bottom w:type="dxa" w:w="60"/>
              <w:right w:type="dxa" w:w="80"/>
            </w:tcMar>
            <w:vAlign w:val="top"/>
          </w:tcPr>
          <w:p>
            <w:r>
              <w:rPr>
                <w:sz w:val="16"/>
                <w:szCs w:val="16"/>
              </w:rPr>
              <w:t xml:space="preserve">Custom table: Incident WorkFlow (u_incident_workflow)</w:t>
            </w:r>
          </w:p>
        </w:tc>
      </w:tr>
      <w:tr>
        <w:tc>
          <w:tcPr>
            <w:tcW w:type="dxa" w:w="2800"/>
            <w:tcMar>
              <w:top w:type="dxa" w:w="60"/>
              <w:left w:type="dxa" w:w="80"/>
              <w:bottom w:type="dxa" w:w="60"/>
              <w:right w:type="dxa" w:w="80"/>
            </w:tcMar>
            <w:vAlign w:val="top"/>
          </w:tcPr>
          <w:p>
            <w:r>
              <w:rPr>
                <w:b/>
                <w:bCs/>
                <w:sz w:val="16"/>
                <w:szCs w:val="16"/>
              </w:rPr>
              <w:t xml:space="preserve">Configuration management</w:t>
            </w:r>
          </w:p>
        </w:tc>
        <w:tc>
          <w:tcPr>
            <w:tcW w:type="dxa" w:w="6800"/>
            <w:tcMar>
              <w:top w:type="dxa" w:w="60"/>
              <w:left w:type="dxa" w:w="80"/>
              <w:bottom w:type="dxa" w:w="60"/>
              <w:right w:type="dxa" w:w="80"/>
            </w:tcMar>
            <w:vAlign w:val="top"/>
          </w:tcPr>
          <w:p>
            <w:r>
              <w:rPr>
                <w:sz w:val="16"/>
                <w:szCs w:val="16"/>
              </w:rPr>
              <w:t xml:space="preserve">Update Set ("Project Update Set")</w:t>
            </w:r>
          </w:p>
        </w:tc>
      </w:tr>
      <w:tr>
        <w:tc>
          <w:tcPr>
            <w:tcW w:type="dxa" w:w="2800"/>
            <w:tcMar>
              <w:top w:type="dxa" w:w="60"/>
              <w:left w:type="dxa" w:w="80"/>
              <w:bottom w:type="dxa" w:w="60"/>
              <w:right w:type="dxa" w:w="80"/>
            </w:tcMar>
            <w:vAlign w:val="top"/>
          </w:tcPr>
          <w:p>
            <w:r>
              <w:rPr>
                <w:b/>
                <w:bCs/>
                <w:sz w:val="16"/>
                <w:szCs w:val="16"/>
              </w:rPr>
              <w:t xml:space="preserve">Integration surface</w:t>
            </w:r>
          </w:p>
        </w:tc>
        <w:tc>
          <w:tcPr>
            <w:tcW w:type="dxa" w:w="6800"/>
            <w:tcMar>
              <w:top w:type="dxa" w:w="60"/>
              <w:left w:type="dxa" w:w="80"/>
              <w:bottom w:type="dxa" w:w="60"/>
              <w:right w:type="dxa" w:w="80"/>
            </w:tcMar>
            <w:vAlign w:val="top"/>
          </w:tcPr>
          <w:p>
            <w:r>
              <w:rPr>
                <w:sz w:val="16"/>
                <w:szCs w:val="16"/>
              </w:rPr>
              <w:t xml:space="preserve">ServiceNow Table REST API (auto-exposed for u_incident_workflow)</w:t>
            </w:r>
          </w:p>
        </w:tc>
      </w:tr>
      <w:tr>
        <w:tc>
          <w:tcPr>
            <w:tcW w:type="dxa" w:w="2800"/>
            <w:tcMar>
              <w:top w:type="dxa" w:w="60"/>
              <w:left w:type="dxa" w:w="80"/>
              <w:bottom w:type="dxa" w:w="60"/>
              <w:right w:type="dxa" w:w="80"/>
            </w:tcMar>
            <w:vAlign w:val="top"/>
          </w:tcPr>
          <w:p>
            <w:r>
              <w:rPr>
                <w:b/>
                <w:bCs/>
                <w:sz w:val="16"/>
                <w:szCs w:val="16"/>
              </w:rPr>
              <w:t xml:space="preserve">Notifications</w:t>
            </w:r>
          </w:p>
        </w:tc>
        <w:tc>
          <w:tcPr>
            <w:tcW w:type="dxa" w:w="6800"/>
            <w:tcMar>
              <w:top w:type="dxa" w:w="60"/>
              <w:left w:type="dxa" w:w="80"/>
              <w:bottom w:type="dxa" w:w="60"/>
              <w:right w:type="dxa" w:w="80"/>
            </w:tcMar>
            <w:vAlign w:val="top"/>
          </w:tcPr>
          <w:p>
            <w:r>
              <w:rPr>
                <w:sz w:val="16"/>
                <w:szCs w:val="16"/>
              </w:rPr>
              <w:t xml:space="preserve">ServiceNow Email (Send Email action)</w:t>
            </w:r>
          </w:p>
        </w:tc>
      </w:tr>
    </w:tbl>
    <w:p>
      <w:pPr>
        <w:pStyle w:val="Heading1"/>
        <w:spacing w:after="100" w:before="240"/>
      </w:pPr>
      <w:r>
        <w:rPr>
          <w:b/>
          <w:bCs/>
          <w:color w:val="1F4E79"/>
          <w:sz w:val="24"/>
          <w:szCs w:val="24"/>
        </w:rPr>
        <w:t xml:space="preserve">4. Project Design</w:t>
      </w:r>
    </w:p>
    <w:p>
      <w:pPr>
        <w:pStyle w:val="Heading2"/>
        <w:spacing w:after="70" w:before="140"/>
      </w:pPr>
      <w:r>
        <w:rPr>
          <w:b/>
          <w:bCs/>
          <w:sz w:val="20"/>
          <w:szCs w:val="20"/>
        </w:rPr>
        <w:t xml:space="preserve">4.1 Problem - Solution Fit</w:t>
      </w:r>
    </w:p>
    <w:p>
      <w:pPr>
        <w:spacing w:after="90"/>
      </w:pPr>
      <w:r>
        <w:rPr>
          <w:sz w:val="19"/>
          <w:szCs w:val="19"/>
        </w:rPr>
        <w:t xml:space="preserve">Employees (customer segment) need tickets routed correctly without manual triage (job-to-be-done). The root cause is that classification is a manual, judgement-based step with no rule engine. The Flow Designer automation is the solution: it fits the existing channels (Service Portal and agent-logged tickets) without requiring any change in user behavior. Full canvas in the Project Design Phase documentation.</w:t>
      </w:r>
    </w:p>
    <w:p>
      <w:pPr>
        <w:pStyle w:val="Heading2"/>
        <w:spacing w:after="70" w:before="140"/>
      </w:pPr>
      <w:r>
        <w:rPr>
          <w:b/>
          <w:bCs/>
          <w:sz w:val="20"/>
          <w:szCs w:val="20"/>
        </w:rPr>
        <w:t xml:space="preserve">4.2 Proposed Solution</w:t>
      </w:r>
    </w:p>
    <w:p>
      <w:pPr>
        <w:spacing w:after="45"/>
      </w:pPr>
      <w:r>
        <w:rPr>
          <w:sz w:val="19"/>
          <w:szCs w:val="19"/>
        </w:rPr>
        <w:t xml:space="preserve">•  Problem: inconsistent, manual ticket classification delays routing.</w:t>
      </w:r>
    </w:p>
    <w:p>
      <w:pPr>
        <w:spacing w:after="45"/>
      </w:pPr>
      <w:r>
        <w:rPr>
          <w:sz w:val="19"/>
          <w:szCs w:val="19"/>
        </w:rPr>
        <w:t xml:space="preserve">•  Idea: a Flow Designer workflow triggered on ticket creation, classifying via If/Else-If rules.</w:t>
      </w:r>
    </w:p>
    <w:p>
      <w:pPr>
        <w:spacing w:after="45"/>
      </w:pPr>
      <w:r>
        <w:rPr>
          <w:sz w:val="19"/>
          <w:szCs w:val="19"/>
        </w:rPr>
        <w:t xml:space="preserve">•  Novelty: no-code, transparent logic; fully packaged in a single Update Set.</w:t>
      </w:r>
    </w:p>
    <w:p>
      <w:pPr>
        <w:spacing w:after="45"/>
      </w:pPr>
      <w:r>
        <w:rPr>
          <w:sz w:val="19"/>
          <w:szCs w:val="19"/>
        </w:rPr>
        <w:t xml:space="preserve">•  Impact: faster, more consistent routing and reduced agent triage time.</w:t>
      </w:r>
    </w:p>
    <w:p>
      <w:pPr>
        <w:spacing w:after="45"/>
      </w:pPr>
      <w:r>
        <w:rPr>
          <w:sz w:val="19"/>
          <w:szCs w:val="19"/>
        </w:rPr>
        <w:t xml:space="preserve">•  Scalability: more categories, additional tables, SLA automation, and eventually AI/ML-based classification.</w:t>
      </w:r>
    </w:p>
    <w:p>
      <w:pPr>
        <w:pStyle w:val="Heading2"/>
        <w:spacing w:after="70" w:before="140"/>
      </w:pPr>
      <w:r>
        <w:rPr>
          <w:b/>
          <w:bCs/>
          <w:sz w:val="20"/>
          <w:szCs w:val="20"/>
        </w:rPr>
        <w:t xml:space="preserve">4.3 Solution Architecture</w:t>
      </w:r>
    </w:p>
    <w:p>
      <w:pPr>
        <w:spacing w:after="90"/>
      </w:pPr>
      <w:r>
        <w:rPr>
          <w:sz w:val="19"/>
          <w:szCs w:val="19"/>
        </w:rPr>
        <w:t xml:space="preserve">Architecture follows a simple event-driven flow (see Figure 1 above): a ticket is created, the Flow Designer trigger fires, If/Else-If conditions classify it, the Update Record action writes the category back, and the Send Email action notifies the relevant party. All components are detailed in the Solution Architecture document from the Project Design Phase.</w:t>
      </w:r>
    </w:p>
    <w:p>
      <w:pPr>
        <w:pStyle w:val="Heading1"/>
        <w:spacing w:after="100" w:before="240"/>
      </w:pPr>
      <w:r>
        <w:rPr>
          <w:b/>
          <w:bCs/>
          <w:color w:val="1F4E79"/>
          <w:sz w:val="24"/>
          <w:szCs w:val="24"/>
        </w:rPr>
        <w:t xml:space="preserve">5. Project Planning &amp; Scheduling</w:t>
      </w:r>
    </w:p>
    <w:p>
      <w:pPr>
        <w:pStyle w:val="Heading2"/>
        <w:spacing w:after="70" w:before="140"/>
      </w:pPr>
      <w:r>
        <w:rPr>
          <w:b/>
          <w:bCs/>
          <w:sz w:val="20"/>
          <w:szCs w:val="20"/>
        </w:rPr>
        <w:t xml:space="preserve">5.1 Project Planning</w:t>
      </w:r>
    </w:p>
    <w:p>
      <w:pPr>
        <w:spacing w:after="90"/>
      </w:pPr>
      <w:r>
        <w:rPr>
          <w:sz w:val="19"/>
          <w:szCs w:val="19"/>
        </w:rPr>
        <w:t xml:space="preserve">Work was planned across 2 sprints totaling 23 story points (Sprint-1: 8, Sprint-2: 15), covering environment setup, ticket intake, the flow trigger, all four classification branches, the email notification, and end-to-end testing - averaging a velocity of 11.5 story points per sprint.</w:t>
      </w:r>
    </w:p>
    <w:p>
      <w:pPr>
        <w:spacing w:after="40" w:before="60"/>
        <w:jc w:val="center"/>
      </w:pPr>
      <w:r>
        <w:drawing>
          <wp:inline distT="0" distB="0" distL="0" distR="0">
            <wp:extent cx="4191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038350"/>
                    </a:xfrm>
                    <a:prstGeom prst="rect">
                      <a:avLst/>
                    </a:prstGeom>
                  </pic:spPr>
                </pic:pic>
              </a:graphicData>
            </a:graphic>
          </wp:inline>
        </w:drawing>
      </w:r>
    </w:p>
    <w:p>
      <w:pPr>
        <w:spacing w:after="100"/>
        <w:jc w:val="center"/>
      </w:pPr>
      <w:r>
        <w:rPr>
          <w:i/>
          <w:iCs/>
          <w:sz w:val="17"/>
          <w:szCs w:val="17"/>
        </w:rPr>
        <w:t xml:space="preserve">Figure 2: Sprint burndown across both sprints</w:t>
      </w:r>
    </w:p>
    <w:p>
      <w:pPr>
        <w:pStyle w:val="Heading1"/>
        <w:spacing w:after="100" w:before="240"/>
      </w:pPr>
      <w:r>
        <w:rPr>
          <w:b/>
          <w:bCs/>
          <w:color w:val="1F4E79"/>
          <w:sz w:val="24"/>
          <w:szCs w:val="24"/>
        </w:rPr>
        <w:t xml:space="preserve">6. Functional and Performance Testing</w:t>
      </w:r>
    </w:p>
    <w:p>
      <w:pPr>
        <w:pStyle w:val="Heading2"/>
        <w:spacing w:after="70" w:before="140"/>
      </w:pPr>
      <w:r>
        <w:rPr>
          <w:b/>
          <w:bCs/>
          <w:sz w:val="20"/>
          <w:szCs w:val="20"/>
        </w:rPr>
        <w:t xml:space="preserve">6.1 Performance Testing</w:t>
      </w:r>
    </w:p>
    <w:p>
      <w:pPr>
        <w:spacing w:after="90"/>
      </w:pPr>
      <w:r>
        <w:rPr>
          <w:sz w:val="19"/>
          <w:szCs w:val="19"/>
        </w:rPr>
        <w:t xml:space="preserve">9 test cases were executed across 4 functional areas, with 1 known failure traced to a single root cause (see Section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1867"/>
        <w:gridCol w:w="1867"/>
        <w:gridCol w:w="1866"/>
      </w:tblGrid>
      <w:tr>
        <w:trPr>
          <w:tblHeader/>
        </w:trPr>
        <w:tc>
          <w:tcPr>
            <w:tcW w:type="dxa" w:w="4000"/>
            <w:shd w:fill="D9E2F3" w:val="clear"/>
            <w:tcMar>
              <w:top w:type="dxa" w:w="60"/>
              <w:left w:type="dxa" w:w="80"/>
              <w:bottom w:type="dxa" w:w="60"/>
              <w:right w:type="dxa" w:w="80"/>
            </w:tcMar>
            <w:vAlign w:val="center"/>
          </w:tcPr>
          <w:p>
            <w:r>
              <w:rPr>
                <w:b/>
                <w:bCs/>
                <w:sz w:val="16"/>
                <w:szCs w:val="16"/>
              </w:rPr>
              <w:t xml:space="preserve">Section</w:t>
            </w:r>
          </w:p>
        </w:tc>
        <w:tc>
          <w:tcPr>
            <w:tcW w:type="dxa" w:w="1867"/>
            <w:shd w:fill="D9E2F3" w:val="clear"/>
            <w:tcMar>
              <w:top w:type="dxa" w:w="60"/>
              <w:left w:type="dxa" w:w="80"/>
              <w:bottom w:type="dxa" w:w="60"/>
              <w:right w:type="dxa" w:w="80"/>
            </w:tcMar>
            <w:vAlign w:val="center"/>
          </w:tcPr>
          <w:p>
            <w:r>
              <w:rPr>
                <w:b/>
                <w:bCs/>
                <w:sz w:val="16"/>
                <w:szCs w:val="16"/>
              </w:rPr>
              <w:t xml:space="preserve">Total Cases</w:t>
            </w:r>
          </w:p>
        </w:tc>
        <w:tc>
          <w:tcPr>
            <w:tcW w:type="dxa" w:w="1867"/>
            <w:shd w:fill="D9E2F3" w:val="clear"/>
            <w:tcMar>
              <w:top w:type="dxa" w:w="60"/>
              <w:left w:type="dxa" w:w="80"/>
              <w:bottom w:type="dxa" w:w="60"/>
              <w:right w:type="dxa" w:w="80"/>
            </w:tcMar>
            <w:vAlign w:val="center"/>
          </w:tcPr>
          <w:p>
            <w:r>
              <w:rPr>
                <w:b/>
                <w:bCs/>
                <w:sz w:val="16"/>
                <w:szCs w:val="16"/>
              </w:rPr>
              <w:t xml:space="preserve">Fail</w:t>
            </w:r>
          </w:p>
        </w:tc>
        <w:tc>
          <w:tcPr>
            <w:tcW w:type="dxa" w:w="1866"/>
            <w:shd w:fill="D9E2F3" w:val="clear"/>
            <w:tcMar>
              <w:top w:type="dxa" w:w="60"/>
              <w:left w:type="dxa" w:w="80"/>
              <w:bottom w:type="dxa" w:w="60"/>
              <w:right w:type="dxa" w:w="80"/>
            </w:tcMar>
            <w:vAlign w:val="center"/>
          </w:tcPr>
          <w:p>
            <w:r>
              <w:rPr>
                <w:b/>
                <w:bCs/>
                <w:sz w:val="16"/>
                <w:szCs w:val="16"/>
              </w:rPr>
              <w:t xml:space="preserve">Pass</w:t>
            </w:r>
          </w:p>
        </w:tc>
      </w:tr>
      <w:tr>
        <w:tc>
          <w:tcPr>
            <w:tcW w:type="dxa" w:w="4000"/>
            <w:tcMar>
              <w:top w:type="dxa" w:w="60"/>
              <w:left w:type="dxa" w:w="80"/>
              <w:bottom w:type="dxa" w:w="60"/>
              <w:right w:type="dxa" w:w="80"/>
            </w:tcMar>
            <w:vAlign w:val="top"/>
          </w:tcPr>
          <w:p>
            <w:r>
              <w:rPr>
                <w:b w:val="false"/>
                <w:bCs w:val="false"/>
                <w:sz w:val="16"/>
                <w:szCs w:val="16"/>
              </w:rPr>
              <w:t xml:space="preserve">Update Set &amp; Table Setup</w:t>
            </w:r>
          </w:p>
        </w:tc>
        <w:tc>
          <w:tcPr>
            <w:tcW w:type="dxa" w:w="1867"/>
            <w:tcMar>
              <w:top w:type="dxa" w:w="60"/>
              <w:left w:type="dxa" w:w="80"/>
              <w:bottom w:type="dxa" w:w="60"/>
              <w:right w:type="dxa" w:w="80"/>
            </w:tcMar>
            <w:vAlign w:val="top"/>
          </w:tcPr>
          <w:p>
            <w:r>
              <w:rPr>
                <w:b w:val="false"/>
                <w:bCs w:val="false"/>
                <w:sz w:val="16"/>
                <w:szCs w:val="16"/>
              </w:rPr>
              <w:t xml:space="preserve">2</w:t>
            </w:r>
          </w:p>
        </w:tc>
        <w:tc>
          <w:tcPr>
            <w:tcW w:type="dxa" w:w="1867"/>
            <w:tcMar>
              <w:top w:type="dxa" w:w="60"/>
              <w:left w:type="dxa" w:w="80"/>
              <w:bottom w:type="dxa" w:w="60"/>
              <w:right w:type="dxa" w:w="80"/>
            </w:tcMar>
            <w:vAlign w:val="top"/>
          </w:tcPr>
          <w:p>
            <w:r>
              <w:rPr>
                <w:b w:val="false"/>
                <w:bCs w:val="false"/>
                <w:sz w:val="16"/>
                <w:szCs w:val="16"/>
              </w:rPr>
              <w:t xml:space="preserve">0</w:t>
            </w:r>
          </w:p>
        </w:tc>
        <w:tc>
          <w:tcPr>
            <w:tcW w:type="dxa" w:w="1866"/>
            <w:tcMar>
              <w:top w:type="dxa" w:w="60"/>
              <w:left w:type="dxa" w:w="80"/>
              <w:bottom w:type="dxa" w:w="60"/>
              <w:right w:type="dxa" w:w="80"/>
            </w:tcMar>
            <w:vAlign w:val="top"/>
          </w:tcPr>
          <w:p>
            <w:r>
              <w:rPr>
                <w:b w:val="false"/>
                <w:bCs w:val="false"/>
                <w:sz w:val="16"/>
                <w:szCs w:val="16"/>
              </w:rPr>
              <w:t xml:space="preserve">2</w:t>
            </w:r>
          </w:p>
        </w:tc>
      </w:tr>
      <w:tr>
        <w:tc>
          <w:tcPr>
            <w:tcW w:type="dxa" w:w="4000"/>
            <w:tcMar>
              <w:top w:type="dxa" w:w="60"/>
              <w:left w:type="dxa" w:w="80"/>
              <w:bottom w:type="dxa" w:w="60"/>
              <w:right w:type="dxa" w:w="80"/>
            </w:tcMar>
            <w:vAlign w:val="top"/>
          </w:tcPr>
          <w:p>
            <w:r>
              <w:rPr>
                <w:b w:val="false"/>
                <w:bCs w:val="false"/>
                <w:sz w:val="16"/>
                <w:szCs w:val="16"/>
              </w:rPr>
              <w:t xml:space="preserve">Flow Trigger</w:t>
            </w:r>
          </w:p>
        </w:tc>
        <w:tc>
          <w:tcPr>
            <w:tcW w:type="dxa" w:w="1867"/>
            <w:tcMar>
              <w:top w:type="dxa" w:w="60"/>
              <w:left w:type="dxa" w:w="80"/>
              <w:bottom w:type="dxa" w:w="60"/>
              <w:right w:type="dxa" w:w="80"/>
            </w:tcMar>
            <w:vAlign w:val="top"/>
          </w:tcPr>
          <w:p>
            <w:r>
              <w:rPr>
                <w:b w:val="false"/>
                <w:bCs w:val="false"/>
                <w:sz w:val="16"/>
                <w:szCs w:val="16"/>
              </w:rPr>
              <w:t xml:space="preserve">1</w:t>
            </w:r>
          </w:p>
        </w:tc>
        <w:tc>
          <w:tcPr>
            <w:tcW w:type="dxa" w:w="1867"/>
            <w:tcMar>
              <w:top w:type="dxa" w:w="60"/>
              <w:left w:type="dxa" w:w="80"/>
              <w:bottom w:type="dxa" w:w="60"/>
              <w:right w:type="dxa" w:w="80"/>
            </w:tcMar>
            <w:vAlign w:val="top"/>
          </w:tcPr>
          <w:p>
            <w:r>
              <w:rPr>
                <w:b w:val="false"/>
                <w:bCs w:val="false"/>
                <w:sz w:val="16"/>
                <w:szCs w:val="16"/>
              </w:rPr>
              <w:t xml:space="preserve">0</w:t>
            </w:r>
          </w:p>
        </w:tc>
        <w:tc>
          <w:tcPr>
            <w:tcW w:type="dxa" w:w="1866"/>
            <w:tcMar>
              <w:top w:type="dxa" w:w="60"/>
              <w:left w:type="dxa" w:w="80"/>
              <w:bottom w:type="dxa" w:w="60"/>
              <w:right w:type="dxa" w:w="80"/>
            </w:tcMar>
            <w:vAlign w:val="top"/>
          </w:tcPr>
          <w:p>
            <w:r>
              <w:rPr>
                <w:b w:val="false"/>
                <w:bCs w:val="false"/>
                <w:sz w:val="16"/>
                <w:szCs w:val="16"/>
              </w:rPr>
              <w:t xml:space="preserve">1</w:t>
            </w:r>
          </w:p>
        </w:tc>
      </w:tr>
      <w:tr>
        <w:tc>
          <w:tcPr>
            <w:tcW w:type="dxa" w:w="4000"/>
            <w:tcMar>
              <w:top w:type="dxa" w:w="60"/>
              <w:left w:type="dxa" w:w="80"/>
              <w:bottom w:type="dxa" w:w="60"/>
              <w:right w:type="dxa" w:w="80"/>
            </w:tcMar>
            <w:vAlign w:val="top"/>
          </w:tcPr>
          <w:p>
            <w:r>
              <w:rPr>
                <w:b w:val="false"/>
                <w:bCs w:val="false"/>
                <w:sz w:val="16"/>
                <w:szCs w:val="16"/>
              </w:rPr>
              <w:t xml:space="preserve">Classification Logic</w:t>
            </w:r>
          </w:p>
        </w:tc>
        <w:tc>
          <w:tcPr>
            <w:tcW w:type="dxa" w:w="1867"/>
            <w:tcMar>
              <w:top w:type="dxa" w:w="60"/>
              <w:left w:type="dxa" w:w="80"/>
              <w:bottom w:type="dxa" w:w="60"/>
              <w:right w:type="dxa" w:w="80"/>
            </w:tcMar>
            <w:vAlign w:val="top"/>
          </w:tcPr>
          <w:p>
            <w:r>
              <w:rPr>
                <w:b w:val="false"/>
                <w:bCs w:val="false"/>
                <w:sz w:val="16"/>
                <w:szCs w:val="16"/>
              </w:rPr>
              <w:t xml:space="preserve">5</w:t>
            </w:r>
          </w:p>
        </w:tc>
        <w:tc>
          <w:tcPr>
            <w:tcW w:type="dxa" w:w="1867"/>
            <w:tcMar>
              <w:top w:type="dxa" w:w="60"/>
              <w:left w:type="dxa" w:w="80"/>
              <w:bottom w:type="dxa" w:w="60"/>
              <w:right w:type="dxa" w:w="80"/>
            </w:tcMar>
            <w:vAlign w:val="top"/>
          </w:tcPr>
          <w:p>
            <w:r>
              <w:rPr>
                <w:b w:val="false"/>
                <w:bCs w:val="false"/>
                <w:sz w:val="16"/>
                <w:szCs w:val="16"/>
              </w:rPr>
              <w:t xml:space="preserve">1</w:t>
            </w:r>
          </w:p>
        </w:tc>
        <w:tc>
          <w:tcPr>
            <w:tcW w:type="dxa" w:w="1866"/>
            <w:tcMar>
              <w:top w:type="dxa" w:w="60"/>
              <w:left w:type="dxa" w:w="80"/>
              <w:bottom w:type="dxa" w:w="60"/>
              <w:right w:type="dxa" w:w="80"/>
            </w:tcMar>
            <w:vAlign w:val="top"/>
          </w:tcPr>
          <w:p>
            <w:r>
              <w:rPr>
                <w:b w:val="false"/>
                <w:bCs w:val="false"/>
                <w:sz w:val="16"/>
                <w:szCs w:val="16"/>
              </w:rPr>
              <w:t xml:space="preserve">4</w:t>
            </w:r>
          </w:p>
        </w:tc>
      </w:tr>
      <w:tr>
        <w:tc>
          <w:tcPr>
            <w:tcW w:type="dxa" w:w="4000"/>
            <w:tcMar>
              <w:top w:type="dxa" w:w="60"/>
              <w:left w:type="dxa" w:w="80"/>
              <w:bottom w:type="dxa" w:w="60"/>
              <w:right w:type="dxa" w:w="80"/>
            </w:tcMar>
            <w:vAlign w:val="top"/>
          </w:tcPr>
          <w:p>
            <w:r>
              <w:rPr>
                <w:b w:val="false"/>
                <w:bCs w:val="false"/>
                <w:sz w:val="16"/>
                <w:szCs w:val="16"/>
              </w:rPr>
              <w:t xml:space="preserve">Notification (Send Email)</w:t>
            </w:r>
          </w:p>
        </w:tc>
        <w:tc>
          <w:tcPr>
            <w:tcW w:type="dxa" w:w="1867"/>
            <w:tcMar>
              <w:top w:type="dxa" w:w="60"/>
              <w:left w:type="dxa" w:w="80"/>
              <w:bottom w:type="dxa" w:w="60"/>
              <w:right w:type="dxa" w:w="80"/>
            </w:tcMar>
            <w:vAlign w:val="top"/>
          </w:tcPr>
          <w:p>
            <w:r>
              <w:rPr>
                <w:b w:val="false"/>
                <w:bCs w:val="false"/>
                <w:sz w:val="16"/>
                <w:szCs w:val="16"/>
              </w:rPr>
              <w:t xml:space="preserve">1</w:t>
            </w:r>
          </w:p>
        </w:tc>
        <w:tc>
          <w:tcPr>
            <w:tcW w:type="dxa" w:w="1867"/>
            <w:tcMar>
              <w:top w:type="dxa" w:w="60"/>
              <w:left w:type="dxa" w:w="80"/>
              <w:bottom w:type="dxa" w:w="60"/>
              <w:right w:type="dxa" w:w="80"/>
            </w:tcMar>
            <w:vAlign w:val="top"/>
          </w:tcPr>
          <w:p>
            <w:r>
              <w:rPr>
                <w:b w:val="false"/>
                <w:bCs w:val="false"/>
                <w:sz w:val="16"/>
                <w:szCs w:val="16"/>
              </w:rPr>
              <w:t xml:space="preserve">0</w:t>
            </w:r>
          </w:p>
        </w:tc>
        <w:tc>
          <w:tcPr>
            <w:tcW w:type="dxa" w:w="1866"/>
            <w:tcMar>
              <w:top w:type="dxa" w:w="60"/>
              <w:left w:type="dxa" w:w="80"/>
              <w:bottom w:type="dxa" w:w="60"/>
              <w:right w:type="dxa" w:w="80"/>
            </w:tcMar>
            <w:vAlign w:val="top"/>
          </w:tcPr>
          <w:p>
            <w:r>
              <w:rPr>
                <w:b w:val="false"/>
                <w:bCs w:val="false"/>
                <w:sz w:val="16"/>
                <w:szCs w:val="16"/>
              </w:rPr>
              <w:t xml:space="preserve">1</w:t>
            </w:r>
          </w:p>
        </w:tc>
      </w:tr>
      <w:tr>
        <w:tc>
          <w:tcPr>
            <w:tcW w:type="dxa" w:w="4000"/>
            <w:tcMar>
              <w:top w:type="dxa" w:w="60"/>
              <w:left w:type="dxa" w:w="80"/>
              <w:bottom w:type="dxa" w:w="60"/>
              <w:right w:type="dxa" w:w="80"/>
            </w:tcMar>
            <w:vAlign w:val="top"/>
          </w:tcPr>
          <w:p>
            <w:r>
              <w:rPr>
                <w:b/>
                <w:bCs/>
                <w:sz w:val="16"/>
                <w:szCs w:val="16"/>
              </w:rPr>
              <w:t xml:space="preserve">Totals</w:t>
            </w:r>
          </w:p>
        </w:tc>
        <w:tc>
          <w:tcPr>
            <w:tcW w:type="dxa" w:w="1867"/>
            <w:tcMar>
              <w:top w:type="dxa" w:w="60"/>
              <w:left w:type="dxa" w:w="80"/>
              <w:bottom w:type="dxa" w:w="60"/>
              <w:right w:type="dxa" w:w="80"/>
            </w:tcMar>
            <w:vAlign w:val="top"/>
          </w:tcPr>
          <w:p>
            <w:r>
              <w:rPr>
                <w:b/>
                <w:bCs/>
                <w:sz w:val="16"/>
                <w:szCs w:val="16"/>
              </w:rPr>
              <w:t xml:space="preserve">9</w:t>
            </w:r>
          </w:p>
        </w:tc>
        <w:tc>
          <w:tcPr>
            <w:tcW w:type="dxa" w:w="1867"/>
            <w:tcMar>
              <w:top w:type="dxa" w:w="60"/>
              <w:left w:type="dxa" w:w="80"/>
              <w:bottom w:type="dxa" w:w="60"/>
              <w:right w:type="dxa" w:w="80"/>
            </w:tcMar>
            <w:vAlign w:val="top"/>
          </w:tcPr>
          <w:p>
            <w:r>
              <w:rPr>
                <w:b/>
                <w:bCs/>
                <w:sz w:val="16"/>
                <w:szCs w:val="16"/>
              </w:rPr>
              <w:t xml:space="preserve">1</w:t>
            </w:r>
          </w:p>
        </w:tc>
        <w:tc>
          <w:tcPr>
            <w:tcW w:type="dxa" w:w="1866"/>
            <w:tcMar>
              <w:top w:type="dxa" w:w="60"/>
              <w:left w:type="dxa" w:w="80"/>
              <w:bottom w:type="dxa" w:w="60"/>
              <w:right w:type="dxa" w:w="80"/>
            </w:tcMar>
            <w:vAlign w:val="top"/>
          </w:tcPr>
          <w:p>
            <w:r>
              <w:rPr>
                <w:b/>
                <w:bCs/>
                <w:sz w:val="16"/>
                <w:szCs w:val="16"/>
              </w:rPr>
              <w:t xml:space="preserve">8</w:t>
            </w:r>
          </w:p>
        </w:tc>
      </w:tr>
    </w:tbl>
    <w:p>
      <w:pPr>
        <w:spacing w:after="100"/>
      </w:pPr>
    </w:p>
    <w:p>
      <w:pPr>
        <w:spacing w:after="90"/>
      </w:pPr>
      <w:r>
        <w:rPr>
          <w:sz w:val="19"/>
          <w:szCs w:val="19"/>
        </w:rPr>
        <w:t xml:space="preserve">The one failing case (unmatched ticket keyword) corresponds to defect BG-001, logged as Severity 3 and deferred to the next sprint. Full test cases, steps and defect analysis are in the Development Phase's UAT FSD and UAT Report documents.</w:t>
      </w:r>
    </w:p>
    <w:p>
      <w:pPr>
        <w:pStyle w:val="Heading1"/>
        <w:spacing w:after="100" w:before="240"/>
      </w:pPr>
      <w:r>
        <w:rPr>
          <w:b/>
          <w:bCs/>
          <w:color w:val="1F4E79"/>
          <w:sz w:val="24"/>
          <w:szCs w:val="24"/>
        </w:rPr>
        <w:t xml:space="preserve">7. Results</w:t>
      </w:r>
    </w:p>
    <w:p>
      <w:pPr>
        <w:pStyle w:val="Heading2"/>
        <w:spacing w:after="70" w:before="140"/>
      </w:pPr>
      <w:r>
        <w:rPr>
          <w:b/>
          <w:bCs/>
          <w:sz w:val="20"/>
          <w:szCs w:val="20"/>
        </w:rPr>
        <w:t xml:space="preserve">7.1 Output Screenshots</w:t>
      </w:r>
    </w:p>
    <w:p>
      <w:pPr>
        <w:spacing w:after="90"/>
      </w:pPr>
      <w:r>
        <w:rPr>
          <w:i/>
          <w:iCs/>
          <w:sz w:val="19"/>
          <w:szCs w:val="19"/>
        </w:rPr>
        <w:t xml:space="preserve">[Insert screenshots of: the Incident WorkFlow table/fields, the Flow Designer canvas, a completed test run's Execution Details, a classified ticket record, and the notification email.]</w:t>
      </w:r>
    </w:p>
    <w:p>
      <w:pPr>
        <w:pStyle w:val="Heading1"/>
        <w:spacing w:after="100" w:before="240"/>
      </w:pPr>
      <w:r>
        <w:rPr>
          <w:b/>
          <w:bCs/>
          <w:color w:val="1F4E79"/>
          <w:sz w:val="24"/>
          <w:szCs w:val="24"/>
        </w:rPr>
        <w:t xml:space="preserve">8. Advantages &amp; Disadvantages</w:t>
      </w:r>
    </w:p>
    <w:p>
      <w:pPr>
        <w:spacing w:after="70"/>
      </w:pPr>
      <w:r>
        <w:rPr>
          <w:b/>
          <w:bCs/>
          <w:sz w:val="19"/>
          <w:szCs w:val="19"/>
        </w:rPr>
        <w:t xml:space="preserve">Advantages: </w:t>
      </w:r>
    </w:p>
    <w:p>
      <w:pPr>
        <w:spacing w:after="45"/>
      </w:pPr>
      <w:r>
        <w:rPr>
          <w:sz w:val="19"/>
          <w:szCs w:val="19"/>
        </w:rPr>
        <w:t xml:space="preserve">•  Removes manual first-line triage, speeding up ticket routing.</w:t>
      </w:r>
    </w:p>
    <w:p>
      <w:pPr>
        <w:spacing w:after="45"/>
      </w:pPr>
      <w:r>
        <w:rPr>
          <w:sz w:val="19"/>
          <w:szCs w:val="19"/>
        </w:rPr>
        <w:t xml:space="preserve">•  Consistent, rule-based classification instead of agent judgement.</w:t>
      </w:r>
    </w:p>
    <w:p>
      <w:pPr>
        <w:spacing w:after="45"/>
      </w:pPr>
      <w:r>
        <w:rPr>
          <w:sz w:val="19"/>
          <w:szCs w:val="19"/>
        </w:rPr>
        <w:t xml:space="preserve">•  No-code and transparent - maintainable by a ServiceNow admin without developer support.</w:t>
      </w:r>
    </w:p>
    <w:p>
      <w:pPr>
        <w:spacing w:after="45"/>
      </w:pPr>
      <w:r>
        <w:rPr>
          <w:sz w:val="19"/>
          <w:szCs w:val="19"/>
        </w:rPr>
        <w:t xml:space="preserve">•  Fully auditable: every change ships inside a single, reviewable Update Set.</w:t>
      </w:r>
    </w:p>
    <w:p>
      <w:pPr>
        <w:spacing w:after="70"/>
      </w:pPr>
      <w:r>
        <w:rPr>
          <w:b/>
          <w:bCs/>
          <w:sz w:val="19"/>
          <w:szCs w:val="19"/>
        </w:rPr>
        <w:t xml:space="preserve">Disadvantages: </w:t>
      </w:r>
    </w:p>
    <w:p>
      <w:pPr>
        <w:spacing w:after="45"/>
      </w:pPr>
      <w:r>
        <w:rPr>
          <w:sz w:val="19"/>
          <w:szCs w:val="19"/>
        </w:rPr>
        <w:t xml:space="preserve">•  Only 4 keyword-based categories are currently defined; anything else is left uncategorized (BG-001 / USN-9).</w:t>
      </w:r>
    </w:p>
    <w:p>
      <w:pPr>
        <w:spacing w:after="45"/>
      </w:pPr>
      <w:r>
        <w:rPr>
          <w:sz w:val="19"/>
          <w:szCs w:val="19"/>
        </w:rPr>
        <w:t xml:space="preserve">•  Simple keyword matching can misclassify ambiguous or multi-issue descriptions.</w:t>
      </w:r>
    </w:p>
    <w:p>
      <w:pPr>
        <w:spacing w:after="45"/>
      </w:pPr>
      <w:r>
        <w:rPr>
          <w:sz w:val="19"/>
          <w:szCs w:val="19"/>
        </w:rPr>
        <w:t xml:space="preserve">•  Depends on the ServiceNow platform's availability and licensing.</w:t>
      </w:r>
    </w:p>
    <w:p>
      <w:pPr>
        <w:pStyle w:val="Heading1"/>
        <w:spacing w:after="100" w:before="240"/>
      </w:pPr>
      <w:r>
        <w:rPr>
          <w:b/>
          <w:bCs/>
          <w:color w:val="1F4E79"/>
          <w:sz w:val="24"/>
          <w:szCs w:val="24"/>
        </w:rPr>
        <w:t xml:space="preserve">9. Conclusion</w:t>
      </w:r>
    </w:p>
    <w:p>
      <w:pPr>
        <w:spacing w:after="90"/>
      </w:pPr>
      <w:r>
        <w:rPr>
          <w:sz w:val="19"/>
          <w:szCs w:val="19"/>
        </w:rPr>
        <w:t xml:space="preserve">Auto Ticket Classification Using Flow Designer demonstrates how a native, no-code ServiceNow automation can remove a repetitive manual process. By triggering a flow on ticket creation and applying predefined classification rules, the system consistently routes tickets and notifies the right people without agent intervention. Testing confirmed the four core classification paths work correctly; the one identified gap (unmatched tickets) is already scoped as the next backlog item.</w:t>
      </w:r>
    </w:p>
    <w:p>
      <w:pPr>
        <w:pStyle w:val="Heading1"/>
        <w:spacing w:after="100" w:before="240"/>
      </w:pPr>
      <w:r>
        <w:rPr>
          <w:b/>
          <w:bCs/>
          <w:color w:val="1F4E79"/>
          <w:sz w:val="24"/>
          <w:szCs w:val="24"/>
        </w:rPr>
        <w:t xml:space="preserve">10. Future Scope</w:t>
      </w:r>
    </w:p>
    <w:p>
      <w:pPr>
        <w:spacing w:after="45"/>
      </w:pPr>
      <w:r>
        <w:rPr>
          <w:sz w:val="19"/>
          <w:szCs w:val="19"/>
        </w:rPr>
        <w:t xml:space="preserve">•  Add a final Else branch to classify unmatched tickets as "General IT Support" (USN-9).</w:t>
      </w:r>
    </w:p>
    <w:p>
      <w:pPr>
        <w:spacing w:after="45"/>
      </w:pPr>
      <w:r>
        <w:rPr>
          <w:sz w:val="19"/>
          <w:szCs w:val="19"/>
        </w:rPr>
        <w:t xml:space="preserve">•  Extend classification to more categories and additional tables (Request, Problem, Change).</w:t>
      </w:r>
    </w:p>
    <w:p>
      <w:pPr>
        <w:spacing w:after="45"/>
      </w:pPr>
      <w:r>
        <w:rPr>
          <w:sz w:val="19"/>
          <w:szCs w:val="19"/>
        </w:rPr>
        <w:t xml:space="preserve">•  Automatic assignment to specific support groups, priority calculation, and SLA-based automation.</w:t>
      </w:r>
    </w:p>
    <w:p>
      <w:pPr>
        <w:spacing w:after="45"/>
      </w:pPr>
      <w:r>
        <w:rPr>
          <w:sz w:val="19"/>
          <w:szCs w:val="19"/>
        </w:rPr>
        <w:t xml:space="preserve">•  AI/ML-based classification for free-text descriptions that don't match simple keywords.</w:t>
      </w:r>
    </w:p>
    <w:p>
      <w:pPr>
        <w:spacing w:after="45"/>
      </w:pPr>
      <w:r>
        <w:rPr>
          <w:sz w:val="19"/>
          <w:szCs w:val="19"/>
        </w:rPr>
        <w:t xml:space="preserve">•  A reporting dashboard for classification volume and accuracy over time.</w:t>
      </w:r>
    </w:p>
    <w:p>
      <w:pPr>
        <w:pStyle w:val="Heading1"/>
        <w:spacing w:after="100" w:before="240"/>
      </w:pPr>
      <w:r>
        <w:rPr>
          <w:b/>
          <w:bCs/>
          <w:color w:val="1F4E79"/>
          <w:sz w:val="24"/>
          <w:szCs w:val="24"/>
        </w:rPr>
        <w:t xml:space="preserve">11. Appendix</w:t>
      </w:r>
    </w:p>
    <w:p>
      <w:pPr>
        <w:spacing w:after="70"/>
      </w:pPr>
      <w:r>
        <w:rPr>
          <w:b/>
          <w:bCs/>
          <w:sz w:val="19"/>
          <w:szCs w:val="19"/>
        </w:rPr>
        <w:t xml:space="preserve">Source Code: </w:t>
      </w:r>
      <w:r>
        <w:rPr>
          <w:b w:val="false"/>
          <w:bCs w:val="false"/>
          <w:sz w:val="19"/>
          <w:szCs w:val="19"/>
        </w:rPr>
        <w:t xml:space="preserve">Not applicable - this is a no-code Flow Designer solution; all configuration is captured in the "Project Update Set" rather than traditional source files.</w:t>
      </w:r>
    </w:p>
    <w:p>
      <w:pPr>
        <w:spacing w:after="70"/>
      </w:pPr>
      <w:r>
        <w:rPr>
          <w:b/>
          <w:bCs/>
          <w:sz w:val="19"/>
          <w:szCs w:val="19"/>
        </w:rPr>
        <w:t xml:space="preserve">Dataset Link: </w:t>
      </w:r>
      <w:r>
        <w:rPr>
          <w:b w:val="false"/>
          <w:bCs w:val="false"/>
          <w:sz w:val="19"/>
          <w:szCs w:val="19"/>
        </w:rPr>
        <w:t xml:space="preserve">Not applicable - no external dataset was used.</w:t>
      </w:r>
    </w:p>
    <w:p>
      <w:pPr>
        <w:spacing w:after="70"/>
      </w:pPr>
      <w:r>
        <w:rPr>
          <w:b/>
          <w:bCs/>
          <w:sz w:val="19"/>
          <w:szCs w:val="19"/>
        </w:rPr>
        <w:t xml:space="preserve">GitHub &amp; Project Demo Link: </w:t>
      </w:r>
      <w:r>
        <w:rPr>
          <w:b w:val="false"/>
          <w:bCs w:val="false"/>
          <w:sz w:val="19"/>
          <w:szCs w:val="19"/>
        </w:rPr>
        <w:t xml:space="preserve">[Insert link]</w:t>
      </w:r>
    </w:p>
    <w:sectPr>
      <w:pgSz w:w="12240" w:h="15840" w:orient="portrait"/>
      <w:pgMar w:top="820" w:right="820" w:bottom="8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15f4ea01ff7eed5c676afcedc161fc0bc6745f.png"/><Relationship Id="rId8" Type="http://schemas.openxmlformats.org/officeDocument/2006/relationships/image" Target="media/92698db351d44a7a73c4e2e6c9f83309dd643f4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2026-10-03T17:52:30.232Z</dcterms:created>
  <dcterms:modified xsi:type="dcterms:W3CDTF">2026-10-03T17:52:30.232Z</dcterms:modified>
</cp:coreProperties>
</file>

<file path=docProps/custom.xml><?xml version="1.0" encoding="utf-8"?>
<Properties xmlns="http://schemas.openxmlformats.org/officeDocument/2006/custom-properties" xmlns:vt="http://schemas.openxmlformats.org/officeDocument/2006/docPropsVTypes"/>
</file>