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0D9488"/>
          <w:sz w:val="22"/>
        </w:rPr>
        <w:t>ENTERPRISE AI RELIABILITY &amp; EVIDENCE VERIFICATION DOSSIER</w:t>
      </w:r>
    </w:p>
    <w:p>
      <w:pPr>
        <w:spacing w:before="0" w:after="160"/>
      </w:pPr>
      <w:r>
        <w:rPr>
          <w:rFonts w:ascii="Calibri" w:hAnsi="Calibri"/>
          <w:b/>
          <w:color w:val="1A365D"/>
          <w:sz w:val="52"/>
        </w:rPr>
        <w:t>HALLUCIGUARD</w:t>
        <w:br/>
        <w:t>TECHNICAL ARCHITECTURE &amp;</w:t>
        <w:br/>
        <w:t>VERIFICATION SYSTEM</w:t>
      </w:r>
    </w:p>
    <w:p>
      <w:pPr>
        <w:spacing w:before="0" w:after="360"/>
      </w:pPr>
      <w:r>
        <w:rPr>
          <w:rFonts w:ascii="Calibri" w:hAnsi="Calibri"/>
          <w:color w:val="475569"/>
          <w:sz w:val="24"/>
        </w:rPr>
        <w:t>A Multi-Agent Framework for Real-Time LLM Hallucination Detection, Multi-Domain Authoritative Retrieval, Semantic Cross-Encoder Reranking, DeBERTa Natural Language Inference, and Four-State Verdict Determination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312"/>
            <w:shd w:fill="1A365D"/>
            <w:tcMar>
              <w:top w:w="80" w:type="dxa"/>
              <w:bottom w:w="80" w:type="dxa"/>
              <w:left w:w="100" w:type="dxa"/>
              <w:right w:w="100" w:type="dxa"/>
            </w:tcMar>
          </w:tcPr>
          <w:p>
            <w:pPr>
              <w:spacing w:before="40" w:after="40"/>
            </w:pPr>
            <w:r>
              <w:rPr>
                <w:rFonts w:ascii="Calibri" w:hAnsi="Calibri"/>
                <w:b/>
                <w:color w:val="FFFFFF"/>
                <w:sz w:val="18"/>
              </w:rPr>
              <w:t>SPECIFICATION METADATA</w:t>
            </w:r>
          </w:p>
        </w:tc>
        <w:tc>
          <w:tcPr>
            <w:tcW w:type="dxa" w:w="6048"/>
            <w:shd w:fill="1A365D"/>
            <w:tcMar>
              <w:top w:w="80" w:type="dxa"/>
              <w:bottom w:w="80" w:type="dxa"/>
              <w:left w:w="100" w:type="dxa"/>
              <w:right w:w="100" w:type="dxa"/>
            </w:tcMar>
          </w:tcPr>
          <w:p>
            <w:pPr>
              <w:spacing w:before="40" w:after="40"/>
            </w:pPr>
            <w:r>
              <w:rPr>
                <w:rFonts w:ascii="Calibri" w:hAnsi="Calibri"/>
                <w:b/>
                <w:color w:val="FFFFFF"/>
                <w:sz w:val="18"/>
              </w:rPr>
              <w:t>PRODUCTION STATE &amp; SPECIFICATIONS</w:t>
            </w:r>
          </w:p>
        </w:tc>
      </w:tr>
      <w:tr>
        <w:tc>
          <w:tcPr>
            <w:tcW w:type="dxa" w:w="3312"/>
            <w:shd w:fill="FFFFFF"/>
            <w:tcMar>
              <w:top w:w="60" w:type="dxa"/>
              <w:bottom w:w="60" w:type="dxa"/>
              <w:left w:w="100" w:type="dxa"/>
              <w:right w:w="100" w:type="dxa"/>
            </w:tcMar>
          </w:tcPr>
          <w:p>
            <w:pPr>
              <w:spacing w:before="40" w:after="40" w:line="264" w:lineRule="auto"/>
            </w:pPr>
            <w:r>
              <w:rPr>
                <w:rFonts w:ascii="Calibri" w:hAnsi="Calibri"/>
                <w:color w:val="0F172A"/>
                <w:sz w:val="17"/>
              </w:rPr>
              <w:t>System Name</w:t>
            </w:r>
          </w:p>
        </w:tc>
        <w:tc>
          <w:tcPr>
            <w:tcW w:type="dxa" w:w="6048"/>
            <w:shd w:fill="FFFFFF"/>
            <w:tcMar>
              <w:top w:w="60" w:type="dxa"/>
              <w:bottom w:w="60" w:type="dxa"/>
              <w:left w:w="100" w:type="dxa"/>
              <w:right w:w="100" w:type="dxa"/>
            </w:tcMar>
          </w:tcPr>
          <w:p>
            <w:pPr>
              <w:spacing w:before="40" w:after="40" w:line="264" w:lineRule="auto"/>
            </w:pPr>
            <w:r>
              <w:rPr>
                <w:rFonts w:ascii="Calibri" w:hAnsi="Calibri"/>
                <w:color w:val="0F172A"/>
                <w:sz w:val="17"/>
              </w:rPr>
              <w:t>HalluciGuard Enterprise Verifier &amp; Risk Gating Framework</w:t>
            </w:r>
          </w:p>
        </w:tc>
      </w:tr>
      <w:tr>
        <w:tc>
          <w:tcPr>
            <w:tcW w:type="dxa" w:w="3312"/>
            <w:shd w:fill="F8FAFC"/>
            <w:tcMar>
              <w:top w:w="60" w:type="dxa"/>
              <w:bottom w:w="60" w:type="dxa"/>
              <w:left w:w="100" w:type="dxa"/>
              <w:right w:w="100" w:type="dxa"/>
            </w:tcMar>
          </w:tcPr>
          <w:p>
            <w:pPr>
              <w:spacing w:before="40" w:after="40" w:line="264" w:lineRule="auto"/>
            </w:pPr>
            <w:r>
              <w:rPr>
                <w:rFonts w:ascii="Calibri" w:hAnsi="Calibri"/>
                <w:color w:val="0F172A"/>
                <w:sz w:val="17"/>
              </w:rPr>
              <w:t>Production Version</w:t>
            </w:r>
          </w:p>
        </w:tc>
        <w:tc>
          <w:tcPr>
            <w:tcW w:type="dxa" w:w="6048"/>
            <w:shd w:fill="F8FAFC"/>
            <w:tcMar>
              <w:top w:w="60" w:type="dxa"/>
              <w:bottom w:w="60" w:type="dxa"/>
              <w:left w:w="100" w:type="dxa"/>
              <w:right w:w="100" w:type="dxa"/>
            </w:tcMar>
          </w:tcPr>
          <w:p>
            <w:pPr>
              <w:spacing w:before="40" w:after="40" w:line="264" w:lineRule="auto"/>
            </w:pPr>
            <w:r>
              <w:rPr>
                <w:rFonts w:ascii="Calibri" w:hAnsi="Calibri"/>
                <w:color w:val="0F172A"/>
                <w:sz w:val="17"/>
              </w:rPr>
              <w:t>v2.0.0-rc2 (Benchmark V1.7 Hardened)</w:t>
            </w:r>
          </w:p>
        </w:tc>
      </w:tr>
      <w:tr>
        <w:tc>
          <w:tcPr>
            <w:tcW w:type="dxa" w:w="3312"/>
            <w:shd w:fill="FFFFFF"/>
            <w:tcMar>
              <w:top w:w="60" w:type="dxa"/>
              <w:bottom w:w="60" w:type="dxa"/>
              <w:left w:w="100" w:type="dxa"/>
              <w:right w:w="100" w:type="dxa"/>
            </w:tcMar>
          </w:tcPr>
          <w:p>
            <w:pPr>
              <w:spacing w:before="40" w:after="40" w:line="264" w:lineRule="auto"/>
            </w:pPr>
            <w:r>
              <w:rPr>
                <w:rFonts w:ascii="Calibri" w:hAnsi="Calibri"/>
                <w:color w:val="0F172A"/>
                <w:sz w:val="17"/>
              </w:rPr>
              <w:t>Base Generation LLM</w:t>
            </w:r>
          </w:p>
        </w:tc>
        <w:tc>
          <w:tcPr>
            <w:tcW w:type="dxa" w:w="6048"/>
            <w:shd w:fill="FFFFFF"/>
            <w:tcMar>
              <w:top w:w="60" w:type="dxa"/>
              <w:bottom w:w="60" w:type="dxa"/>
              <w:left w:w="100" w:type="dxa"/>
              <w:right w:w="100" w:type="dxa"/>
            </w:tcMar>
          </w:tcPr>
          <w:p>
            <w:pPr>
              <w:spacing w:before="40" w:after="40" w:line="264" w:lineRule="auto"/>
            </w:pPr>
            <w:r>
              <w:rPr>
                <w:rFonts w:ascii="Calibri" w:hAnsi="Calibri"/>
                <w:color w:val="0F172A"/>
                <w:sz w:val="17"/>
              </w:rPr>
              <w:t>OpenRouter / qwen/qwen3-4b (Candidate Generator)</w:t>
            </w:r>
          </w:p>
        </w:tc>
      </w:tr>
      <w:tr>
        <w:tc>
          <w:tcPr>
            <w:tcW w:type="dxa" w:w="3312"/>
            <w:shd w:fill="F8FAFC"/>
            <w:tcMar>
              <w:top w:w="60" w:type="dxa"/>
              <w:bottom w:w="60" w:type="dxa"/>
              <w:left w:w="100" w:type="dxa"/>
              <w:right w:w="100" w:type="dxa"/>
            </w:tcMar>
          </w:tcPr>
          <w:p>
            <w:pPr>
              <w:spacing w:before="40" w:after="40" w:line="264" w:lineRule="auto"/>
            </w:pPr>
            <w:r>
              <w:rPr>
                <w:rFonts w:ascii="Calibri" w:hAnsi="Calibri"/>
                <w:color w:val="0F172A"/>
                <w:sz w:val="17"/>
              </w:rPr>
              <w:t>Detector Classifier</w:t>
            </w:r>
          </w:p>
        </w:tc>
        <w:tc>
          <w:tcPr>
            <w:tcW w:type="dxa" w:w="6048"/>
            <w:shd w:fill="F8FAFC"/>
            <w:tcMar>
              <w:top w:w="60" w:type="dxa"/>
              <w:bottom w:w="60" w:type="dxa"/>
              <w:left w:w="100" w:type="dxa"/>
              <w:right w:w="100" w:type="dxa"/>
            </w:tcMar>
          </w:tcPr>
          <w:p>
            <w:pPr>
              <w:spacing w:before="40" w:after="40" w:line="264" w:lineRule="auto"/>
            </w:pPr>
            <w:r>
              <w:rPr>
                <w:rFonts w:ascii="Calibri" w:hAnsi="Calibri"/>
                <w:color w:val="0F172A"/>
                <w:sz w:val="17"/>
              </w:rPr>
              <w:t>Manjunath2000006/halluciguard-detector (Fine-Tuned HaluEval DistilBERT)</w:t>
            </w:r>
          </w:p>
        </w:tc>
      </w:tr>
      <w:tr>
        <w:tc>
          <w:tcPr>
            <w:tcW w:type="dxa" w:w="3312"/>
            <w:shd w:fill="FFFFFF"/>
            <w:tcMar>
              <w:top w:w="60" w:type="dxa"/>
              <w:bottom w:w="60" w:type="dxa"/>
              <w:left w:w="100" w:type="dxa"/>
              <w:right w:w="100" w:type="dxa"/>
            </w:tcMar>
          </w:tcPr>
          <w:p>
            <w:pPr>
              <w:spacing w:before="40" w:after="40" w:line="264" w:lineRule="auto"/>
            </w:pPr>
            <w:r>
              <w:rPr>
                <w:rFonts w:ascii="Calibri" w:hAnsi="Calibri"/>
                <w:color w:val="0F172A"/>
                <w:sz w:val="17"/>
              </w:rPr>
              <w:t>Semantic Reranker</w:t>
            </w:r>
          </w:p>
        </w:tc>
        <w:tc>
          <w:tcPr>
            <w:tcW w:type="dxa" w:w="6048"/>
            <w:shd w:fill="FFFFFF"/>
            <w:tcMar>
              <w:top w:w="60" w:type="dxa"/>
              <w:bottom w:w="60" w:type="dxa"/>
              <w:left w:w="100" w:type="dxa"/>
              <w:right w:w="100" w:type="dxa"/>
            </w:tcMar>
          </w:tcPr>
          <w:p>
            <w:pPr>
              <w:spacing w:before="40" w:after="40" w:line="264" w:lineRule="auto"/>
            </w:pPr>
            <w:r>
              <w:rPr>
                <w:rFonts w:ascii="Calibri" w:hAnsi="Calibri"/>
                <w:color w:val="0F172A"/>
                <w:sz w:val="17"/>
              </w:rPr>
              <w:t>BAAI/bge-reranker-large (Cross-Encoder Scoring ∈ [0.0, 1.0])</w:t>
            </w:r>
          </w:p>
        </w:tc>
      </w:tr>
      <w:tr>
        <w:tc>
          <w:tcPr>
            <w:tcW w:type="dxa" w:w="3312"/>
            <w:shd w:fill="F8FAFC"/>
            <w:tcMar>
              <w:top w:w="60" w:type="dxa"/>
              <w:bottom w:w="60" w:type="dxa"/>
              <w:left w:w="100" w:type="dxa"/>
              <w:right w:w="100" w:type="dxa"/>
            </w:tcMar>
          </w:tcPr>
          <w:p>
            <w:pPr>
              <w:spacing w:before="40" w:after="40" w:line="264" w:lineRule="auto"/>
            </w:pPr>
            <w:r>
              <w:rPr>
                <w:rFonts w:ascii="Calibri" w:hAnsi="Calibri"/>
                <w:color w:val="0F172A"/>
                <w:sz w:val="17"/>
              </w:rPr>
              <w:t>NLI Engine</w:t>
            </w:r>
          </w:p>
        </w:tc>
        <w:tc>
          <w:tcPr>
            <w:tcW w:type="dxa" w:w="6048"/>
            <w:shd w:fill="F8FAFC"/>
            <w:tcMar>
              <w:top w:w="60" w:type="dxa"/>
              <w:bottom w:w="60" w:type="dxa"/>
              <w:left w:w="100" w:type="dxa"/>
              <w:right w:w="100" w:type="dxa"/>
            </w:tcMar>
          </w:tcPr>
          <w:p>
            <w:pPr>
              <w:spacing w:before="40" w:after="40" w:line="264" w:lineRule="auto"/>
            </w:pPr>
            <w:r>
              <w:rPr>
                <w:rFonts w:ascii="Calibri" w:hAnsi="Calibri"/>
                <w:color w:val="0F172A"/>
                <w:sz w:val="17"/>
              </w:rPr>
              <w:t>cross-encoder/nli-deberta-v3-base (Premise-Hypothesis Entailment)</w:t>
            </w:r>
          </w:p>
        </w:tc>
      </w:tr>
      <w:tr>
        <w:tc>
          <w:tcPr>
            <w:tcW w:type="dxa" w:w="3312"/>
            <w:shd w:fill="FFFFFF"/>
            <w:tcMar>
              <w:top w:w="60" w:type="dxa"/>
              <w:bottom w:w="60" w:type="dxa"/>
              <w:left w:w="100" w:type="dxa"/>
              <w:right w:w="100" w:type="dxa"/>
            </w:tcMar>
          </w:tcPr>
          <w:p>
            <w:pPr>
              <w:spacing w:before="40" w:after="40" w:line="264" w:lineRule="auto"/>
            </w:pPr>
            <w:r>
              <w:rPr>
                <w:rFonts w:ascii="Calibri" w:hAnsi="Calibri"/>
                <w:color w:val="0F172A"/>
                <w:sz w:val="17"/>
              </w:rPr>
              <w:t>Retrieval Orchestration</w:t>
            </w:r>
          </w:p>
        </w:tc>
        <w:tc>
          <w:tcPr>
            <w:tcW w:type="dxa" w:w="6048"/>
            <w:shd w:fill="FFFFFF"/>
            <w:tcMar>
              <w:top w:w="60" w:type="dxa"/>
              <w:bottom w:w="60" w:type="dxa"/>
              <w:left w:w="100" w:type="dxa"/>
              <w:right w:w="100" w:type="dxa"/>
            </w:tcMar>
          </w:tcPr>
          <w:p>
            <w:pPr>
              <w:spacing w:before="40" w:after="40" w:line="264" w:lineRule="auto"/>
            </w:pPr>
            <w:r>
              <w:rPr>
                <w:rFonts w:ascii="Calibri" w:hAnsi="Calibri"/>
                <w:color w:val="0F172A"/>
                <w:sz w:val="17"/>
              </w:rPr>
              <w:t>n8n Cloud Webhook Workflow V2.0 (Multi-Domain Live Adapters + Tavily AI)</w:t>
            </w:r>
          </w:p>
        </w:tc>
      </w:tr>
      <w:tr>
        <w:tc>
          <w:tcPr>
            <w:tcW w:type="dxa" w:w="3312"/>
            <w:shd w:fill="F8FAFC"/>
            <w:tcMar>
              <w:top w:w="60" w:type="dxa"/>
              <w:bottom w:w="60" w:type="dxa"/>
              <w:left w:w="100" w:type="dxa"/>
              <w:right w:w="100" w:type="dxa"/>
            </w:tcMar>
          </w:tcPr>
          <w:p>
            <w:pPr>
              <w:spacing w:before="40" w:after="40" w:line="264" w:lineRule="auto"/>
            </w:pPr>
            <w:r>
              <w:rPr>
                <w:rFonts w:ascii="Calibri" w:hAnsi="Calibri"/>
                <w:color w:val="0F172A"/>
                <w:sz w:val="17"/>
              </w:rPr>
              <w:t>Benchmark Performance</w:t>
            </w:r>
          </w:p>
        </w:tc>
        <w:tc>
          <w:tcPr>
            <w:tcW w:type="dxa" w:w="6048"/>
            <w:shd w:fill="F8FAFC"/>
            <w:tcMar>
              <w:top w:w="60" w:type="dxa"/>
              <w:bottom w:w="60" w:type="dxa"/>
              <w:left w:w="100" w:type="dxa"/>
              <w:right w:w="100" w:type="dxa"/>
            </w:tcMar>
          </w:tcPr>
          <w:p>
            <w:pPr>
              <w:spacing w:before="40" w:after="40" w:line="264" w:lineRule="auto"/>
            </w:pPr>
            <w:r>
              <w:rPr>
                <w:rFonts w:ascii="Calibri" w:hAnsi="Calibri"/>
                <w:color w:val="0F172A"/>
                <w:sz w:val="17"/>
              </w:rPr>
              <w:t>74.29% Accuracy | 100% Verified Precision | 100% Contradicted Precision | 0.0% FVR</w:t>
            </w:r>
          </w:p>
        </w:tc>
      </w:tr>
      <w:tr>
        <w:tc>
          <w:tcPr>
            <w:tcW w:type="dxa" w:w="3312"/>
            <w:shd w:fill="FFFFFF"/>
            <w:tcMar>
              <w:top w:w="60" w:type="dxa"/>
              <w:bottom w:w="60" w:type="dxa"/>
              <w:left w:w="100" w:type="dxa"/>
              <w:right w:w="100" w:type="dxa"/>
            </w:tcMar>
          </w:tcPr>
          <w:p>
            <w:pPr>
              <w:spacing w:before="40" w:after="40" w:line="264" w:lineRule="auto"/>
            </w:pPr>
            <w:r>
              <w:rPr>
                <w:rFonts w:ascii="Calibri" w:hAnsi="Calibri"/>
                <w:color w:val="0F172A"/>
                <w:sz w:val="17"/>
              </w:rPr>
              <w:t>Hardware &amp; Acceleration</w:t>
            </w:r>
          </w:p>
        </w:tc>
        <w:tc>
          <w:tcPr>
            <w:tcW w:type="dxa" w:w="6048"/>
            <w:shd w:fill="FFFFFF"/>
            <w:tcMar>
              <w:top w:w="60" w:type="dxa"/>
              <w:bottom w:w="60" w:type="dxa"/>
              <w:left w:w="100" w:type="dxa"/>
              <w:right w:w="100" w:type="dxa"/>
            </w:tcMar>
          </w:tcPr>
          <w:p>
            <w:pPr>
              <w:spacing w:before="40" w:after="40" w:line="264" w:lineRule="auto"/>
            </w:pPr>
            <w:r>
              <w:rPr>
                <w:rFonts w:ascii="Calibri" w:hAnsi="Calibri"/>
                <w:color w:val="0F172A"/>
                <w:sz w:val="17"/>
              </w:rPr>
              <w:t>NVIDIA RTX 3050 Mobile / CUDA 12.8 / PyTorch 2.6.0+cu126 / Windows 11 Host</w:t>
            </w:r>
          </w:p>
        </w:tc>
      </w:tr>
      <w:tr>
        <w:tc>
          <w:tcPr>
            <w:tcW w:type="dxa" w:w="3312"/>
            <w:shd w:fill="F8FAFC"/>
            <w:tcMar>
              <w:top w:w="60" w:type="dxa"/>
              <w:bottom w:w="60" w:type="dxa"/>
              <w:left w:w="100" w:type="dxa"/>
              <w:right w:w="100" w:type="dxa"/>
            </w:tcMar>
          </w:tcPr>
          <w:p>
            <w:pPr>
              <w:spacing w:before="40" w:after="40" w:line="264" w:lineRule="auto"/>
            </w:pPr>
            <w:r>
              <w:rPr>
                <w:rFonts w:ascii="Calibri" w:hAnsi="Calibri"/>
                <w:color w:val="0F172A"/>
                <w:sz w:val="17"/>
              </w:rPr>
              <w:t>Automated Test Coverage</w:t>
            </w:r>
          </w:p>
        </w:tc>
        <w:tc>
          <w:tcPr>
            <w:tcW w:type="dxa" w:w="6048"/>
            <w:shd w:fill="F8FAFC"/>
            <w:tcMar>
              <w:top w:w="60" w:type="dxa"/>
              <w:bottom w:w="60" w:type="dxa"/>
              <w:left w:w="100" w:type="dxa"/>
              <w:right w:w="100" w:type="dxa"/>
            </w:tcMar>
          </w:tcPr>
          <w:p>
            <w:pPr>
              <w:spacing w:before="40" w:after="40" w:line="264" w:lineRule="auto"/>
            </w:pPr>
            <w:r>
              <w:rPr>
                <w:rFonts w:ascii="Calibri" w:hAnsi="Calibri"/>
                <w:color w:val="0F172A"/>
                <w:sz w:val="17"/>
              </w:rPr>
              <w:t>236 Unit, Integration &amp; Property-Based Tests Passing (0 Failures)</w:t>
            </w:r>
          </w:p>
        </w:tc>
      </w:tr>
      <w:tr>
        <w:tc>
          <w:tcPr>
            <w:tcW w:type="dxa" w:w="3312"/>
            <w:shd w:fill="FFFFFF"/>
            <w:tcMar>
              <w:top w:w="60" w:type="dxa"/>
              <w:bottom w:w="60" w:type="dxa"/>
              <w:left w:w="100" w:type="dxa"/>
              <w:right w:w="100" w:type="dxa"/>
            </w:tcMar>
          </w:tcPr>
          <w:p>
            <w:pPr>
              <w:spacing w:before="40" w:after="40" w:line="264" w:lineRule="auto"/>
            </w:pPr>
            <w:r>
              <w:rPr>
                <w:rFonts w:ascii="Calibri" w:hAnsi="Calibri"/>
                <w:color w:val="0F172A"/>
                <w:sz w:val="17"/>
              </w:rPr>
              <w:t>Security &amp; Auditability</w:t>
            </w:r>
          </w:p>
        </w:tc>
        <w:tc>
          <w:tcPr>
            <w:tcW w:type="dxa" w:w="6048"/>
            <w:shd w:fill="FFFFFF"/>
            <w:tcMar>
              <w:top w:w="60" w:type="dxa"/>
              <w:bottom w:w="60" w:type="dxa"/>
              <w:left w:w="100" w:type="dxa"/>
              <w:right w:w="100" w:type="dxa"/>
            </w:tcMar>
          </w:tcPr>
          <w:p>
            <w:pPr>
              <w:spacing w:before="40" w:after="40" w:line="264" w:lineRule="auto"/>
            </w:pPr>
            <w:r>
              <w:rPr>
                <w:rFonts w:ascii="Calibri" w:hAnsi="Calibri"/>
                <w:color w:val="0F172A"/>
                <w:sz w:val="17"/>
              </w:rPr>
              <w:t>Zero-Secret Logging Policy, HMAC Webhook Headers, Complete Trace Provenance</w:t>
            </w:r>
          </w:p>
        </w:tc>
      </w:tr>
    </w:tbl>
    <w:p>
      <w:pPr>
        <w:spacing w:after="80"/>
      </w:pPr>
    </w:p>
    <w:p>
      <w:r>
        <w:br w:type="page"/>
      </w:r>
    </w:p>
    <w:p>
      <w:pPr>
        <w:keepNext/>
        <w:spacing w:before="320" w:after="100"/>
      </w:pPr>
      <w:r>
        <w:rPr>
          <w:rFonts w:ascii="Calibri" w:hAnsi="Calibri"/>
          <w:b/>
          <w:color w:val="1A365D"/>
          <w:sz w:val="32"/>
        </w:rPr>
        <w:t>Executive Summary: Enterprise AI Factuality at Scale</w:t>
      </w:r>
    </w:p>
    <w:p>
      <w:pPr>
        <w:spacing w:before="0" w:after="80" w:line="276" w:lineRule="auto"/>
      </w:pPr>
      <w:r>
        <w:rPr>
          <w:rFonts w:ascii="Calibri" w:hAnsi="Calibri"/>
          <w:color w:val="0F172A"/>
          <w:sz w:val="19"/>
        </w:rPr>
        <w:t>Large Language Models (LLMs) generate fluent, structurally persuasive, yet factually incorrect statements—a phenomenon widely classified as machine hallucination. In mission-critical domains such as clinical healthcare, cyber incident response, legal compliance, and financial intelligence, hallucinated outputs present catastrophic organizational risk. Traditional mitigation strategies, including unconstrained Retrieval-Augmented Generation (RAG) and self-consistency prompting, frequently fail because they lack deterministic polarity verification, domain-specific authority gating, and formal evidence consensus mathematics.</w:t>
      </w:r>
    </w:p>
    <w:p>
      <w:pPr>
        <w:spacing w:before="0" w:after="80" w:line="276" w:lineRule="auto"/>
      </w:pPr>
      <w:r>
        <w:rPr>
          <w:rFonts w:ascii="Calibri" w:hAnsi="Calibri"/>
          <w:color w:val="0F172A"/>
          <w:sz w:val="19"/>
        </w:rPr>
        <w:t>HalluciGuard is an enterprise-grade, multi-agent AI framework engineered to detect, isolate, and factually verify LLM-generated claims in real time. The architecture integrates four core subsystems: (1) a fine-tuned HaluEval DistilBERT sequence classifier that acts as an instantaneous risk-gating router; (2) an automated claim decomposition and SVO (Subject-Verb-Object) relation extraction engine; (3) a multi-domain n8n Cloud retrieval workflow that queries primary authoritative APIs across five vertical sectors with automated Tavily AI fallback; and (4) a dual cross-encoder inference pipeline combining BAAI/bge-reranker-large for semantic relevance with cross-encoder/nli-deberta-v3-base for three-way Natural Language Inference (Entailment, Contradiction, Neutral).</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1A365D"/>
              <w:top w:val="none"/>
              <w:bottom w:val="none"/>
              <w:right w:val="none"/>
            </w:tcBorders>
          </w:tcPr>
          <w:p>
            <w:pPr>
              <w:spacing w:before="40" w:after="40" w:line="276" w:lineRule="auto"/>
            </w:pPr>
            <w:r>
              <w:rPr>
                <w:rFonts w:ascii="Calibri" w:hAnsi="Calibri"/>
                <w:b/>
                <w:color w:val="1A365D"/>
                <w:sz w:val="20"/>
              </w:rPr>
              <w:t>■ CORE DESIGN PHILOSOPHY: DETERMINISTIC GROUNDING OVER HEURISTIC GUESSING</w:t>
              <w:br/>
            </w:r>
            <w:r>
              <w:rPr>
                <w:rFonts w:ascii="Calibri" w:hAnsi="Calibri"/>
                <w:color w:val="0F172A"/>
                <w:sz w:val="19"/>
              </w:rPr>
              <w:t>HalluciGuard enforces a strict fail-closed contract. If authoritative evidence is missing, ambiguous, or mutually contradictory, the system explicitly yields an UNVERIFIED or CONFLICTED verdict. It never synthesizes artificial certainty. In its empirical V1.7 35-claim benchmark across five operational domains, HalluciGuard achieved 100% precision on Verified claims, 100% precision on Contradicted claims, and a 0.00% False Verification Rate (FVR), establishing a dependable boundary against false confidence.</w:t>
            </w:r>
          </w:p>
        </w:tc>
      </w:tr>
    </w:tbl>
    <w:p>
      <w:pPr>
        <w:spacing w:after="40"/>
      </w:pPr>
    </w:p>
    <w:p>
      <w:pPr>
        <w:spacing w:before="120" w:after="40"/>
        <w:jc w:val="center"/>
      </w:pPr>
      <w:r>
        <w:drawing>
          <wp:inline xmlns:a="http://schemas.openxmlformats.org/drawingml/2006/main" xmlns:pic="http://schemas.openxmlformats.org/drawingml/2006/picture">
            <wp:extent cx="5669280" cy="3261332"/>
            <wp:docPr id="1" name="Picture 1"/>
            <wp:cNvGraphicFramePr>
              <a:graphicFrameLocks noChangeAspect="1"/>
            </wp:cNvGraphicFramePr>
            <a:graphic>
              <a:graphicData uri="http://schemas.openxmlformats.org/drawingml/2006/picture">
                <pic:pic>
                  <pic:nvPicPr>
                    <pic:cNvPr id="0" name="fig01_system_architecture.png"/>
                    <pic:cNvPicPr/>
                  </pic:nvPicPr>
                  <pic:blipFill>
                    <a:blip r:embed="rId9"/>
                    <a:stretch>
                      <a:fillRect/>
                    </a:stretch>
                  </pic:blipFill>
                  <pic:spPr>
                    <a:xfrm>
                      <a:off x="0" y="0"/>
                      <a:ext cx="5669280" cy="3261332"/>
                    </a:xfrm>
                    <a:prstGeom prst="rect"/>
                  </pic:spPr>
                </pic:pic>
              </a:graphicData>
            </a:graphic>
          </wp:inline>
        </w:drawing>
      </w:r>
    </w:p>
    <w:p>
      <w:pPr>
        <w:spacing w:before="40" w:after="160"/>
        <w:jc w:val="center"/>
      </w:pPr>
      <w:r>
        <w:rPr>
          <w:rFonts w:ascii="Calibri" w:hAnsi="Calibri"/>
          <w:b/>
          <w:color w:val="1A365D"/>
          <w:sz w:val="17"/>
        </w:rPr>
        <w:t xml:space="preserve">Figure 1: System-Level Architecture — </w:t>
      </w:r>
      <w:r>
        <w:rPr>
          <w:rFonts w:ascii="Calibri" w:hAnsi="Calibri"/>
          <w:i/>
          <w:color w:val="475569"/>
          <w:sz w:val="16"/>
        </w:rPr>
        <w:t>End-to-end execution pipeline from Base LLM generation to HaluEval detection, n8n live retrieval, BGE reranking, DeBERTa NLI, and 4-state verdict determination.</w:t>
      </w:r>
    </w:p>
    <w:p>
      <w:pPr>
        <w:keepNext/>
        <w:spacing w:before="320" w:after="100"/>
      </w:pPr>
      <w:r>
        <w:rPr>
          <w:rFonts w:ascii="Calibri" w:hAnsi="Calibri"/>
          <w:b/>
          <w:color w:val="1A365D"/>
          <w:sz w:val="32"/>
        </w:rPr>
        <w:t>1. Problem Definition &amp; Hallucination Taxonomy</w:t>
      </w:r>
    </w:p>
    <w:p>
      <w:pPr>
        <w:spacing w:before="0" w:after="80" w:line="276" w:lineRule="auto"/>
      </w:pPr>
      <w:r>
        <w:rPr>
          <w:rFonts w:ascii="Calibri" w:hAnsi="Calibri"/>
          <w:color w:val="0F172A"/>
          <w:sz w:val="19"/>
        </w:rPr>
        <w:t>LLM hallucinations emerge from probabilistic token prediction without an internal world state. HalluciGuard categorizes hallucinations into four distinct failure modalities, each addressed by dedicated architectural defenses:</w:t>
      </w:r>
    </w:p>
    <w:p>
      <w:pPr>
        <w:pStyle w:val="ListBullet"/>
        <w:spacing w:before="0" w:after="40" w:line="269" w:lineRule="auto"/>
      </w:pPr>
      <w:r>
        <w:rPr>
          <w:rFonts w:ascii="Calibri" w:hAnsi="Calibri"/>
          <w:b/>
          <w:color w:val="1A365D"/>
          <w:sz w:val="19"/>
        </w:rPr>
        <w:t xml:space="preserve">Entity Fabrication: </w:t>
      </w:r>
      <w:r>
        <w:rPr>
          <w:rFonts w:ascii="Calibri" w:hAnsi="Calibri"/>
          <w:color w:val="0F172A"/>
          <w:sz w:val="19"/>
        </w:rPr>
        <w:t>Inventing non-existent CVE identifiers, synthetic drug compounds, fictitious scientific papers, or non-existent corporations.</w:t>
      </w:r>
    </w:p>
    <w:p>
      <w:pPr>
        <w:pStyle w:val="ListBullet"/>
        <w:spacing w:before="0" w:after="40" w:line="269" w:lineRule="auto"/>
      </w:pPr>
      <w:r>
        <w:rPr>
          <w:rFonts w:ascii="Calibri" w:hAnsi="Calibri"/>
          <w:b/>
          <w:color w:val="1A365D"/>
          <w:sz w:val="19"/>
        </w:rPr>
        <w:t xml:space="preserve">Relational Misattribution: </w:t>
      </w:r>
      <w:r>
        <w:rPr>
          <w:rFonts w:ascii="Calibri" w:hAnsi="Calibri"/>
          <w:color w:val="0F172A"/>
          <w:sz w:val="19"/>
        </w:rPr>
        <w:t>Correctly identifying entities but reversing or corrupting their predicate relationships (e.g., claiming a movie director is the father of a co-star).</w:t>
      </w:r>
    </w:p>
    <w:p>
      <w:pPr>
        <w:pStyle w:val="ListBullet"/>
        <w:spacing w:before="0" w:after="40" w:line="269" w:lineRule="auto"/>
      </w:pPr>
      <w:r>
        <w:rPr>
          <w:rFonts w:ascii="Calibri" w:hAnsi="Calibri"/>
          <w:b/>
          <w:color w:val="1A365D"/>
          <w:sz w:val="19"/>
        </w:rPr>
        <w:t xml:space="preserve">Temporal Drift &amp; Anachronism: </w:t>
      </w:r>
      <w:r>
        <w:rPr>
          <w:rFonts w:ascii="Calibri" w:hAnsi="Calibri"/>
          <w:color w:val="0F172A"/>
          <w:sz w:val="19"/>
        </w:rPr>
        <w:t>Treating historical states as current or predicting future milestones as established historical facts.</w:t>
      </w:r>
    </w:p>
    <w:p>
      <w:pPr>
        <w:pStyle w:val="ListBullet"/>
        <w:spacing w:before="0" w:after="40" w:line="269" w:lineRule="auto"/>
      </w:pPr>
      <w:r>
        <w:rPr>
          <w:rFonts w:ascii="Calibri" w:hAnsi="Calibri"/>
          <w:b/>
          <w:color w:val="1A365D"/>
          <w:sz w:val="19"/>
        </w:rPr>
        <w:t xml:space="preserve">Subtle Proposition Distortion: </w:t>
      </w:r>
      <w:r>
        <w:rPr>
          <w:rFonts w:ascii="Calibri" w:hAnsi="Calibri"/>
          <w:color w:val="0F172A"/>
          <w:sz w:val="19"/>
        </w:rPr>
        <w:t>Embedding false numerical values, contraindications, or negation reversals inside otherwise factual paragraphs.</w:t>
      </w:r>
    </w:p>
    <w:p>
      <w:pPr>
        <w:keepNext/>
        <w:spacing w:before="320" w:after="100"/>
      </w:pPr>
      <w:r>
        <w:rPr>
          <w:rFonts w:ascii="Calibri" w:hAnsi="Calibri"/>
          <w:b/>
          <w:color w:val="1A365D"/>
          <w:sz w:val="32"/>
        </w:rPr>
        <w:t>2. Detector Agent Architecture &amp; Risk Routing Engine</w:t>
      </w:r>
    </w:p>
    <w:p>
      <w:pPr>
        <w:spacing w:before="0" w:after="80" w:line="276" w:lineRule="auto"/>
      </w:pPr>
      <w:r>
        <w:rPr>
          <w:rFonts w:ascii="Calibri" w:hAnsi="Calibri"/>
          <w:color w:val="0F172A"/>
          <w:sz w:val="19"/>
        </w:rPr>
        <w:t>The Detector Agent serves as the high-throughput, low-latency entry gate for all candidate text generated by Base LLMs. Executing on local GPU hardware via PyTorch, the detector evaluates the paired query and candidate response to compute a calibrated hallucination probability score within 15 milliseconds.</w:t>
      </w:r>
    </w:p>
    <w:p>
      <w:pPr>
        <w:spacing w:before="120" w:after="40"/>
        <w:jc w:val="center"/>
      </w:pPr>
      <w:r>
        <w:drawing>
          <wp:inline xmlns:a="http://schemas.openxmlformats.org/drawingml/2006/main" xmlns:pic="http://schemas.openxmlformats.org/drawingml/2006/picture">
            <wp:extent cx="5669280" cy="3296350"/>
            <wp:docPr id="2" name="Picture 2"/>
            <wp:cNvGraphicFramePr>
              <a:graphicFrameLocks noChangeAspect="1"/>
            </wp:cNvGraphicFramePr>
            <a:graphic>
              <a:graphicData uri="http://schemas.openxmlformats.org/drawingml/2006/picture">
                <pic:pic>
                  <pic:nvPicPr>
                    <pic:cNvPr id="0" name="fig02_detector_routing.png"/>
                    <pic:cNvPicPr/>
                  </pic:nvPicPr>
                  <pic:blipFill>
                    <a:blip r:embed="rId10"/>
                    <a:stretch>
                      <a:fillRect/>
                    </a:stretch>
                  </pic:blipFill>
                  <pic:spPr>
                    <a:xfrm>
                      <a:off x="0" y="0"/>
                      <a:ext cx="5669280" cy="3296350"/>
                    </a:xfrm>
                    <a:prstGeom prst="rect"/>
                  </pic:spPr>
                </pic:pic>
              </a:graphicData>
            </a:graphic>
          </wp:inline>
        </w:drawing>
      </w:r>
    </w:p>
    <w:p>
      <w:pPr>
        <w:spacing w:before="40" w:after="160"/>
        <w:jc w:val="center"/>
      </w:pPr>
      <w:r>
        <w:rPr>
          <w:rFonts w:ascii="Calibri" w:hAnsi="Calibri"/>
          <w:b/>
          <w:color w:val="1A365D"/>
          <w:sz w:val="17"/>
        </w:rPr>
        <w:t xml:space="preserve">Figure 2: Detector Agent &amp; Risk Routing Gating — </w:t>
      </w:r>
      <w:r>
        <w:rPr>
          <w:rFonts w:ascii="Calibri" w:hAnsi="Calibri"/>
          <w:i/>
          <w:color w:val="475569"/>
          <w:sz w:val="16"/>
        </w:rPr>
        <w:t>HaluEval DistilBERT forward pass, informational runtime diagnostics, and three-tier risk gating matrix.</w:t>
      </w:r>
    </w:p>
    <w:p>
      <w:pPr>
        <w:keepNext/>
        <w:spacing w:before="220" w:after="60"/>
      </w:pPr>
      <w:r>
        <w:rPr>
          <w:rFonts w:ascii="Calibri" w:hAnsi="Calibri"/>
          <w:b/>
          <w:color w:val="0D9488"/>
          <w:sz w:val="25"/>
        </w:rPr>
        <w:t>2.1 Model Specifications &amp; Execution Contract</w:t>
      </w:r>
    </w:p>
    <w:p>
      <w:pPr>
        <w:pStyle w:val="ListBullet"/>
        <w:spacing w:before="0" w:after="40" w:line="269" w:lineRule="auto"/>
      </w:pPr>
      <w:r>
        <w:rPr>
          <w:rFonts w:ascii="Calibri" w:hAnsi="Calibri"/>
          <w:b/>
          <w:color w:val="1A365D"/>
          <w:sz w:val="19"/>
        </w:rPr>
        <w:t xml:space="preserve">HuggingFace Hub Identifier: </w:t>
      </w:r>
      <w:r>
        <w:rPr>
          <w:rFonts w:ascii="Calibri" w:hAnsi="Calibri"/>
          <w:color w:val="0F172A"/>
          <w:sz w:val="19"/>
        </w:rPr>
        <w:t>Manjunath2000006/halluciguard-detector</w:t>
      </w:r>
    </w:p>
    <w:p>
      <w:pPr>
        <w:pStyle w:val="ListBullet"/>
        <w:spacing w:before="0" w:after="40" w:line="269" w:lineRule="auto"/>
      </w:pPr>
      <w:r>
        <w:rPr>
          <w:rFonts w:ascii="Calibri" w:hAnsi="Calibri"/>
          <w:b/>
          <w:color w:val="1A365D"/>
          <w:sz w:val="19"/>
        </w:rPr>
        <w:t xml:space="preserve">Base Model Architecture: </w:t>
      </w:r>
      <w:r>
        <w:rPr>
          <w:rFonts w:ascii="Calibri" w:hAnsi="Calibri"/>
          <w:color w:val="0F172A"/>
          <w:sz w:val="19"/>
        </w:rPr>
        <w:t>DistilBERT (distilbert-base-uncased, 66M parameters)</w:t>
      </w:r>
    </w:p>
    <w:p>
      <w:pPr>
        <w:pStyle w:val="ListBullet"/>
        <w:spacing w:before="0" w:after="40" w:line="269" w:lineRule="auto"/>
      </w:pPr>
      <w:r>
        <w:rPr>
          <w:rFonts w:ascii="Calibri" w:hAnsi="Calibri"/>
          <w:b/>
          <w:color w:val="1A365D"/>
          <w:sz w:val="19"/>
        </w:rPr>
        <w:t xml:space="preserve">Fine-Tuning Dataset: </w:t>
      </w:r>
      <w:r>
        <w:rPr>
          <w:rFonts w:ascii="Calibri" w:hAnsi="Calibri"/>
          <w:color w:val="0F172A"/>
          <w:sz w:val="19"/>
        </w:rPr>
        <w:t>HaluEval Benchmark (General, QA, and Dialogue Hallucination Subsets)</w:t>
      </w:r>
    </w:p>
    <w:p>
      <w:pPr>
        <w:pStyle w:val="ListBullet"/>
        <w:spacing w:before="0" w:after="40" w:line="269" w:lineRule="auto"/>
      </w:pPr>
      <w:r>
        <w:rPr>
          <w:rFonts w:ascii="Calibri" w:hAnsi="Calibri"/>
          <w:b/>
          <w:color w:val="1A365D"/>
          <w:sz w:val="19"/>
        </w:rPr>
        <w:t xml:space="preserve">Input Tokenization: </w:t>
      </w:r>
      <w:r>
        <w:rPr>
          <w:rFonts w:ascii="Calibri" w:hAnsi="Calibri"/>
          <w:color w:val="0F172A"/>
          <w:sz w:val="19"/>
        </w:rPr>
        <w:t>[CLS] user_query [SEP] llm_response [SEP] (max_length = 384 tokens)</w:t>
      </w:r>
    </w:p>
    <w:p>
      <w:pPr>
        <w:pStyle w:val="ListBullet"/>
        <w:spacing w:before="0" w:after="40" w:line="269" w:lineRule="auto"/>
      </w:pPr>
      <w:r>
        <w:rPr>
          <w:rFonts w:ascii="Calibri" w:hAnsi="Calibri"/>
          <w:b/>
          <w:color w:val="1A365D"/>
          <w:sz w:val="19"/>
        </w:rPr>
        <w:t xml:space="preserve">Inference Latency: </w:t>
      </w:r>
      <w:r>
        <w:rPr>
          <w:rFonts w:ascii="Calibri" w:hAnsi="Calibri"/>
          <w:color w:val="0F172A"/>
          <w:sz w:val="19"/>
        </w:rPr>
        <w:t>12.4 ms (CUDA RTX 3050) / 48.2 ms (CPU fallback)</w:t>
      </w:r>
    </w:p>
    <w:p>
      <w:pPr>
        <w:keepNext/>
        <w:spacing w:before="220" w:after="60"/>
      </w:pPr>
      <w:r>
        <w:rPr>
          <w:rFonts w:ascii="Calibri" w:hAnsi="Calibri"/>
          <w:b/>
          <w:color w:val="0D9488"/>
          <w:sz w:val="25"/>
        </w:rPr>
        <w:t>2.2 Dynamic Risk Routing Policy</w:t>
      </w:r>
    </w:p>
    <w:p>
      <w:pPr>
        <w:spacing w:before="0" w:after="80" w:line="276" w:lineRule="auto"/>
      </w:pPr>
      <w:r>
        <w:rPr>
          <w:rFonts w:ascii="Calibri" w:hAnsi="Calibri"/>
          <w:color w:val="0F172A"/>
          <w:sz w:val="19"/>
        </w:rPr>
        <w:t>Based on the output probability distribution, the Risk Router assigns one of three operational risk tiers: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584"/>
            <w:shd w:fill="1A365D"/>
            <w:tcMar>
              <w:top w:w="80" w:type="dxa"/>
              <w:bottom w:w="80" w:type="dxa"/>
              <w:left w:w="100" w:type="dxa"/>
              <w:right w:w="100" w:type="dxa"/>
            </w:tcMar>
          </w:tcPr>
          <w:p>
            <w:pPr>
              <w:spacing w:before="40" w:after="40"/>
            </w:pPr>
            <w:r>
              <w:rPr>
                <w:rFonts w:ascii="Calibri" w:hAnsi="Calibri"/>
                <w:b/>
                <w:color w:val="FFFFFF"/>
                <w:sz w:val="18"/>
              </w:rPr>
              <w:t>RISK LEVEL</w:t>
            </w:r>
          </w:p>
        </w:tc>
        <w:tc>
          <w:tcPr>
            <w:tcW w:type="dxa" w:w="2016"/>
            <w:shd w:fill="1A365D"/>
            <w:tcMar>
              <w:top w:w="80" w:type="dxa"/>
              <w:bottom w:w="80" w:type="dxa"/>
              <w:left w:w="100" w:type="dxa"/>
              <w:right w:w="100" w:type="dxa"/>
            </w:tcMar>
          </w:tcPr>
          <w:p>
            <w:pPr>
              <w:spacing w:before="40" w:after="40"/>
            </w:pPr>
            <w:r>
              <w:rPr>
                <w:rFonts w:ascii="Calibri" w:hAnsi="Calibri"/>
                <w:b/>
                <w:color w:val="FFFFFF"/>
                <w:sz w:val="18"/>
              </w:rPr>
              <w:t>PROBABILITY RANGE</w:t>
            </w:r>
          </w:p>
        </w:tc>
        <w:tc>
          <w:tcPr>
            <w:tcW w:type="dxa" w:w="1440"/>
            <w:shd w:fill="1A365D"/>
            <w:tcMar>
              <w:top w:w="80" w:type="dxa"/>
              <w:bottom w:w="80" w:type="dxa"/>
              <w:left w:w="100" w:type="dxa"/>
              <w:right w:w="100" w:type="dxa"/>
            </w:tcMar>
          </w:tcPr>
          <w:p>
            <w:pPr>
              <w:spacing w:before="40" w:after="40"/>
            </w:pPr>
            <w:r>
              <w:rPr>
                <w:rFonts w:ascii="Calibri" w:hAnsi="Calibri"/>
                <w:b/>
                <w:color w:val="FFFFFF"/>
                <w:sz w:val="18"/>
              </w:rPr>
              <w:t>DISPATCH ACTION</w:t>
            </w:r>
          </w:p>
        </w:tc>
        <w:tc>
          <w:tcPr>
            <w:tcW w:type="dxa" w:w="1584"/>
            <w:shd w:fill="1A365D"/>
            <w:tcMar>
              <w:top w:w="80" w:type="dxa"/>
              <w:bottom w:w="80" w:type="dxa"/>
              <w:left w:w="100" w:type="dxa"/>
              <w:right w:w="100" w:type="dxa"/>
            </w:tcMar>
          </w:tcPr>
          <w:p>
            <w:pPr>
              <w:spacing w:before="40" w:after="40"/>
            </w:pPr>
            <w:r>
              <w:rPr>
                <w:rFonts w:ascii="Calibri" w:hAnsi="Calibri"/>
                <w:b/>
                <w:color w:val="FFFFFF"/>
                <w:sz w:val="18"/>
              </w:rPr>
              <w:t>SYSTEM LATENCY</w:t>
            </w:r>
          </w:p>
        </w:tc>
        <w:tc>
          <w:tcPr>
            <w:tcW w:type="dxa" w:w="2736"/>
            <w:shd w:fill="1A365D"/>
            <w:tcMar>
              <w:top w:w="80" w:type="dxa"/>
              <w:bottom w:w="80" w:type="dxa"/>
              <w:left w:w="100" w:type="dxa"/>
              <w:right w:w="100" w:type="dxa"/>
            </w:tcMar>
          </w:tcPr>
          <w:p>
            <w:pPr>
              <w:spacing w:before="40" w:after="40"/>
            </w:pPr>
            <w:r>
              <w:rPr>
                <w:rFonts w:ascii="Calibri" w:hAnsi="Calibri"/>
                <w:b/>
                <w:color w:val="FFFFFF"/>
                <w:sz w:val="18"/>
              </w:rPr>
              <w:t>OPERATIONAL BEHAVIOR</w:t>
            </w:r>
          </w:p>
        </w:tc>
      </w:tr>
      <w:tr>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LOW</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P(Hallucination) ≤ 0.30</w:t>
            </w:r>
          </w:p>
        </w:tc>
        <w:tc>
          <w:tcPr>
            <w:tcW w:type="dxa" w:w="1440"/>
            <w:shd w:fill="FFFFFF"/>
            <w:tcMar>
              <w:top w:w="60" w:type="dxa"/>
              <w:bottom w:w="60" w:type="dxa"/>
              <w:left w:w="100" w:type="dxa"/>
              <w:right w:w="100" w:type="dxa"/>
            </w:tcMar>
          </w:tcPr>
          <w:p>
            <w:pPr>
              <w:spacing w:before="40" w:after="40" w:line="264" w:lineRule="auto"/>
            </w:pPr>
            <w:r>
              <w:rPr>
                <w:rFonts w:ascii="Calibri" w:hAnsi="Calibri"/>
                <w:color w:val="0F172A"/>
                <w:sz w:val="17"/>
              </w:rPr>
              <w:t>ACCEPT</w:t>
            </w:r>
          </w:p>
        </w:tc>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&lt; 50 ms</w:t>
            </w:r>
          </w:p>
        </w:tc>
        <w:tc>
          <w:tcPr>
            <w:tcW w:type="dxa" w:w="2736"/>
            <w:shd w:fill="FFFFFF"/>
            <w:tcMar>
              <w:top w:w="60" w:type="dxa"/>
              <w:bottom w:w="60" w:type="dxa"/>
              <w:left w:w="100" w:type="dxa"/>
              <w:right w:w="100" w:type="dxa"/>
            </w:tcMar>
          </w:tcPr>
          <w:p>
            <w:pPr>
              <w:spacing w:before="40" w:after="40" w:line="264" w:lineRule="auto"/>
            </w:pPr>
            <w:r>
              <w:rPr>
                <w:rFonts w:ascii="Calibri" w:hAnsi="Calibri"/>
                <w:color w:val="0F172A"/>
                <w:sz w:val="17"/>
              </w:rPr>
              <w:t>Bypasses Verifier; passes response directly to user.</w:t>
            </w:r>
          </w:p>
        </w:tc>
      </w:tr>
      <w:tr>
        <w:tc>
          <w:tcPr>
            <w:tcW w:type="dxa" w:w="1584"/>
            <w:shd w:fill="F8FAFC"/>
            <w:tcMar>
              <w:top w:w="60" w:type="dxa"/>
              <w:bottom w:w="60" w:type="dxa"/>
              <w:left w:w="100" w:type="dxa"/>
              <w:right w:w="100" w:type="dxa"/>
            </w:tcMar>
          </w:tcPr>
          <w:p>
            <w:pPr>
              <w:spacing w:before="40" w:after="40" w:line="264" w:lineRule="auto"/>
            </w:pPr>
            <w:r>
              <w:rPr>
                <w:rFonts w:ascii="Calibri" w:hAnsi="Calibri"/>
                <w:b/>
                <w:color w:val="D97706"/>
                <w:sz w:val="17"/>
              </w:rPr>
              <w:t>MEDIUM</w:t>
            </w:r>
          </w:p>
        </w:tc>
        <w:tc>
          <w:tcPr>
            <w:tcW w:type="dxa" w:w="2016"/>
            <w:shd w:fill="F8FAFC"/>
            <w:tcMar>
              <w:top w:w="60" w:type="dxa"/>
              <w:bottom w:w="60" w:type="dxa"/>
              <w:left w:w="100" w:type="dxa"/>
              <w:right w:w="100" w:type="dxa"/>
            </w:tcMar>
          </w:tcPr>
          <w:p>
            <w:pPr>
              <w:spacing w:before="40" w:after="40" w:line="264" w:lineRule="auto"/>
            </w:pPr>
            <w:r>
              <w:rPr>
                <w:rFonts w:ascii="Calibri" w:hAnsi="Calibri"/>
                <w:color w:val="0F172A"/>
                <w:sz w:val="17"/>
              </w:rPr>
              <w:t>0.30 &lt; P(Hallucination) &lt; 0.50</w:t>
            </w:r>
          </w:p>
        </w:tc>
        <w:tc>
          <w:tcPr>
            <w:tcW w:type="dxa" w:w="1440"/>
            <w:shd w:fill="F8FAFC"/>
            <w:tcMar>
              <w:top w:w="60" w:type="dxa"/>
              <w:bottom w:w="60" w:type="dxa"/>
              <w:left w:w="100" w:type="dxa"/>
              <w:right w:w="100" w:type="dxa"/>
            </w:tcMar>
          </w:tcPr>
          <w:p>
            <w:pPr>
              <w:spacing w:before="40" w:after="40" w:line="264" w:lineRule="auto"/>
            </w:pPr>
            <w:r>
              <w:rPr>
                <w:rFonts w:ascii="Calibri" w:hAnsi="Calibri"/>
                <w:color w:val="0F172A"/>
                <w:sz w:val="17"/>
              </w:rPr>
              <w:t>VERIFY</w:t>
            </w:r>
          </w:p>
        </w:tc>
        <w:tc>
          <w:tcPr>
            <w:tcW w:type="dxa" w:w="1584"/>
            <w:shd w:fill="F8FAFC"/>
            <w:tcMar>
              <w:top w:w="60" w:type="dxa"/>
              <w:bottom w:w="60" w:type="dxa"/>
              <w:left w:w="100" w:type="dxa"/>
              <w:right w:w="100" w:type="dxa"/>
            </w:tcMar>
          </w:tcPr>
          <w:p>
            <w:pPr>
              <w:spacing w:before="40" w:after="40" w:line="264" w:lineRule="auto"/>
            </w:pPr>
            <w:r>
              <w:rPr>
                <w:rFonts w:ascii="Calibri" w:hAnsi="Calibri"/>
                <w:color w:val="0F172A"/>
                <w:sz w:val="17"/>
              </w:rPr>
              <w:t>1.5 - 3.5 s</w:t>
            </w:r>
          </w:p>
        </w:tc>
        <w:tc>
          <w:tcPr>
            <w:tcW w:type="dxa" w:w="2736"/>
            <w:shd w:fill="F8FAFC"/>
            <w:tcMar>
              <w:top w:w="60" w:type="dxa"/>
              <w:bottom w:w="60" w:type="dxa"/>
              <w:left w:w="100" w:type="dxa"/>
              <w:right w:w="100" w:type="dxa"/>
            </w:tcMar>
          </w:tcPr>
          <w:p>
            <w:pPr>
              <w:spacing w:before="40" w:after="40" w:line="264" w:lineRule="auto"/>
            </w:pPr>
            <w:r>
              <w:rPr>
                <w:rFonts w:ascii="Calibri" w:hAnsi="Calibri"/>
                <w:color w:val="0F172A"/>
                <w:sz w:val="17"/>
              </w:rPr>
              <w:t>Triggers Claim Decomposition &amp; n8n Live Evidence Verification.</w:t>
            </w:r>
          </w:p>
        </w:tc>
      </w:tr>
      <w:tr>
        <w:tc>
          <w:tcPr>
            <w:tcW w:type="dxa" w:w="1584"/>
            <w:shd w:fill="FFFFFF"/>
            <w:tcMar>
              <w:top w:w="60" w:type="dxa"/>
              <w:bottom w:w="60" w:type="dxa"/>
              <w:left w:w="100" w:type="dxa"/>
              <w:right w:w="100" w:type="dxa"/>
            </w:tcMar>
          </w:tcPr>
          <w:p>
            <w:pPr>
              <w:spacing w:before="40" w:after="40" w:line="264" w:lineRule="auto"/>
            </w:pPr>
            <w:r>
              <w:rPr>
                <w:rFonts w:ascii="Calibri" w:hAnsi="Calibri"/>
                <w:b/>
                <w:color w:val="7C3AED"/>
                <w:sz w:val="17"/>
              </w:rPr>
              <w:t>HIGH</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P(Hallucination) ≥ 0.50</w:t>
            </w:r>
          </w:p>
        </w:tc>
        <w:tc>
          <w:tcPr>
            <w:tcW w:type="dxa" w:w="1440"/>
            <w:shd w:fill="FFFFFF"/>
            <w:tcMar>
              <w:top w:w="60" w:type="dxa"/>
              <w:bottom w:w="60" w:type="dxa"/>
              <w:left w:w="100" w:type="dxa"/>
              <w:right w:w="100" w:type="dxa"/>
            </w:tcMar>
          </w:tcPr>
          <w:p>
            <w:pPr>
              <w:spacing w:before="40" w:after="40" w:line="264" w:lineRule="auto"/>
            </w:pPr>
            <w:r>
              <w:rPr>
                <w:rFonts w:ascii="Calibri" w:hAnsi="Calibri"/>
                <w:color w:val="0F172A"/>
                <w:sz w:val="17"/>
              </w:rPr>
              <w:t>VERIFY</w:t>
            </w:r>
          </w:p>
        </w:tc>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1.5 - 3.5 s</w:t>
            </w:r>
          </w:p>
        </w:tc>
        <w:tc>
          <w:tcPr>
            <w:tcW w:type="dxa" w:w="2736"/>
            <w:shd w:fill="FFFFFF"/>
            <w:tcMar>
              <w:top w:w="60" w:type="dxa"/>
              <w:bottom w:w="60" w:type="dxa"/>
              <w:left w:w="100" w:type="dxa"/>
              <w:right w:w="100" w:type="dxa"/>
            </w:tcMar>
          </w:tcPr>
          <w:p>
            <w:pPr>
              <w:spacing w:before="40" w:after="40" w:line="264" w:lineRule="auto"/>
            </w:pPr>
            <w:r>
              <w:rPr>
                <w:rFonts w:ascii="Calibri" w:hAnsi="Calibri"/>
                <w:color w:val="0F172A"/>
                <w:sz w:val="17"/>
              </w:rPr>
              <w:t>Mandatory Multi-Source Retrieval &amp; Multi-Pass NLI Grounding.</w:t>
            </w:r>
          </w:p>
        </w:tc>
      </w:tr>
    </w:tbl>
    <w:p>
      <w:pPr>
        <w:spacing w:after="80"/>
      </w:pPr>
    </w:p>
    <w:p>
      <w:pPr>
        <w:keepNext/>
        <w:spacing w:before="320" w:after="100"/>
      </w:pPr>
      <w:r>
        <w:rPr>
          <w:rFonts w:ascii="Calibri" w:hAnsi="Calibri"/>
          <w:b/>
          <w:color w:val="1A365D"/>
          <w:sz w:val="32"/>
        </w:rPr>
        <w:t>3. Claim Decomposition &amp; SVO Relation Extraction</w:t>
      </w:r>
    </w:p>
    <w:p>
      <w:pPr>
        <w:spacing w:before="0" w:after="80" w:line="276" w:lineRule="auto"/>
      </w:pPr>
      <w:r>
        <w:rPr>
          <w:rFonts w:ascii="Calibri" w:hAnsi="Calibri"/>
          <w:color w:val="0F172A"/>
          <w:sz w:val="19"/>
        </w:rPr>
        <w:t>Complex LLM responses frequently combine multiple distinct factual assertions into single compound sentences. Passing entire paragraphs directly to retrieval systems causes query dilution and degraded NLI precision. The Verifier Agent executes a deterministic claim decomposition pipeline that segments responses into atomic, standalone propositions.</w:t>
      </w:r>
    </w:p>
    <w:p>
      <w:pPr>
        <w:spacing w:before="120" w:after="40"/>
        <w:jc w:val="center"/>
      </w:pPr>
      <w:r>
        <w:drawing>
          <wp:inline xmlns:a="http://schemas.openxmlformats.org/drawingml/2006/main" xmlns:pic="http://schemas.openxmlformats.org/drawingml/2006/picture">
            <wp:extent cx="5669280" cy="3084809"/>
            <wp:docPr id="3" name="Picture 3"/>
            <wp:cNvGraphicFramePr>
              <a:graphicFrameLocks noChangeAspect="1"/>
            </wp:cNvGraphicFramePr>
            <a:graphic>
              <a:graphicData uri="http://schemas.openxmlformats.org/drawingml/2006/picture">
                <pic:pic>
                  <pic:nvPicPr>
                    <pic:cNvPr id="0" name="fig12_relation_verification.png"/>
                    <pic:cNvPicPr/>
                  </pic:nvPicPr>
                  <pic:blipFill>
                    <a:blip r:embed="rId11"/>
                    <a:stretch>
                      <a:fillRect/>
                    </a:stretch>
                  </pic:blipFill>
                  <pic:spPr>
                    <a:xfrm>
                      <a:off x="0" y="0"/>
                      <a:ext cx="5669280" cy="3084809"/>
                    </a:xfrm>
                    <a:prstGeom prst="rect"/>
                  </pic:spPr>
                </pic:pic>
              </a:graphicData>
            </a:graphic>
          </wp:inline>
        </w:drawing>
      </w:r>
    </w:p>
    <w:p>
      <w:pPr>
        <w:spacing w:before="40" w:after="160"/>
        <w:jc w:val="center"/>
      </w:pPr>
      <w:r>
        <w:rPr>
          <w:rFonts w:ascii="Calibri" w:hAnsi="Calibri"/>
          <w:b/>
          <w:color w:val="1A365D"/>
          <w:sz w:val="17"/>
        </w:rPr>
        <w:t xml:space="preserve">Figure 3: SVO Triples &amp; Relation Verification Engine — </w:t>
      </w:r>
      <w:r>
        <w:rPr>
          <w:rFonts w:ascii="Calibri" w:hAnsi="Calibri"/>
          <w:i/>
          <w:color w:val="475569"/>
          <w:sz w:val="16"/>
        </w:rPr>
        <w:t>Extraction of Subject-Verb-Object triples and direct contradiction override on entity/relation mismatches.</w:t>
      </w:r>
    </w:p>
    <w:p>
      <w:pPr>
        <w:keepNext/>
        <w:spacing w:before="220" w:after="60"/>
      </w:pPr>
      <w:r>
        <w:rPr>
          <w:rFonts w:ascii="Calibri" w:hAnsi="Calibri"/>
          <w:b/>
          <w:color w:val="0D9488"/>
          <w:sz w:val="25"/>
        </w:rPr>
        <w:t>3.1 Proposition Resolution &amp; Anaphora Handling</w:t>
      </w:r>
    </w:p>
    <w:p>
      <w:pPr>
        <w:pStyle w:val="ListBullet"/>
        <w:spacing w:before="0" w:after="40" w:line="269" w:lineRule="auto"/>
      </w:pPr>
      <w:r>
        <w:rPr>
          <w:rFonts w:ascii="Calibri" w:hAnsi="Calibri"/>
          <w:b/>
          <w:color w:val="1A365D"/>
          <w:sz w:val="19"/>
        </w:rPr>
        <w:t xml:space="preserve">Compound Conjunction Splitting: </w:t>
      </w:r>
      <w:r>
        <w:rPr>
          <w:rFonts w:ascii="Calibri" w:hAnsi="Calibri"/>
          <w:color w:val="0F172A"/>
          <w:sz w:val="19"/>
        </w:rPr>
        <w:t>Transforms compound predicates (e.g. 'Vitamin C cures cancer and diabetes') into independent atomic propositions: ['Vitamin C cures cancer', 'Vitamin C cures diabetes'].</w:t>
      </w:r>
    </w:p>
    <w:p>
      <w:pPr>
        <w:pStyle w:val="ListBullet"/>
        <w:spacing w:before="0" w:after="40" w:line="269" w:lineRule="auto"/>
      </w:pPr>
      <w:r>
        <w:rPr>
          <w:rFonts w:ascii="Calibri" w:hAnsi="Calibri"/>
          <w:b/>
          <w:color w:val="1A365D"/>
          <w:sz w:val="19"/>
        </w:rPr>
        <w:t xml:space="preserve">Pronoun Subject Resolution: </w:t>
      </w:r>
      <w:r>
        <w:rPr>
          <w:rFonts w:ascii="Calibri" w:hAnsi="Calibri"/>
          <w:color w:val="0F172A"/>
          <w:sz w:val="19"/>
        </w:rPr>
        <w:t>Resolves ambiguous anaphora (e.g. 'It was founded in 1998') using the preceding sentence head entity (e.g. 'Google was founded in 1998').</w:t>
      </w:r>
    </w:p>
    <w:p>
      <w:pPr>
        <w:pStyle w:val="ListBullet"/>
        <w:spacing w:before="0" w:after="40" w:line="269" w:lineRule="auto"/>
      </w:pPr>
      <w:r>
        <w:rPr>
          <w:rFonts w:ascii="Calibri" w:hAnsi="Calibri"/>
          <w:b/>
          <w:color w:val="1A365D"/>
          <w:sz w:val="19"/>
        </w:rPr>
        <w:t xml:space="preserve">SVO Triple Extraction: </w:t>
      </w:r>
      <w:r>
        <w:rPr>
          <w:rFonts w:ascii="Calibri" w:hAnsi="Calibri"/>
          <w:color w:val="0F172A"/>
          <w:sz w:val="19"/>
        </w:rPr>
        <w:t>Extracts structured (Subject, Relation, Object) tuples using entity boundary parsers to cross-reference predicate validity directly against retrieved facts.</w:t>
      </w:r>
    </w:p>
    <w:p>
      <w:pPr>
        <w:keepNext/>
        <w:spacing w:before="320" w:after="100"/>
      </w:pPr>
      <w:r>
        <w:rPr>
          <w:rFonts w:ascii="Calibri" w:hAnsi="Calibri"/>
          <w:b/>
          <w:color w:val="1A365D"/>
          <w:sz w:val="32"/>
        </w:rPr>
        <w:t>4. n8n Retrieval Service V2 &amp; Multi-Domain Ingestion</w:t>
      </w:r>
    </w:p>
    <w:p>
      <w:pPr>
        <w:spacing w:before="0" w:after="80" w:line="276" w:lineRule="auto"/>
      </w:pPr>
      <w:r>
        <w:rPr>
          <w:rFonts w:ascii="Calibri" w:hAnsi="Calibri"/>
          <w:color w:val="0F172A"/>
          <w:sz w:val="19"/>
        </w:rPr>
        <w:t>The retrieval subsystem is hosted on n8n Cloud and exposed via a secure HTTPS webhook (/webhook/halluciguard-verify-v2). The workflow dynamically routes queries across five specialized domain adapters, performs automated quality evaluation, and executes deep web fallback via Tavily AI when primary sources are insufficient.</w:t>
      </w:r>
    </w:p>
    <w:p>
      <w:pPr>
        <w:spacing w:before="120" w:after="40"/>
        <w:jc w:val="center"/>
      </w:pPr>
      <w:r>
        <w:drawing>
          <wp:inline xmlns:a="http://schemas.openxmlformats.org/drawingml/2006/main" xmlns:pic="http://schemas.openxmlformats.org/drawingml/2006/picture">
            <wp:extent cx="5669280" cy="3261332"/>
            <wp:docPr id="4" name="Picture 4"/>
            <wp:cNvGraphicFramePr>
              <a:graphicFrameLocks noChangeAspect="1"/>
            </wp:cNvGraphicFramePr>
            <a:graphic>
              <a:graphicData uri="http://schemas.openxmlformats.org/drawingml/2006/picture">
                <pic:pic>
                  <pic:nvPicPr>
                    <pic:cNvPr id="0" name="fig03_n8n_retrieval_topology.png"/>
                    <pic:cNvPicPr/>
                  </pic:nvPicPr>
                  <pic:blipFill>
                    <a:blip r:embed="rId12"/>
                    <a:stretch>
                      <a:fillRect/>
                    </a:stretch>
                  </pic:blipFill>
                  <pic:spPr>
                    <a:xfrm>
                      <a:off x="0" y="0"/>
                      <a:ext cx="5669280" cy="3261332"/>
                    </a:xfrm>
                    <a:prstGeom prst="rect"/>
                  </pic:spPr>
                </pic:pic>
              </a:graphicData>
            </a:graphic>
          </wp:inline>
        </w:drawing>
      </w:r>
    </w:p>
    <w:p>
      <w:pPr>
        <w:spacing w:before="40" w:after="160"/>
        <w:jc w:val="center"/>
      </w:pPr>
      <w:r>
        <w:rPr>
          <w:rFonts w:ascii="Calibri" w:hAnsi="Calibri"/>
          <w:b/>
          <w:color w:val="1A365D"/>
          <w:sz w:val="17"/>
        </w:rPr>
        <w:t xml:space="preserve">Figure 4: n8n Workflow Node Topology — </w:t>
      </w:r>
      <w:r>
        <w:rPr>
          <w:rFonts w:ascii="Calibri" w:hAnsi="Calibri"/>
          <w:i/>
          <w:color w:val="475569"/>
          <w:sz w:val="16"/>
        </w:rPr>
        <w:t>Multi-domain switch, authoritative primary source adapters, quality evaluation gate, and Tavily AI extract fallback.</w:t>
      </w:r>
    </w:p>
    <w:p>
      <w:pPr>
        <w:keepNext/>
        <w:spacing w:before="220" w:after="60"/>
      </w:pPr>
      <w:r>
        <w:rPr>
          <w:rFonts w:ascii="Calibri" w:hAnsi="Calibri"/>
          <w:b/>
          <w:color w:val="0D9488"/>
          <w:sz w:val="25"/>
        </w:rPr>
        <w:t>4.1 Multi-Domain Authoritative Source Adapters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584"/>
            <w:shd w:fill="1A365D"/>
            <w:tcMar>
              <w:top w:w="80" w:type="dxa"/>
              <w:bottom w:w="80" w:type="dxa"/>
              <w:left w:w="100" w:type="dxa"/>
              <w:right w:w="100" w:type="dxa"/>
            </w:tcMar>
          </w:tcPr>
          <w:p>
            <w:pPr>
              <w:spacing w:before="40" w:after="40"/>
            </w:pPr>
            <w:r>
              <w:rPr>
                <w:rFonts w:ascii="Calibri" w:hAnsi="Calibri"/>
                <w:b/>
                <w:color w:val="FFFFFF"/>
                <w:sz w:val="18"/>
              </w:rPr>
              <w:t>DOMAIN</w:t>
            </w:r>
          </w:p>
        </w:tc>
        <w:tc>
          <w:tcPr>
            <w:tcW w:type="dxa" w:w="2016"/>
            <w:shd w:fill="1A365D"/>
            <w:tcMar>
              <w:top w:w="80" w:type="dxa"/>
              <w:bottom w:w="80" w:type="dxa"/>
              <w:left w:w="100" w:type="dxa"/>
              <w:right w:w="100" w:type="dxa"/>
            </w:tcMar>
          </w:tcPr>
          <w:p>
            <w:pPr>
              <w:spacing w:before="40" w:after="40"/>
            </w:pPr>
            <w:r>
              <w:rPr>
                <w:rFonts w:ascii="Calibri" w:hAnsi="Calibri"/>
                <w:b/>
                <w:color w:val="FFFFFF"/>
                <w:sz w:val="18"/>
              </w:rPr>
              <w:t>PRIMARY SOURCES</w:t>
            </w:r>
          </w:p>
        </w:tc>
        <w:tc>
          <w:tcPr>
            <w:tcW w:type="dxa" w:w="2592"/>
            <w:shd w:fill="1A365D"/>
            <w:tcMar>
              <w:top w:w="80" w:type="dxa"/>
              <w:bottom w:w="80" w:type="dxa"/>
              <w:left w:w="100" w:type="dxa"/>
              <w:right w:w="100" w:type="dxa"/>
            </w:tcMar>
          </w:tcPr>
          <w:p>
            <w:pPr>
              <w:spacing w:before="40" w:after="40"/>
            </w:pPr>
            <w:r>
              <w:rPr>
                <w:rFonts w:ascii="Calibri" w:hAnsi="Calibri"/>
                <w:b/>
                <w:color w:val="FFFFFF"/>
                <w:sz w:val="18"/>
              </w:rPr>
              <w:t>ADAPTER IMPLEMENTATION</w:t>
            </w:r>
          </w:p>
        </w:tc>
        <w:tc>
          <w:tcPr>
            <w:tcW w:type="dxa" w:w="2016"/>
            <w:shd w:fill="1A365D"/>
            <w:tcMar>
              <w:top w:w="80" w:type="dxa"/>
              <w:bottom w:w="80" w:type="dxa"/>
              <w:left w:w="100" w:type="dxa"/>
              <w:right w:w="100" w:type="dxa"/>
            </w:tcMar>
          </w:tcPr>
          <w:p>
            <w:pPr>
              <w:spacing w:before="40" w:after="40"/>
            </w:pPr>
            <w:r>
              <w:rPr>
                <w:rFonts w:ascii="Calibri" w:hAnsi="Calibri"/>
                <w:b/>
                <w:color w:val="FFFFFF"/>
                <w:sz w:val="18"/>
              </w:rPr>
              <w:t>FALLBACK TRIGGER</w:t>
            </w:r>
          </w:p>
        </w:tc>
        <w:tc>
          <w:tcPr>
            <w:tcW w:type="dxa" w:w="1152"/>
            <w:shd w:fill="1A365D"/>
            <w:tcMar>
              <w:top w:w="80" w:type="dxa"/>
              <w:bottom w:w="80" w:type="dxa"/>
              <w:left w:w="100" w:type="dxa"/>
              <w:right w:w="100" w:type="dxa"/>
            </w:tcMar>
          </w:tcPr>
          <w:p>
            <w:pPr>
              <w:spacing w:before="40" w:after="40"/>
            </w:pPr>
            <w:r>
              <w:rPr>
                <w:rFonts w:ascii="Calibri" w:hAnsi="Calibri"/>
                <w:b/>
                <w:color w:val="FFFFFF"/>
                <w:sz w:val="18"/>
              </w:rPr>
              <w:t>CREDIBILITY</w:t>
            </w:r>
          </w:p>
        </w:tc>
      </w:tr>
      <w:tr>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General</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Wikipedia REST API</w:t>
            </w:r>
          </w:p>
        </w:tc>
        <w:tc>
          <w:tcPr>
            <w:tcW w:type="dxa" w:w="2592"/>
            <w:shd w:fill="FFFFFF"/>
            <w:tcMar>
              <w:top w:w="60" w:type="dxa"/>
              <w:bottom w:w="60" w:type="dxa"/>
              <w:left w:w="100" w:type="dxa"/>
              <w:right w:w="100" w:type="dxa"/>
            </w:tcMar>
          </w:tcPr>
          <w:p>
            <w:pPr>
              <w:spacing w:before="40" w:after="40" w:line="264" w:lineRule="auto"/>
            </w:pPr>
            <w:r>
              <w:rPr>
                <w:rFonts w:ascii="Calibri" w:hAnsi="Calibri"/>
                <w:color w:val="0F172A"/>
                <w:sz w:val="17"/>
              </w:rPr>
              <w:t>Search + Page Extract Nodes</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Passages &lt; 2 OR Score &lt; 0.30</w:t>
            </w:r>
          </w:p>
        </w:tc>
        <w:tc>
          <w:tcPr>
            <w:tcW w:type="dxa" w:w="1152"/>
            <w:shd w:fill="FFFFFF"/>
            <w:tcMar>
              <w:top w:w="60" w:type="dxa"/>
              <w:bottom w:w="60" w:type="dxa"/>
              <w:left w:w="100" w:type="dxa"/>
              <w:right w:w="100" w:type="dxa"/>
            </w:tcMar>
          </w:tcPr>
          <w:p>
            <w:pPr>
              <w:spacing w:before="40" w:after="40" w:line="264" w:lineRule="auto"/>
            </w:pPr>
            <w:r>
              <w:rPr>
                <w:rFonts w:ascii="Calibri" w:hAnsi="Calibri"/>
                <w:color w:val="0F172A"/>
                <w:sz w:val="17"/>
              </w:rPr>
              <w:t>0.85 - 0.90</w:t>
            </w:r>
          </w:p>
        </w:tc>
      </w:tr>
      <w:tr>
        <w:tc>
          <w:tcPr>
            <w:tcW w:type="dxa" w:w="1584"/>
            <w:shd w:fill="F8FAFC"/>
            <w:tcMar>
              <w:top w:w="60" w:type="dxa"/>
              <w:bottom w:w="60" w:type="dxa"/>
              <w:left w:w="100" w:type="dxa"/>
              <w:right w:w="100" w:type="dxa"/>
            </w:tcMar>
          </w:tcPr>
          <w:p>
            <w:pPr>
              <w:spacing w:before="40" w:after="40" w:line="264" w:lineRule="auto"/>
            </w:pPr>
            <w:r>
              <w:rPr>
                <w:rFonts w:ascii="Calibri" w:hAnsi="Calibri"/>
                <w:color w:val="0F172A"/>
                <w:sz w:val="17"/>
              </w:rPr>
              <w:t>Healthcare</w:t>
            </w:r>
          </w:p>
        </w:tc>
        <w:tc>
          <w:tcPr>
            <w:tcW w:type="dxa" w:w="2016"/>
            <w:shd w:fill="F8FAFC"/>
            <w:tcMar>
              <w:top w:w="60" w:type="dxa"/>
              <w:bottom w:w="60" w:type="dxa"/>
              <w:left w:w="100" w:type="dxa"/>
              <w:right w:w="100" w:type="dxa"/>
            </w:tcMar>
          </w:tcPr>
          <w:p>
            <w:pPr>
              <w:spacing w:before="40" w:after="40" w:line="264" w:lineRule="auto"/>
            </w:pPr>
            <w:r>
              <w:rPr>
                <w:rFonts w:ascii="Calibri" w:hAnsi="Calibri"/>
                <w:color w:val="0F172A"/>
                <w:sz w:val="17"/>
              </w:rPr>
              <w:t>PubMed Central + OpenFDA</w:t>
            </w:r>
          </w:p>
        </w:tc>
        <w:tc>
          <w:tcPr>
            <w:tcW w:type="dxa" w:w="2592"/>
            <w:shd w:fill="F8FAFC"/>
            <w:tcMar>
              <w:top w:w="60" w:type="dxa"/>
              <w:bottom w:w="60" w:type="dxa"/>
              <w:left w:w="100" w:type="dxa"/>
              <w:right w:w="100" w:type="dxa"/>
            </w:tcMar>
          </w:tcPr>
          <w:p>
            <w:pPr>
              <w:spacing w:before="40" w:after="40" w:line="264" w:lineRule="auto"/>
            </w:pPr>
            <w:r>
              <w:rPr>
                <w:rFonts w:ascii="Calibri" w:hAnsi="Calibri"/>
                <w:color w:val="0F172A"/>
                <w:sz w:val="17"/>
              </w:rPr>
              <w:t>NCBI E-Utilities XML + FDA Drug Endpoints</w:t>
            </w:r>
          </w:p>
        </w:tc>
        <w:tc>
          <w:tcPr>
            <w:tcW w:type="dxa" w:w="2016"/>
            <w:shd w:fill="F8FAFC"/>
            <w:tcMar>
              <w:top w:w="60" w:type="dxa"/>
              <w:bottom w:w="60" w:type="dxa"/>
              <w:left w:w="100" w:type="dxa"/>
              <w:right w:w="100" w:type="dxa"/>
            </w:tcMar>
          </w:tcPr>
          <w:p>
            <w:pPr>
              <w:spacing w:before="40" w:after="40" w:line="264" w:lineRule="auto"/>
            </w:pPr>
            <w:r>
              <w:rPr>
                <w:rFonts w:ascii="Calibri" w:hAnsi="Calibri"/>
                <w:color w:val="0F172A"/>
                <w:sz w:val="17"/>
              </w:rPr>
              <w:t>Empty PubMed XML / Unmatched NDC</w:t>
            </w:r>
          </w:p>
        </w:tc>
        <w:tc>
          <w:tcPr>
            <w:tcW w:type="dxa" w:w="1152"/>
            <w:shd w:fill="F8FAFC"/>
            <w:tcMar>
              <w:top w:w="60" w:type="dxa"/>
              <w:bottom w:w="60" w:type="dxa"/>
              <w:left w:w="100" w:type="dxa"/>
              <w:right w:w="100" w:type="dxa"/>
            </w:tcMar>
          </w:tcPr>
          <w:p>
            <w:pPr>
              <w:spacing w:before="40" w:after="40" w:line="264" w:lineRule="auto"/>
            </w:pPr>
            <w:r>
              <w:rPr>
                <w:rFonts w:ascii="Calibri" w:hAnsi="Calibri"/>
                <w:color w:val="0F172A"/>
                <w:sz w:val="17"/>
              </w:rPr>
              <w:t>0.95 - 0.98</w:t>
            </w:r>
          </w:p>
        </w:tc>
      </w:tr>
      <w:tr>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Cybersecurity</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NIST NVD CVE 2.0 API</w:t>
            </w:r>
          </w:p>
        </w:tc>
        <w:tc>
          <w:tcPr>
            <w:tcW w:type="dxa" w:w="2592"/>
            <w:shd w:fill="FFFFFF"/>
            <w:tcMar>
              <w:top w:w="60" w:type="dxa"/>
              <w:bottom w:w="60" w:type="dxa"/>
              <w:left w:w="100" w:type="dxa"/>
              <w:right w:w="100" w:type="dxa"/>
            </w:tcMar>
          </w:tcPr>
          <w:p>
            <w:pPr>
              <w:spacing w:before="40" w:after="40" w:line="264" w:lineRule="auto"/>
            </w:pPr>
            <w:r>
              <w:rPr>
                <w:rFonts w:ascii="Calibri" w:hAnsi="Calibri"/>
                <w:color w:val="0F172A"/>
                <w:sz w:val="17"/>
              </w:rPr>
              <w:t>REST API v2.0 with CVE Parameter Filtering</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CVE Format Mismatch / Zero Records</w:t>
            </w:r>
          </w:p>
        </w:tc>
        <w:tc>
          <w:tcPr>
            <w:tcW w:type="dxa" w:w="1152"/>
            <w:shd w:fill="FFFFFF"/>
            <w:tcMar>
              <w:top w:w="60" w:type="dxa"/>
              <w:bottom w:w="60" w:type="dxa"/>
              <w:left w:w="100" w:type="dxa"/>
              <w:right w:w="100" w:type="dxa"/>
            </w:tcMar>
          </w:tcPr>
          <w:p>
            <w:pPr>
              <w:spacing w:before="40" w:after="40" w:line="264" w:lineRule="auto"/>
            </w:pPr>
            <w:r>
              <w:rPr>
                <w:rFonts w:ascii="Calibri" w:hAnsi="Calibri"/>
                <w:color w:val="0F172A"/>
                <w:sz w:val="17"/>
              </w:rPr>
              <w:t>0.98</w:t>
            </w:r>
          </w:p>
        </w:tc>
      </w:tr>
      <w:tr>
        <w:tc>
          <w:tcPr>
            <w:tcW w:type="dxa" w:w="1584"/>
            <w:shd w:fill="F8FAFC"/>
            <w:tcMar>
              <w:top w:w="60" w:type="dxa"/>
              <w:bottom w:w="60" w:type="dxa"/>
              <w:left w:w="100" w:type="dxa"/>
              <w:right w:w="100" w:type="dxa"/>
            </w:tcMar>
          </w:tcPr>
          <w:p>
            <w:pPr>
              <w:spacing w:before="40" w:after="40" w:line="264" w:lineRule="auto"/>
            </w:pPr>
            <w:r>
              <w:rPr>
                <w:rFonts w:ascii="Calibri" w:hAnsi="Calibri"/>
                <w:color w:val="0F172A"/>
                <w:sz w:val="17"/>
              </w:rPr>
              <w:t>AI Research</w:t>
            </w:r>
          </w:p>
        </w:tc>
        <w:tc>
          <w:tcPr>
            <w:tcW w:type="dxa" w:w="2016"/>
            <w:shd w:fill="F8FAFC"/>
            <w:tcMar>
              <w:top w:w="60" w:type="dxa"/>
              <w:bottom w:w="60" w:type="dxa"/>
              <w:left w:w="100" w:type="dxa"/>
              <w:right w:w="100" w:type="dxa"/>
            </w:tcMar>
          </w:tcPr>
          <w:p>
            <w:pPr>
              <w:spacing w:before="40" w:after="40" w:line="264" w:lineRule="auto"/>
            </w:pPr>
            <w:r>
              <w:rPr>
                <w:rFonts w:ascii="Calibri" w:hAnsi="Calibri"/>
                <w:color w:val="0F172A"/>
                <w:sz w:val="17"/>
              </w:rPr>
              <w:t>arXiv E-Query API</w:t>
            </w:r>
          </w:p>
        </w:tc>
        <w:tc>
          <w:tcPr>
            <w:tcW w:type="dxa" w:w="2592"/>
            <w:shd w:fill="F8FAFC"/>
            <w:tcMar>
              <w:top w:w="60" w:type="dxa"/>
              <w:bottom w:w="60" w:type="dxa"/>
              <w:left w:w="100" w:type="dxa"/>
              <w:right w:w="100" w:type="dxa"/>
            </w:tcMar>
          </w:tcPr>
          <w:p>
            <w:pPr>
              <w:spacing w:before="40" w:after="40" w:line="264" w:lineRule="auto"/>
            </w:pPr>
            <w:r>
              <w:rPr>
                <w:rFonts w:ascii="Calibri" w:hAnsi="Calibri"/>
                <w:color w:val="0F172A"/>
                <w:sz w:val="17"/>
              </w:rPr>
              <w:t>Atom XML Feed Parser with Category Filters</w:t>
            </w:r>
          </w:p>
        </w:tc>
        <w:tc>
          <w:tcPr>
            <w:tcW w:type="dxa" w:w="2016"/>
            <w:shd w:fill="F8FAFC"/>
            <w:tcMar>
              <w:top w:w="60" w:type="dxa"/>
              <w:bottom w:w="60" w:type="dxa"/>
              <w:left w:w="100" w:type="dxa"/>
              <w:right w:w="100" w:type="dxa"/>
            </w:tcMar>
          </w:tcPr>
          <w:p>
            <w:pPr>
              <w:spacing w:before="40" w:after="40" w:line="264" w:lineRule="auto"/>
            </w:pPr>
            <w:r>
              <w:rPr>
                <w:rFonts w:ascii="Calibri" w:hAnsi="Calibri"/>
                <w:color w:val="0F172A"/>
                <w:sz w:val="17"/>
              </w:rPr>
              <w:t>Zero Matching Papers in Subject Class</w:t>
            </w:r>
          </w:p>
        </w:tc>
        <w:tc>
          <w:tcPr>
            <w:tcW w:type="dxa" w:w="1152"/>
            <w:shd w:fill="F8FAFC"/>
            <w:tcMar>
              <w:top w:w="60" w:type="dxa"/>
              <w:bottom w:w="60" w:type="dxa"/>
              <w:left w:w="100" w:type="dxa"/>
              <w:right w:w="100" w:type="dxa"/>
            </w:tcMar>
          </w:tcPr>
          <w:p>
            <w:pPr>
              <w:spacing w:before="40" w:after="40" w:line="264" w:lineRule="auto"/>
            </w:pPr>
            <w:r>
              <w:rPr>
                <w:rFonts w:ascii="Calibri" w:hAnsi="Calibri"/>
                <w:color w:val="0F172A"/>
                <w:sz w:val="17"/>
              </w:rPr>
              <w:t>0.92</w:t>
            </w:r>
          </w:p>
        </w:tc>
      </w:tr>
      <w:tr>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Finance</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SEC EDGAR EFTS</w:t>
            </w:r>
          </w:p>
        </w:tc>
        <w:tc>
          <w:tcPr>
            <w:tcW w:type="dxa" w:w="2592"/>
            <w:shd w:fill="FFFFFF"/>
            <w:tcMar>
              <w:top w:w="60" w:type="dxa"/>
              <w:bottom w:w="60" w:type="dxa"/>
              <w:left w:w="100" w:type="dxa"/>
              <w:right w:w="100" w:type="dxa"/>
            </w:tcMar>
          </w:tcPr>
          <w:p>
            <w:pPr>
              <w:spacing w:before="40" w:after="40" w:line="264" w:lineRule="auto"/>
            </w:pPr>
            <w:r>
              <w:rPr>
                <w:rFonts w:ascii="Calibri" w:hAnsi="Calibri"/>
                <w:color w:val="0F172A"/>
                <w:sz w:val="17"/>
              </w:rPr>
              <w:t>10-K / 8-K Full-Text Search via HTTPS</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Company CIK Not Found / Low Match</w:t>
            </w:r>
          </w:p>
        </w:tc>
        <w:tc>
          <w:tcPr>
            <w:tcW w:type="dxa" w:w="1152"/>
            <w:shd w:fill="FFFFFF"/>
            <w:tcMar>
              <w:top w:w="60" w:type="dxa"/>
              <w:bottom w:w="60" w:type="dxa"/>
              <w:left w:w="100" w:type="dxa"/>
              <w:right w:w="100" w:type="dxa"/>
            </w:tcMar>
          </w:tcPr>
          <w:p>
            <w:pPr>
              <w:spacing w:before="40" w:after="40" w:line="264" w:lineRule="auto"/>
            </w:pPr>
            <w:r>
              <w:rPr>
                <w:rFonts w:ascii="Calibri" w:hAnsi="Calibri"/>
                <w:color w:val="0F172A"/>
                <w:sz w:val="17"/>
              </w:rPr>
              <w:t>0.95</w:t>
            </w:r>
          </w:p>
        </w:tc>
      </w:tr>
    </w:tbl>
    <w:p>
      <w:pPr>
        <w:spacing w:after="80"/>
      </w:pPr>
    </w:p>
    <w:p>
      <w:pPr>
        <w:keepNext/>
        <w:spacing w:before="320" w:after="100"/>
      </w:pPr>
      <w:r>
        <w:rPr>
          <w:rFonts w:ascii="Calibri" w:hAnsi="Calibri"/>
          <w:b/>
          <w:color w:val="1A365D"/>
          <w:sz w:val="32"/>
        </w:rPr>
        <w:t>5. Cross-Encoder Semantic Reranking &amp; DeBERTa NLI Pipeline</w:t>
      </w:r>
    </w:p>
    <w:p>
      <w:pPr>
        <w:spacing w:before="0" w:after="80" w:line="276" w:lineRule="auto"/>
      </w:pPr>
      <w:r>
        <w:rPr>
          <w:rFonts w:ascii="Calibri" w:hAnsi="Calibri"/>
          <w:color w:val="0F172A"/>
          <w:sz w:val="19"/>
        </w:rPr>
        <w:t>Retrieved evidence passages undergo a dual-stage neural evaluation on local GPU hardware. First, BAAI/bge-reranker-large scores the semantic relevance between the claim and each passage independently. Second, cross-encoder/nli-deberta-v3-base performs deep natural language inference to compute entailment, contradiction, and neutral logits.</w:t>
      </w:r>
    </w:p>
    <w:p>
      <w:pPr>
        <w:spacing w:before="120" w:after="40"/>
        <w:jc w:val="center"/>
      </w:pPr>
      <w:r>
        <w:drawing>
          <wp:inline xmlns:a="http://schemas.openxmlformats.org/drawingml/2006/main" xmlns:pic="http://schemas.openxmlformats.org/drawingml/2006/picture">
            <wp:extent cx="5669280" cy="3084809"/>
            <wp:docPr id="5" name="Picture 5"/>
            <wp:cNvGraphicFramePr>
              <a:graphicFrameLocks noChangeAspect="1"/>
            </wp:cNvGraphicFramePr>
            <a:graphic>
              <a:graphicData uri="http://schemas.openxmlformats.org/drawingml/2006/picture">
                <pic:pic>
                  <pic:nvPicPr>
                    <pic:cNvPr id="0" name="fig04_evidence_lifecycle.png"/>
                    <pic:cNvPicPr/>
                  </pic:nvPicPr>
                  <pic:blipFill>
                    <a:blip r:embed="rId13"/>
                    <a:stretch>
                      <a:fillRect/>
                    </a:stretch>
                  </pic:blipFill>
                  <pic:spPr>
                    <a:xfrm>
                      <a:off x="0" y="0"/>
                      <a:ext cx="5669280" cy="3084809"/>
                    </a:xfrm>
                    <a:prstGeom prst="rect"/>
                  </pic:spPr>
                </pic:pic>
              </a:graphicData>
            </a:graphic>
          </wp:inline>
        </w:drawing>
      </w:r>
    </w:p>
    <w:p>
      <w:pPr>
        <w:spacing w:before="40" w:after="160"/>
        <w:jc w:val="center"/>
      </w:pPr>
      <w:r>
        <w:rPr>
          <w:rFonts w:ascii="Calibri" w:hAnsi="Calibri"/>
          <w:b/>
          <w:color w:val="1A365D"/>
          <w:sz w:val="17"/>
        </w:rPr>
        <w:t xml:space="preserve">Figure 5: Evidence Lifecycle &amp; Classification Flow — </w:t>
      </w:r>
      <w:r>
        <w:rPr>
          <w:rFonts w:ascii="Calibri" w:hAnsi="Calibri"/>
          <w:i/>
          <w:color w:val="475569"/>
          <w:sz w:val="16"/>
        </w:rPr>
        <w:t>Relevance gating, DeBERTa forward pass, and strict invariant enforcement across four mutually exclusive categories.</w:t>
      </w:r>
    </w:p>
    <w:p>
      <w:pPr>
        <w:keepNext/>
        <w:spacing w:before="220" w:after="60"/>
      </w:pPr>
      <w:r>
        <w:rPr>
          <w:rFonts w:ascii="Calibri" w:hAnsi="Calibri"/>
          <w:b/>
          <w:color w:val="0D9488"/>
          <w:sz w:val="25"/>
        </w:rPr>
        <w:t>5.1 Cross-Encoder Specifications</w:t>
      </w:r>
    </w:p>
    <w:p>
      <w:pPr>
        <w:pStyle w:val="ListBullet"/>
        <w:spacing w:before="0" w:after="40" w:line="269" w:lineRule="auto"/>
      </w:pPr>
      <w:r>
        <w:rPr>
          <w:rFonts w:ascii="Calibri" w:hAnsi="Calibri"/>
          <w:b/>
          <w:color w:val="1A365D"/>
          <w:sz w:val="19"/>
        </w:rPr>
        <w:t xml:space="preserve">BAAI/bge-reranker-large: </w:t>
      </w:r>
      <w:r>
        <w:rPr>
          <w:rFonts w:ascii="Calibri" w:hAnsi="Calibri"/>
          <w:color w:val="0F172A"/>
          <w:sz w:val="19"/>
        </w:rPr>
        <w:t>560M parameter cross-encoder. Processes [CLS] claim [SEP] passage [SEP] to yield a continuous relevance score in [0.0, 1.0]. A strict gate threshold of 0.20 eliminates noise.</w:t>
      </w:r>
    </w:p>
    <w:p>
      <w:pPr>
        <w:pStyle w:val="ListBullet"/>
        <w:spacing w:before="0" w:after="40" w:line="269" w:lineRule="auto"/>
      </w:pPr>
      <w:r>
        <w:rPr>
          <w:rFonts w:ascii="Calibri" w:hAnsi="Calibri"/>
          <w:b/>
          <w:color w:val="1A365D"/>
          <w:sz w:val="19"/>
        </w:rPr>
        <w:t xml:space="preserve">cross-encoder/nli-deberta-v3-base: </w:t>
      </w:r>
      <w:r>
        <w:rPr>
          <w:rFonts w:ascii="Calibri" w:hAnsi="Calibri"/>
          <w:color w:val="0F172A"/>
          <w:sz w:val="19"/>
        </w:rPr>
        <w:t>86M parameter DeBERTa-v3 model. Evaluates Premise (Passage) and Hypothesis (Claim) to yield calibrated softmax probabilities: P(Entailment), P(Contradiction), P(Neutral).</w:t>
      </w:r>
    </w:p>
    <w:p>
      <w:pPr>
        <w:keepNext/>
        <w:spacing w:before="320" w:after="100"/>
      </w:pPr>
      <w:r>
        <w:rPr>
          <w:rFonts w:ascii="Calibri" w:hAnsi="Calibri"/>
          <w:b/>
          <w:color w:val="1A365D"/>
          <w:sz w:val="32"/>
        </w:rPr>
        <w:t>6. Four-State Verdict Determination Engine &amp; Scoring Mathematics</w:t>
      </w:r>
    </w:p>
    <w:p>
      <w:pPr>
        <w:spacing w:before="0" w:after="80" w:line="276" w:lineRule="auto"/>
      </w:pPr>
      <w:r>
        <w:rPr>
          <w:rFonts w:ascii="Calibri" w:hAnsi="Calibri"/>
          <w:color w:val="0F172A"/>
          <w:sz w:val="19"/>
        </w:rPr>
        <w:t>HalluciGuard employs a deterministic evidence scoring formula that balances primary passage strength, average signal across diverse sources, source credibility, publication recency, and consensus agreement.</w:t>
      </w:r>
    </w:p>
    <w:p>
      <w:pPr>
        <w:spacing w:before="120" w:after="40"/>
        <w:jc w:val="center"/>
      </w:pPr>
      <w:r>
        <w:drawing>
          <wp:inline xmlns:a="http://schemas.openxmlformats.org/drawingml/2006/main" xmlns:pic="http://schemas.openxmlformats.org/drawingml/2006/picture">
            <wp:extent cx="5669280" cy="3507890"/>
            <wp:docPr id="6" name="Picture 6"/>
            <wp:cNvGraphicFramePr>
              <a:graphicFrameLocks noChangeAspect="1"/>
            </wp:cNvGraphicFramePr>
            <a:graphic>
              <a:graphicData uri="http://schemas.openxmlformats.org/drawingml/2006/picture">
                <pic:pic>
                  <pic:nvPicPr>
                    <pic:cNvPr id="0" name="fig05_verdict_decision_tree.png"/>
                    <pic:cNvPicPr/>
                  </pic:nvPicPr>
                  <pic:blipFill>
                    <a:blip r:embed="rId14"/>
                    <a:stretch>
                      <a:fillRect/>
                    </a:stretch>
                  </pic:blipFill>
                  <pic:spPr>
                    <a:xfrm>
                      <a:off x="0" y="0"/>
                      <a:ext cx="5669280" cy="3507890"/>
                    </a:xfrm>
                    <a:prstGeom prst="rect"/>
                  </pic:spPr>
                </pic:pic>
              </a:graphicData>
            </a:graphic>
          </wp:inline>
        </w:drawing>
      </w:r>
    </w:p>
    <w:p>
      <w:pPr>
        <w:spacing w:before="40" w:after="160"/>
        <w:jc w:val="center"/>
      </w:pPr>
      <w:r>
        <w:rPr>
          <w:rFonts w:ascii="Calibri" w:hAnsi="Calibri"/>
          <w:b/>
          <w:color w:val="1A365D"/>
          <w:sz w:val="17"/>
        </w:rPr>
        <w:t xml:space="preserve">Figure 6: Four-State Verdict Decision Tree — </w:t>
      </w:r>
      <w:r>
        <w:rPr>
          <w:rFonts w:ascii="Calibri" w:hAnsi="Calibri"/>
          <w:i/>
          <w:color w:val="475569"/>
          <w:sz w:val="16"/>
        </w:rPr>
        <w:t>Deterministic Python logic mapping aggregated support and contradiction scores into Verified, Contradicted, Unverified, and Conflicted states.</w:t>
      </w:r>
    </w:p>
    <w:p>
      <w:pPr>
        <w:spacing w:before="120" w:after="40"/>
        <w:jc w:val="center"/>
      </w:pPr>
      <w:r>
        <w:drawing>
          <wp:inline xmlns:a="http://schemas.openxmlformats.org/drawingml/2006/main" xmlns:pic="http://schemas.openxmlformats.org/drawingml/2006/picture">
            <wp:extent cx="5669280" cy="3296350"/>
            <wp:docPr id="7" name="Picture 7"/>
            <wp:cNvGraphicFramePr>
              <a:graphicFrameLocks noChangeAspect="1"/>
            </wp:cNvGraphicFramePr>
            <a:graphic>
              <a:graphicData uri="http://schemas.openxmlformats.org/drawingml/2006/picture">
                <pic:pic>
                  <pic:nvPicPr>
                    <pic:cNvPr id="0" name="fig13_scoring_confidence_math.png"/>
                    <pic:cNvPicPr/>
                  </pic:nvPicPr>
                  <pic:blipFill>
                    <a:blip r:embed="rId15"/>
                    <a:stretch>
                      <a:fillRect/>
                    </a:stretch>
                  </pic:blipFill>
                  <pic:spPr>
                    <a:xfrm>
                      <a:off x="0" y="0"/>
                      <a:ext cx="5669280" cy="3296350"/>
                    </a:xfrm>
                    <a:prstGeom prst="rect"/>
                  </pic:spPr>
                </pic:pic>
              </a:graphicData>
            </a:graphic>
          </wp:inline>
        </w:drawing>
      </w:r>
    </w:p>
    <w:p>
      <w:pPr>
        <w:spacing w:before="40" w:after="160"/>
        <w:jc w:val="center"/>
      </w:pPr>
      <w:r>
        <w:rPr>
          <w:rFonts w:ascii="Calibri" w:hAnsi="Calibri"/>
          <w:b/>
          <w:color w:val="1A365D"/>
          <w:sz w:val="17"/>
        </w:rPr>
        <w:t xml:space="preserve">Figure 7: Evidence Scoring &amp; Confidence Formulas — </w:t>
      </w:r>
      <w:r>
        <w:rPr>
          <w:rFonts w:ascii="Calibri" w:hAnsi="Calibri"/>
          <w:i/>
          <w:color w:val="475569"/>
          <w:sz w:val="16"/>
        </w:rPr>
        <w:t>Mathematical definitions for relevance weighting, base weight, polarity bonus, trust score, and calibrated confidence.</w:t>
      </w:r>
    </w:p>
    <w:p>
      <w:pPr>
        <w:keepNext/>
        <w:spacing w:before="220" w:after="60"/>
      </w:pPr>
      <w:r>
        <w:rPr>
          <w:rFonts w:ascii="Calibri" w:hAnsi="Calibri"/>
          <w:b/>
          <w:color w:val="0D9488"/>
          <w:sz w:val="25"/>
        </w:rPr>
        <w:t>6.1 Core Mathematical Formulations</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40" w:after="40" w:line="252" w:lineRule="auto"/>
            </w:pPr>
            <w:r>
              <w:rPr>
                <w:rFonts w:ascii="Consolas" w:hAnsi="Consolas"/>
                <w:color w:val="1E293B"/>
                <w:sz w:val="16"/>
              </w:rPr>
              <w:t># 1. Effective Passage Weight</w:t>
              <w:br/>
              <w:t>relevance_weight = max(0.20, min(1.0, bge_score ** 0.25))</w:t>
              <w:br/>
              <w:t>base_weight = credibility * recency * relevance_weight * validity_factor</w:t>
              <w:br/>
              <w:br/>
              <w:t># 2. Polarized Signal Calculation</w:t>
              <w:br/>
              <w:t>support_signal = entailment * (1.0 - 0.35 * neutral)</w:t>
              <w:br/>
              <w:t>contra_signal = contradiction * (1.0 - 0.35 * neutral)</w:t>
              <w:br/>
              <w:br/>
              <w:t># 3. Aggregate Polarity Scores (Deduplicated per Canonical URL)</w:t>
              <w:br/>
              <w:t>support_score = min(1.0, 0.70 * max(support_weights) + 0.30 * avg(support_weights) + support_bonus)</w:t>
              <w:br/>
              <w:t>contra_score = min(1.0, 0.70 * max(contra_weights) + 0.30 * avg(contra_weights) + contra_bonus)</w:t>
              <w:br/>
              <w:t>where bonus = min(0.15, 0.05 * max(0, len(distinct_sources) - 1))</w:t>
              <w:br/>
              <w:br/>
              <w:t># 4. Calibrated Confidence Score</w:t>
              <w:br/>
              <w:t>primary_strength = max(support_score, contra_score)</w:t>
              <w:br/>
              <w:t>consensus_factor = max(0.10, 1.0 - min(support_score, contra_score))</w:t>
              <w:br/>
              <w:t>count_factor = 0.75 + 0.25 * min(1.0, total_verified_passages / 3.0)</w:t>
              <w:br/>
              <w:t>confidence_score = primary_strength * consensus_factor * count_factor</w:t>
            </w:r>
          </w:p>
        </w:tc>
      </w:tr>
    </w:tbl>
    <w:p>
      <w:pPr>
        <w:spacing w:after="40"/>
      </w:pPr>
    </w:p>
    <w:p>
      <w:pPr>
        <w:keepNext/>
        <w:spacing w:before="320" w:after="100"/>
      </w:pPr>
      <w:r>
        <w:rPr>
          <w:rFonts w:ascii="Calibri" w:hAnsi="Calibri"/>
          <w:b/>
          <w:color w:val="1A365D"/>
          <w:sz w:val="32"/>
        </w:rPr>
        <w:t>7. Empirical Benchmark Analysis (V1.7 35-Claim Evaluation Suite)</w:t>
      </w:r>
    </w:p>
    <w:p>
      <w:pPr>
        <w:spacing w:before="0" w:after="80" w:line="276" w:lineRule="auto"/>
      </w:pPr>
      <w:r>
        <w:rPr>
          <w:rFonts w:ascii="Calibri" w:hAnsi="Calibri"/>
          <w:color w:val="0F172A"/>
          <w:sz w:val="19"/>
        </w:rPr>
        <w:t>HalluciGuard was rigorously evaluated against a 35-claim multi-domain golden dataset comprising 17 factual true claims, 13 false/hallucinated claims, 2 ambiguous claims, and 3 unsupported edge cases across all five operational domains.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3168"/>
            <w:shd w:fill="1A365D"/>
            <w:tcMar>
              <w:top w:w="80" w:type="dxa"/>
              <w:bottom w:w="80" w:type="dxa"/>
              <w:left w:w="100" w:type="dxa"/>
              <w:right w:w="100" w:type="dxa"/>
            </w:tcMar>
          </w:tcPr>
          <w:p>
            <w:pPr>
              <w:spacing w:before="40" w:after="40"/>
            </w:pPr>
            <w:r>
              <w:rPr>
                <w:rFonts w:ascii="Calibri" w:hAnsi="Calibri"/>
                <w:b/>
                <w:color w:val="FFFFFF"/>
                <w:sz w:val="18"/>
              </w:rPr>
              <w:t>EVALUATION METRIC</w:t>
            </w:r>
          </w:p>
        </w:tc>
        <w:tc>
          <w:tcPr>
            <w:tcW w:type="dxa" w:w="2304"/>
            <w:shd w:fill="1A365D"/>
            <w:tcMar>
              <w:top w:w="80" w:type="dxa"/>
              <w:bottom w:w="80" w:type="dxa"/>
              <w:left w:w="100" w:type="dxa"/>
              <w:right w:w="100" w:type="dxa"/>
            </w:tcMar>
          </w:tcPr>
          <w:p>
            <w:pPr>
              <w:spacing w:before="40" w:after="40"/>
            </w:pPr>
            <w:r>
              <w:rPr>
                <w:rFonts w:ascii="Calibri" w:hAnsi="Calibri"/>
                <w:b/>
                <w:color w:val="FFFFFF"/>
                <w:sz w:val="18"/>
              </w:rPr>
              <w:t>MEASURED VALUE</w:t>
            </w:r>
          </w:p>
        </w:tc>
        <w:tc>
          <w:tcPr>
            <w:tcW w:type="dxa" w:w="2016"/>
            <w:shd w:fill="1A365D"/>
            <w:tcMar>
              <w:top w:w="80" w:type="dxa"/>
              <w:bottom w:w="80" w:type="dxa"/>
              <w:left w:w="100" w:type="dxa"/>
              <w:right w:w="100" w:type="dxa"/>
            </w:tcMar>
          </w:tcPr>
          <w:p>
            <w:pPr>
              <w:spacing w:before="40" w:after="40"/>
            </w:pPr>
            <w:r>
              <w:rPr>
                <w:rFonts w:ascii="Calibri" w:hAnsi="Calibri"/>
                <w:b/>
                <w:color w:val="FFFFFF"/>
                <w:sz w:val="18"/>
              </w:rPr>
              <w:t>PRODUCTION TARGET</w:t>
            </w:r>
          </w:p>
        </w:tc>
        <w:tc>
          <w:tcPr>
            <w:tcW w:type="dxa" w:w="1872"/>
            <w:shd w:fill="1A365D"/>
            <w:tcMar>
              <w:top w:w="80" w:type="dxa"/>
              <w:bottom w:w="80" w:type="dxa"/>
              <w:left w:w="100" w:type="dxa"/>
              <w:right w:w="100" w:type="dxa"/>
            </w:tcMar>
          </w:tcPr>
          <w:p>
            <w:pPr>
              <w:spacing w:before="40" w:after="40"/>
            </w:pPr>
            <w:r>
              <w:rPr>
                <w:rFonts w:ascii="Calibri" w:hAnsi="Calibri"/>
                <w:b/>
                <w:color w:val="FFFFFF"/>
                <w:sz w:val="18"/>
              </w:rPr>
              <w:t>STATUS / RESULT</w:t>
            </w:r>
          </w:p>
        </w:tc>
      </w:tr>
      <w:tr>
        <w:tc>
          <w:tcPr>
            <w:tcW w:type="dxa" w:w="3168"/>
            <w:shd w:fill="FFFFFF"/>
            <w:tcMar>
              <w:top w:w="60" w:type="dxa"/>
              <w:bottom w:w="60" w:type="dxa"/>
              <w:left w:w="100" w:type="dxa"/>
              <w:right w:w="100" w:type="dxa"/>
            </w:tcMar>
          </w:tcPr>
          <w:p>
            <w:pPr>
              <w:spacing w:before="40" w:after="40" w:line="264" w:lineRule="auto"/>
            </w:pPr>
            <w:r>
              <w:rPr>
                <w:rFonts w:ascii="Calibri" w:hAnsi="Calibri"/>
                <w:color w:val="0F172A"/>
                <w:sz w:val="17"/>
              </w:rPr>
              <w:t>Overall Benchmark Accuracy</w:t>
            </w:r>
          </w:p>
        </w:tc>
        <w:tc>
          <w:tcPr>
            <w:tcW w:type="dxa" w:w="2304"/>
            <w:shd w:fill="FFFFFF"/>
            <w:tcMar>
              <w:top w:w="60" w:type="dxa"/>
              <w:bottom w:w="60" w:type="dxa"/>
              <w:left w:w="100" w:type="dxa"/>
              <w:right w:w="100" w:type="dxa"/>
            </w:tcMar>
          </w:tcPr>
          <w:p>
            <w:pPr>
              <w:spacing w:before="40" w:after="40" w:line="264" w:lineRule="auto"/>
            </w:pPr>
            <w:r>
              <w:rPr>
                <w:rFonts w:ascii="Calibri" w:hAnsi="Calibri"/>
                <w:color w:val="0F172A"/>
                <w:sz w:val="17"/>
              </w:rPr>
              <w:t>74.29% (26 / 35)</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 70.00%</w:t>
            </w:r>
          </w:p>
        </w:tc>
        <w:tc>
          <w:tcPr>
            <w:tcW w:type="dxa" w:w="1872"/>
            <w:shd w:fill="FFFFFF"/>
            <w:tcMar>
              <w:top w:w="60" w:type="dxa"/>
              <w:bottom w:w="60" w:type="dxa"/>
              <w:left w:w="100" w:type="dxa"/>
              <w:right w:w="100" w:type="dxa"/>
            </w:tcMar>
          </w:tcPr>
          <w:p>
            <w:pPr>
              <w:spacing w:before="40" w:after="40" w:line="264" w:lineRule="auto"/>
            </w:pPr>
            <w:r>
              <w:rPr>
                <w:rFonts w:ascii="Calibri" w:hAnsi="Calibri"/>
                <w:b/>
                <w:color w:val="16A34A"/>
                <w:sz w:val="17"/>
              </w:rPr>
              <w:t>EXCEEDED</w:t>
            </w:r>
          </w:p>
        </w:tc>
      </w:tr>
      <w:tr>
        <w:tc>
          <w:tcPr>
            <w:tcW w:type="dxa" w:w="3168"/>
            <w:shd w:fill="F8FAFC"/>
            <w:tcMar>
              <w:top w:w="60" w:type="dxa"/>
              <w:bottom w:w="60" w:type="dxa"/>
              <w:left w:w="100" w:type="dxa"/>
              <w:right w:w="100" w:type="dxa"/>
            </w:tcMar>
          </w:tcPr>
          <w:p>
            <w:pPr>
              <w:spacing w:before="40" w:after="40" w:line="264" w:lineRule="auto"/>
            </w:pPr>
            <w:r>
              <w:rPr>
                <w:rFonts w:ascii="Calibri" w:hAnsi="Calibri"/>
                <w:color w:val="0F172A"/>
                <w:sz w:val="17"/>
              </w:rPr>
              <w:t>Verified Precision</w:t>
            </w:r>
          </w:p>
        </w:tc>
        <w:tc>
          <w:tcPr>
            <w:tcW w:type="dxa" w:w="2304"/>
            <w:shd w:fill="F8FAFC"/>
            <w:tcMar>
              <w:top w:w="60" w:type="dxa"/>
              <w:bottom w:w="60" w:type="dxa"/>
              <w:left w:w="100" w:type="dxa"/>
              <w:right w:w="100" w:type="dxa"/>
            </w:tcMar>
          </w:tcPr>
          <w:p>
            <w:pPr>
              <w:spacing w:before="40" w:after="40" w:line="264" w:lineRule="auto"/>
            </w:pPr>
            <w:r>
              <w:rPr>
                <w:rFonts w:ascii="Calibri" w:hAnsi="Calibri"/>
                <w:color w:val="0F172A"/>
                <w:sz w:val="17"/>
              </w:rPr>
              <w:t>100.00% (14 / 14)</w:t>
            </w:r>
          </w:p>
        </w:tc>
        <w:tc>
          <w:tcPr>
            <w:tcW w:type="dxa" w:w="2016"/>
            <w:shd w:fill="F8FAFC"/>
            <w:tcMar>
              <w:top w:w="60" w:type="dxa"/>
              <w:bottom w:w="60" w:type="dxa"/>
              <w:left w:w="100" w:type="dxa"/>
              <w:right w:w="100" w:type="dxa"/>
            </w:tcMar>
          </w:tcPr>
          <w:p>
            <w:pPr>
              <w:spacing w:before="40" w:after="40" w:line="264" w:lineRule="auto"/>
            </w:pPr>
            <w:r>
              <w:rPr>
                <w:rFonts w:ascii="Calibri" w:hAnsi="Calibri"/>
                <w:color w:val="0F172A"/>
                <w:sz w:val="17"/>
              </w:rPr>
              <w:t>≥ 90.00%</w:t>
            </w:r>
          </w:p>
        </w:tc>
        <w:tc>
          <w:tcPr>
            <w:tcW w:type="dxa" w:w="1872"/>
            <w:shd w:fill="F8FAFC"/>
            <w:tcMar>
              <w:top w:w="60" w:type="dxa"/>
              <w:bottom w:w="60" w:type="dxa"/>
              <w:left w:w="100" w:type="dxa"/>
              <w:right w:w="100" w:type="dxa"/>
            </w:tcMar>
          </w:tcPr>
          <w:p>
            <w:pPr>
              <w:spacing w:before="40" w:after="40" w:line="264" w:lineRule="auto"/>
            </w:pPr>
            <w:r>
              <w:rPr>
                <w:rFonts w:ascii="Calibri" w:hAnsi="Calibri"/>
                <w:color w:val="0F172A"/>
                <w:sz w:val="17"/>
              </w:rPr>
              <w:t>EXCEEDED (Zero False Positives)</w:t>
            </w:r>
          </w:p>
        </w:tc>
      </w:tr>
      <w:tr>
        <w:tc>
          <w:tcPr>
            <w:tcW w:type="dxa" w:w="3168"/>
            <w:shd w:fill="FFFFFF"/>
            <w:tcMar>
              <w:top w:w="60" w:type="dxa"/>
              <w:bottom w:w="60" w:type="dxa"/>
              <w:left w:w="100" w:type="dxa"/>
              <w:right w:w="100" w:type="dxa"/>
            </w:tcMar>
          </w:tcPr>
          <w:p>
            <w:pPr>
              <w:spacing w:before="40" w:after="40" w:line="264" w:lineRule="auto"/>
            </w:pPr>
            <w:r>
              <w:rPr>
                <w:rFonts w:ascii="Calibri" w:hAnsi="Calibri"/>
                <w:color w:val="0F172A"/>
                <w:sz w:val="17"/>
              </w:rPr>
              <w:t>Contradicted Precision</w:t>
            </w:r>
          </w:p>
        </w:tc>
        <w:tc>
          <w:tcPr>
            <w:tcW w:type="dxa" w:w="2304"/>
            <w:shd w:fill="FFFFFF"/>
            <w:tcMar>
              <w:top w:w="60" w:type="dxa"/>
              <w:bottom w:w="60" w:type="dxa"/>
              <w:left w:w="100" w:type="dxa"/>
              <w:right w:w="100" w:type="dxa"/>
            </w:tcMar>
          </w:tcPr>
          <w:p>
            <w:pPr>
              <w:spacing w:before="40" w:after="40" w:line="264" w:lineRule="auto"/>
            </w:pPr>
            <w:r>
              <w:rPr>
                <w:rFonts w:ascii="Calibri" w:hAnsi="Calibri"/>
                <w:color w:val="0F172A"/>
                <w:sz w:val="17"/>
              </w:rPr>
              <w:t>100.00% (11 / 11)</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 90.00%</w:t>
            </w:r>
          </w:p>
        </w:tc>
        <w:tc>
          <w:tcPr>
            <w:tcW w:type="dxa" w:w="1872"/>
            <w:shd w:fill="FFFFFF"/>
            <w:tcMar>
              <w:top w:w="60" w:type="dxa"/>
              <w:bottom w:w="60" w:type="dxa"/>
              <w:left w:w="100" w:type="dxa"/>
              <w:right w:w="100" w:type="dxa"/>
            </w:tcMar>
          </w:tcPr>
          <w:p>
            <w:pPr>
              <w:spacing w:before="40" w:after="40" w:line="264" w:lineRule="auto"/>
            </w:pPr>
            <w:r>
              <w:rPr>
                <w:rFonts w:ascii="Calibri" w:hAnsi="Calibri"/>
                <w:color w:val="0F172A"/>
                <w:sz w:val="17"/>
              </w:rPr>
              <w:t>EXCEEDED (Zero False Refutations)</w:t>
            </w:r>
          </w:p>
        </w:tc>
      </w:tr>
      <w:tr>
        <w:tc>
          <w:tcPr>
            <w:tcW w:type="dxa" w:w="3168"/>
            <w:shd w:fill="F8FAFC"/>
            <w:tcMar>
              <w:top w:w="60" w:type="dxa"/>
              <w:bottom w:w="60" w:type="dxa"/>
              <w:left w:w="100" w:type="dxa"/>
              <w:right w:w="100" w:type="dxa"/>
            </w:tcMar>
          </w:tcPr>
          <w:p>
            <w:pPr>
              <w:spacing w:before="40" w:after="40" w:line="264" w:lineRule="auto"/>
            </w:pPr>
            <w:r>
              <w:rPr>
                <w:rFonts w:ascii="Calibri" w:hAnsi="Calibri"/>
                <w:color w:val="0F172A"/>
                <w:sz w:val="17"/>
              </w:rPr>
              <w:t>Macro-Averaged Precision</w:t>
            </w:r>
          </w:p>
        </w:tc>
        <w:tc>
          <w:tcPr>
            <w:tcW w:type="dxa" w:w="2304"/>
            <w:shd w:fill="F8FAFC"/>
            <w:tcMar>
              <w:top w:w="60" w:type="dxa"/>
              <w:bottom w:w="60" w:type="dxa"/>
              <w:left w:w="100" w:type="dxa"/>
              <w:right w:w="100" w:type="dxa"/>
            </w:tcMar>
          </w:tcPr>
          <w:p>
            <w:pPr>
              <w:spacing w:before="40" w:after="40" w:line="264" w:lineRule="auto"/>
            </w:pPr>
            <w:r>
              <w:rPr>
                <w:rFonts w:ascii="Calibri" w:hAnsi="Calibri"/>
                <w:color w:val="0F172A"/>
                <w:sz w:val="17"/>
              </w:rPr>
              <w:t>86.36%</w:t>
            </w:r>
          </w:p>
        </w:tc>
        <w:tc>
          <w:tcPr>
            <w:tcW w:type="dxa" w:w="2016"/>
            <w:shd w:fill="F8FAFC"/>
            <w:tcMar>
              <w:top w:w="60" w:type="dxa"/>
              <w:bottom w:w="60" w:type="dxa"/>
              <w:left w:w="100" w:type="dxa"/>
              <w:right w:w="100" w:type="dxa"/>
            </w:tcMar>
          </w:tcPr>
          <w:p>
            <w:pPr>
              <w:spacing w:before="40" w:after="40" w:line="264" w:lineRule="auto"/>
            </w:pPr>
            <w:r>
              <w:rPr>
                <w:rFonts w:ascii="Calibri" w:hAnsi="Calibri"/>
                <w:color w:val="0F172A"/>
                <w:sz w:val="17"/>
              </w:rPr>
              <w:t>≥ 75.00%</w:t>
            </w:r>
          </w:p>
        </w:tc>
        <w:tc>
          <w:tcPr>
            <w:tcW w:type="dxa" w:w="1872"/>
            <w:shd w:fill="F8FAFC"/>
            <w:tcMar>
              <w:top w:w="60" w:type="dxa"/>
              <w:bottom w:w="60" w:type="dxa"/>
              <w:left w:w="100" w:type="dxa"/>
              <w:right w:w="100" w:type="dxa"/>
            </w:tcMar>
          </w:tcPr>
          <w:p>
            <w:pPr>
              <w:spacing w:before="40" w:after="40" w:line="264" w:lineRule="auto"/>
            </w:pPr>
            <w:r>
              <w:rPr>
                <w:rFonts w:ascii="Calibri" w:hAnsi="Calibri"/>
                <w:b/>
                <w:color w:val="16A34A"/>
                <w:sz w:val="17"/>
              </w:rPr>
              <w:t>EXCEEDED</w:t>
            </w:r>
          </w:p>
        </w:tc>
      </w:tr>
      <w:tr>
        <w:tc>
          <w:tcPr>
            <w:tcW w:type="dxa" w:w="3168"/>
            <w:shd w:fill="FFFFFF"/>
            <w:tcMar>
              <w:top w:w="60" w:type="dxa"/>
              <w:bottom w:w="60" w:type="dxa"/>
              <w:left w:w="100" w:type="dxa"/>
              <w:right w:w="100" w:type="dxa"/>
            </w:tcMar>
          </w:tcPr>
          <w:p>
            <w:pPr>
              <w:spacing w:before="40" w:after="40" w:line="264" w:lineRule="auto"/>
            </w:pPr>
            <w:r>
              <w:rPr>
                <w:rFonts w:ascii="Calibri" w:hAnsi="Calibri"/>
                <w:color w:val="0F172A"/>
                <w:sz w:val="17"/>
              </w:rPr>
              <w:t>Macro-Averaged Recall</w:t>
            </w:r>
          </w:p>
        </w:tc>
        <w:tc>
          <w:tcPr>
            <w:tcW w:type="dxa" w:w="2304"/>
            <w:shd w:fill="FFFFFF"/>
            <w:tcMar>
              <w:top w:w="60" w:type="dxa"/>
              <w:bottom w:w="60" w:type="dxa"/>
              <w:left w:w="100" w:type="dxa"/>
              <w:right w:w="100" w:type="dxa"/>
            </w:tcMar>
          </w:tcPr>
          <w:p>
            <w:pPr>
              <w:spacing w:before="40" w:after="40" w:line="264" w:lineRule="auto"/>
            </w:pPr>
            <w:r>
              <w:rPr>
                <w:rFonts w:ascii="Calibri" w:hAnsi="Calibri"/>
                <w:color w:val="0F172A"/>
                <w:sz w:val="17"/>
              </w:rPr>
              <w:t>65.50%</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 60.00%</w:t>
            </w:r>
          </w:p>
        </w:tc>
        <w:tc>
          <w:tcPr>
            <w:tcW w:type="dxa" w:w="1872"/>
            <w:shd w:fill="FFFFFF"/>
            <w:tcMar>
              <w:top w:w="60" w:type="dxa"/>
              <w:bottom w:w="60" w:type="dxa"/>
              <w:left w:w="100" w:type="dxa"/>
              <w:right w:w="100" w:type="dxa"/>
            </w:tcMar>
          </w:tcPr>
          <w:p>
            <w:pPr>
              <w:spacing w:before="40" w:after="40" w:line="264" w:lineRule="auto"/>
            </w:pPr>
            <w:r>
              <w:rPr>
                <w:rFonts w:ascii="Calibri" w:hAnsi="Calibri"/>
                <w:b/>
                <w:color w:val="16A34A"/>
                <w:sz w:val="17"/>
              </w:rPr>
              <w:t>PASSED</w:t>
            </w:r>
          </w:p>
        </w:tc>
      </w:tr>
      <w:tr>
        <w:tc>
          <w:tcPr>
            <w:tcW w:type="dxa" w:w="3168"/>
            <w:shd w:fill="F8FAFC"/>
            <w:tcMar>
              <w:top w:w="60" w:type="dxa"/>
              <w:bottom w:w="60" w:type="dxa"/>
              <w:left w:w="100" w:type="dxa"/>
              <w:right w:w="100" w:type="dxa"/>
            </w:tcMar>
          </w:tcPr>
          <w:p>
            <w:pPr>
              <w:spacing w:before="40" w:after="40" w:line="264" w:lineRule="auto"/>
            </w:pPr>
            <w:r>
              <w:rPr>
                <w:rFonts w:ascii="Calibri" w:hAnsi="Calibri"/>
                <w:color w:val="0F172A"/>
                <w:sz w:val="17"/>
              </w:rPr>
              <w:t>Macro-Averaged F1 Score</w:t>
            </w:r>
          </w:p>
        </w:tc>
        <w:tc>
          <w:tcPr>
            <w:tcW w:type="dxa" w:w="2304"/>
            <w:shd w:fill="F8FAFC"/>
            <w:tcMar>
              <w:top w:w="60" w:type="dxa"/>
              <w:bottom w:w="60" w:type="dxa"/>
              <w:left w:w="100" w:type="dxa"/>
              <w:right w:w="100" w:type="dxa"/>
            </w:tcMar>
          </w:tcPr>
          <w:p>
            <w:pPr>
              <w:spacing w:before="40" w:after="40" w:line="264" w:lineRule="auto"/>
            </w:pPr>
            <w:r>
              <w:rPr>
                <w:rFonts w:ascii="Calibri" w:hAnsi="Calibri"/>
                <w:color w:val="0F172A"/>
                <w:sz w:val="17"/>
              </w:rPr>
              <w:t>67.24%</w:t>
            </w:r>
          </w:p>
        </w:tc>
        <w:tc>
          <w:tcPr>
            <w:tcW w:type="dxa" w:w="2016"/>
            <w:shd w:fill="F8FAFC"/>
            <w:tcMar>
              <w:top w:w="60" w:type="dxa"/>
              <w:bottom w:w="60" w:type="dxa"/>
              <w:left w:w="100" w:type="dxa"/>
              <w:right w:w="100" w:type="dxa"/>
            </w:tcMar>
          </w:tcPr>
          <w:p>
            <w:pPr>
              <w:spacing w:before="40" w:after="40" w:line="264" w:lineRule="auto"/>
            </w:pPr>
            <w:r>
              <w:rPr>
                <w:rFonts w:ascii="Calibri" w:hAnsi="Calibri"/>
                <w:color w:val="0F172A"/>
                <w:sz w:val="17"/>
              </w:rPr>
              <w:t>≥ 65.00%</w:t>
            </w:r>
          </w:p>
        </w:tc>
        <w:tc>
          <w:tcPr>
            <w:tcW w:type="dxa" w:w="1872"/>
            <w:shd w:fill="F8FAFC"/>
            <w:tcMar>
              <w:top w:w="60" w:type="dxa"/>
              <w:bottom w:w="60" w:type="dxa"/>
              <w:left w:w="100" w:type="dxa"/>
              <w:right w:w="100" w:type="dxa"/>
            </w:tcMar>
          </w:tcPr>
          <w:p>
            <w:pPr>
              <w:spacing w:before="40" w:after="40" w:line="264" w:lineRule="auto"/>
            </w:pPr>
            <w:r>
              <w:rPr>
                <w:rFonts w:ascii="Calibri" w:hAnsi="Calibri"/>
                <w:b/>
                <w:color w:val="16A34A"/>
                <w:sz w:val="17"/>
              </w:rPr>
              <w:t>PASSED</w:t>
            </w:r>
          </w:p>
        </w:tc>
      </w:tr>
      <w:tr>
        <w:tc>
          <w:tcPr>
            <w:tcW w:type="dxa" w:w="3168"/>
            <w:shd w:fill="FFFFFF"/>
            <w:tcMar>
              <w:top w:w="60" w:type="dxa"/>
              <w:bottom w:w="60" w:type="dxa"/>
              <w:left w:w="100" w:type="dxa"/>
              <w:right w:w="100" w:type="dxa"/>
            </w:tcMar>
          </w:tcPr>
          <w:p>
            <w:pPr>
              <w:spacing w:before="40" w:after="40" w:line="264" w:lineRule="auto"/>
            </w:pPr>
            <w:r>
              <w:rPr>
                <w:rFonts w:ascii="Calibri" w:hAnsi="Calibri"/>
                <w:color w:val="0F172A"/>
                <w:sz w:val="17"/>
              </w:rPr>
              <w:t>False Verification Rate (FVR)</w:t>
            </w:r>
          </w:p>
        </w:tc>
        <w:tc>
          <w:tcPr>
            <w:tcW w:type="dxa" w:w="2304"/>
            <w:shd w:fill="FFFFFF"/>
            <w:tcMar>
              <w:top w:w="60" w:type="dxa"/>
              <w:bottom w:w="60" w:type="dxa"/>
              <w:left w:w="100" w:type="dxa"/>
              <w:right w:w="100" w:type="dxa"/>
            </w:tcMar>
          </w:tcPr>
          <w:p>
            <w:pPr>
              <w:spacing w:before="40" w:after="40" w:line="264" w:lineRule="auto"/>
            </w:pPr>
            <w:r>
              <w:rPr>
                <w:rFonts w:ascii="Calibri" w:hAnsi="Calibri"/>
                <w:color w:val="0F172A"/>
                <w:sz w:val="17"/>
              </w:rPr>
              <w:t>0.00% (0 / 13 False Claims)</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0.00%</w:t>
            </w:r>
          </w:p>
        </w:tc>
        <w:tc>
          <w:tcPr>
            <w:tcW w:type="dxa" w:w="1872"/>
            <w:shd w:fill="FFFFFF"/>
            <w:tcMar>
              <w:top w:w="60" w:type="dxa"/>
              <w:bottom w:w="60" w:type="dxa"/>
              <w:left w:w="100" w:type="dxa"/>
              <w:right w:w="100" w:type="dxa"/>
            </w:tcMar>
          </w:tcPr>
          <w:p>
            <w:pPr>
              <w:spacing w:before="40" w:after="40" w:line="264" w:lineRule="auto"/>
            </w:pPr>
            <w:r>
              <w:rPr>
                <w:rFonts w:ascii="Calibri" w:hAnsi="Calibri"/>
                <w:color w:val="0F172A"/>
                <w:sz w:val="17"/>
              </w:rPr>
              <w:t>PERFECT BOUNDARY</w:t>
            </w:r>
          </w:p>
        </w:tc>
      </w:tr>
      <w:tr>
        <w:tc>
          <w:tcPr>
            <w:tcW w:type="dxa" w:w="3168"/>
            <w:shd w:fill="F8FAFC"/>
            <w:tcMar>
              <w:top w:w="60" w:type="dxa"/>
              <w:bottom w:w="60" w:type="dxa"/>
              <w:left w:w="100" w:type="dxa"/>
              <w:right w:w="100" w:type="dxa"/>
            </w:tcMar>
          </w:tcPr>
          <w:p>
            <w:pPr>
              <w:spacing w:before="40" w:after="40" w:line="264" w:lineRule="auto"/>
            </w:pPr>
            <w:r>
              <w:rPr>
                <w:rFonts w:ascii="Calibri" w:hAnsi="Calibri"/>
                <w:color w:val="0F172A"/>
                <w:sz w:val="17"/>
              </w:rPr>
              <w:t>False Contradiction Rate (FCR)</w:t>
            </w:r>
          </w:p>
        </w:tc>
        <w:tc>
          <w:tcPr>
            <w:tcW w:type="dxa" w:w="2304"/>
            <w:shd w:fill="F8FAFC"/>
            <w:tcMar>
              <w:top w:w="60" w:type="dxa"/>
              <w:bottom w:w="60" w:type="dxa"/>
              <w:left w:w="100" w:type="dxa"/>
              <w:right w:w="100" w:type="dxa"/>
            </w:tcMar>
          </w:tcPr>
          <w:p>
            <w:pPr>
              <w:spacing w:before="40" w:after="40" w:line="264" w:lineRule="auto"/>
            </w:pPr>
            <w:r>
              <w:rPr>
                <w:rFonts w:ascii="Calibri" w:hAnsi="Calibri"/>
                <w:color w:val="0F172A"/>
                <w:sz w:val="17"/>
              </w:rPr>
              <w:t>0.00% (0 / 17 True Claims)</w:t>
            </w:r>
          </w:p>
        </w:tc>
        <w:tc>
          <w:tcPr>
            <w:tcW w:type="dxa" w:w="2016"/>
            <w:shd w:fill="F8FAFC"/>
            <w:tcMar>
              <w:top w:w="60" w:type="dxa"/>
              <w:bottom w:w="60" w:type="dxa"/>
              <w:left w:w="100" w:type="dxa"/>
              <w:right w:w="100" w:type="dxa"/>
            </w:tcMar>
          </w:tcPr>
          <w:p>
            <w:pPr>
              <w:spacing w:before="40" w:after="40" w:line="264" w:lineRule="auto"/>
            </w:pPr>
            <w:r>
              <w:rPr>
                <w:rFonts w:ascii="Calibri" w:hAnsi="Calibri"/>
                <w:color w:val="0F172A"/>
                <w:sz w:val="17"/>
              </w:rPr>
              <w:t>0.00%</w:t>
            </w:r>
          </w:p>
        </w:tc>
        <w:tc>
          <w:tcPr>
            <w:tcW w:type="dxa" w:w="1872"/>
            <w:shd w:fill="F8FAFC"/>
            <w:tcMar>
              <w:top w:w="60" w:type="dxa"/>
              <w:bottom w:w="60" w:type="dxa"/>
              <w:left w:w="100" w:type="dxa"/>
              <w:right w:w="100" w:type="dxa"/>
            </w:tcMar>
          </w:tcPr>
          <w:p>
            <w:pPr>
              <w:spacing w:before="40" w:after="40" w:line="264" w:lineRule="auto"/>
            </w:pPr>
            <w:r>
              <w:rPr>
                <w:rFonts w:ascii="Calibri" w:hAnsi="Calibri"/>
                <w:color w:val="0F172A"/>
                <w:sz w:val="17"/>
              </w:rPr>
              <w:t>PERFECT BOUNDARY</w:t>
            </w:r>
          </w:p>
        </w:tc>
      </w:tr>
      <w:tr>
        <w:tc>
          <w:tcPr>
            <w:tcW w:type="dxa" w:w="3168"/>
            <w:shd w:fill="FFFFFF"/>
            <w:tcMar>
              <w:top w:w="60" w:type="dxa"/>
              <w:bottom w:w="60" w:type="dxa"/>
              <w:left w:w="100" w:type="dxa"/>
              <w:right w:w="100" w:type="dxa"/>
            </w:tcMar>
          </w:tcPr>
          <w:p>
            <w:pPr>
              <w:spacing w:before="40" w:after="40" w:line="264" w:lineRule="auto"/>
            </w:pPr>
            <w:r>
              <w:rPr>
                <w:rFonts w:ascii="Calibri" w:hAnsi="Calibri"/>
                <w:color w:val="0F172A"/>
                <w:sz w:val="17"/>
              </w:rPr>
              <w:t>P50 End-to-End Latency</w:t>
            </w:r>
          </w:p>
        </w:tc>
        <w:tc>
          <w:tcPr>
            <w:tcW w:type="dxa" w:w="2304"/>
            <w:shd w:fill="FFFFFF"/>
            <w:tcMar>
              <w:top w:w="60" w:type="dxa"/>
              <w:bottom w:w="60" w:type="dxa"/>
              <w:left w:w="100" w:type="dxa"/>
              <w:right w:w="100" w:type="dxa"/>
            </w:tcMar>
          </w:tcPr>
          <w:p>
            <w:pPr>
              <w:spacing w:before="40" w:after="40" w:line="264" w:lineRule="auto"/>
            </w:pPr>
            <w:r>
              <w:rPr>
                <w:rFonts w:ascii="Calibri" w:hAnsi="Calibri"/>
                <w:color w:val="0F172A"/>
                <w:sz w:val="17"/>
              </w:rPr>
              <w:t>16,153 ms</w:t>
            </w:r>
          </w:p>
        </w:tc>
        <w:tc>
          <w:tcPr>
            <w:tcW w:type="dxa" w:w="2016"/>
            <w:shd w:fill="FFFFFF"/>
            <w:tcMar>
              <w:top w:w="60" w:type="dxa"/>
              <w:bottom w:w="60" w:type="dxa"/>
              <w:left w:w="100" w:type="dxa"/>
              <w:right w:w="100" w:type="dxa"/>
            </w:tcMar>
          </w:tcPr>
          <w:p>
            <w:pPr>
              <w:spacing w:before="40" w:after="40" w:line="264" w:lineRule="auto"/>
            </w:pPr>
            <w:r>
              <w:rPr>
                <w:rFonts w:ascii="Calibri" w:hAnsi="Calibri"/>
                <w:color w:val="0F172A"/>
                <w:sz w:val="17"/>
              </w:rPr>
              <w:t>≤ 20,000 ms</w:t>
            </w:r>
          </w:p>
        </w:tc>
        <w:tc>
          <w:tcPr>
            <w:tcW w:type="dxa" w:w="1872"/>
            <w:shd w:fill="FFFFFF"/>
            <w:tcMar>
              <w:top w:w="60" w:type="dxa"/>
              <w:bottom w:w="60" w:type="dxa"/>
              <w:left w:w="100" w:type="dxa"/>
              <w:right w:w="100" w:type="dxa"/>
            </w:tcMar>
          </w:tcPr>
          <w:p>
            <w:pPr>
              <w:spacing w:before="40" w:after="40" w:line="264" w:lineRule="auto"/>
            </w:pPr>
            <w:r>
              <w:rPr>
                <w:rFonts w:ascii="Calibri" w:hAnsi="Calibri"/>
                <w:b/>
                <w:color w:val="16A34A"/>
                <w:sz w:val="17"/>
              </w:rPr>
              <w:t>PASSED</w:t>
            </w:r>
          </w:p>
        </w:tc>
      </w:tr>
      <w:tr>
        <w:tc>
          <w:tcPr>
            <w:tcW w:type="dxa" w:w="3168"/>
            <w:shd w:fill="F8FAFC"/>
            <w:tcMar>
              <w:top w:w="60" w:type="dxa"/>
              <w:bottom w:w="60" w:type="dxa"/>
              <w:left w:w="100" w:type="dxa"/>
              <w:right w:w="100" w:type="dxa"/>
            </w:tcMar>
          </w:tcPr>
          <w:p>
            <w:pPr>
              <w:spacing w:before="40" w:after="40" w:line="264" w:lineRule="auto"/>
            </w:pPr>
            <w:r>
              <w:rPr>
                <w:rFonts w:ascii="Calibri" w:hAnsi="Calibri"/>
                <w:color w:val="0F172A"/>
                <w:sz w:val="17"/>
              </w:rPr>
              <w:t>P95 End-to-End Latency</w:t>
            </w:r>
          </w:p>
        </w:tc>
        <w:tc>
          <w:tcPr>
            <w:tcW w:type="dxa" w:w="2304"/>
            <w:shd w:fill="F8FAFC"/>
            <w:tcMar>
              <w:top w:w="60" w:type="dxa"/>
              <w:bottom w:w="60" w:type="dxa"/>
              <w:left w:w="100" w:type="dxa"/>
              <w:right w:w="100" w:type="dxa"/>
            </w:tcMar>
          </w:tcPr>
          <w:p>
            <w:pPr>
              <w:spacing w:before="40" w:after="40" w:line="264" w:lineRule="auto"/>
            </w:pPr>
            <w:r>
              <w:rPr>
                <w:rFonts w:ascii="Calibri" w:hAnsi="Calibri"/>
                <w:color w:val="0F172A"/>
                <w:sz w:val="17"/>
              </w:rPr>
              <w:t>34,752 ms</w:t>
            </w:r>
          </w:p>
        </w:tc>
        <w:tc>
          <w:tcPr>
            <w:tcW w:type="dxa" w:w="2016"/>
            <w:shd w:fill="F8FAFC"/>
            <w:tcMar>
              <w:top w:w="60" w:type="dxa"/>
              <w:bottom w:w="60" w:type="dxa"/>
              <w:left w:w="100" w:type="dxa"/>
              <w:right w:w="100" w:type="dxa"/>
            </w:tcMar>
          </w:tcPr>
          <w:p>
            <w:pPr>
              <w:spacing w:before="40" w:after="40" w:line="264" w:lineRule="auto"/>
            </w:pPr>
            <w:r>
              <w:rPr>
                <w:rFonts w:ascii="Calibri" w:hAnsi="Calibri"/>
                <w:color w:val="0F172A"/>
                <w:sz w:val="17"/>
              </w:rPr>
              <w:t>≤ 45,000 ms</w:t>
            </w:r>
          </w:p>
        </w:tc>
        <w:tc>
          <w:tcPr>
            <w:tcW w:type="dxa" w:w="1872"/>
            <w:shd w:fill="F8FAFC"/>
            <w:tcMar>
              <w:top w:w="60" w:type="dxa"/>
              <w:bottom w:w="60" w:type="dxa"/>
              <w:left w:w="100" w:type="dxa"/>
              <w:right w:w="100" w:type="dxa"/>
            </w:tcMar>
          </w:tcPr>
          <w:p>
            <w:pPr>
              <w:spacing w:before="40" w:after="40" w:line="264" w:lineRule="auto"/>
            </w:pPr>
            <w:r>
              <w:rPr>
                <w:rFonts w:ascii="Calibri" w:hAnsi="Calibri"/>
                <w:b/>
                <w:color w:val="16A34A"/>
                <w:sz w:val="17"/>
              </w:rPr>
              <w:t>PASSED</w:t>
            </w:r>
          </w:p>
        </w:tc>
      </w:tr>
    </w:tbl>
    <w:p>
      <w:pPr>
        <w:spacing w:after="80"/>
      </w:pPr>
    </w:p>
    <w:p>
      <w:pPr>
        <w:keepNext/>
        <w:spacing w:before="220" w:after="60"/>
      </w:pPr>
      <w:r>
        <w:rPr>
          <w:rFonts w:ascii="Calibri" w:hAnsi="Calibri"/>
          <w:b/>
          <w:color w:val="0D9488"/>
          <w:sz w:val="25"/>
        </w:rPr>
        <w:t>7.1 Domain-Specific Breakdown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2592"/>
            <w:shd w:fill="1A365D"/>
            <w:tcMar>
              <w:top w:w="80" w:type="dxa"/>
              <w:bottom w:w="80" w:type="dxa"/>
              <w:left w:w="100" w:type="dxa"/>
              <w:right w:w="100" w:type="dxa"/>
            </w:tcMar>
          </w:tcPr>
          <w:p>
            <w:pPr>
              <w:spacing w:before="40" w:after="40"/>
            </w:pPr>
            <w:r>
              <w:rPr>
                <w:rFonts w:ascii="Calibri" w:hAnsi="Calibri"/>
                <w:b/>
                <w:color w:val="FFFFFF"/>
                <w:sz w:val="18"/>
              </w:rPr>
              <w:t>DOMAIN</w:t>
            </w:r>
          </w:p>
        </w:tc>
        <w:tc>
          <w:tcPr>
            <w:tcW w:type="dxa" w:w="1584"/>
            <w:shd w:fill="1A365D"/>
            <w:tcMar>
              <w:top w:w="80" w:type="dxa"/>
              <w:bottom w:w="80" w:type="dxa"/>
              <w:left w:w="100" w:type="dxa"/>
              <w:right w:w="100" w:type="dxa"/>
            </w:tcMar>
          </w:tcPr>
          <w:p>
            <w:pPr>
              <w:spacing w:before="40" w:after="40"/>
            </w:pPr>
            <w:r>
              <w:rPr>
                <w:rFonts w:ascii="Calibri" w:hAnsi="Calibri"/>
                <w:b/>
                <w:color w:val="FFFFFF"/>
                <w:sz w:val="18"/>
              </w:rPr>
              <w:t>TOTAL CLAIMS</w:t>
            </w:r>
          </w:p>
        </w:tc>
        <w:tc>
          <w:tcPr>
            <w:tcW w:type="dxa" w:w="1728"/>
            <w:shd w:fill="1A365D"/>
            <w:tcMar>
              <w:top w:w="80" w:type="dxa"/>
              <w:bottom w:w="80" w:type="dxa"/>
              <w:left w:w="100" w:type="dxa"/>
              <w:right w:w="100" w:type="dxa"/>
            </w:tcMar>
          </w:tcPr>
          <w:p>
            <w:pPr>
              <w:spacing w:before="40" w:after="40"/>
            </w:pPr>
            <w:r>
              <w:rPr>
                <w:rFonts w:ascii="Calibri" w:hAnsi="Calibri"/>
                <w:b/>
                <w:color w:val="FFFFFF"/>
                <w:sz w:val="18"/>
              </w:rPr>
              <w:t>CORRECT VERDICTS</w:t>
            </w:r>
          </w:p>
        </w:tc>
        <w:tc>
          <w:tcPr>
            <w:tcW w:type="dxa" w:w="1584"/>
            <w:shd w:fill="1A365D"/>
            <w:tcMar>
              <w:top w:w="80" w:type="dxa"/>
              <w:bottom w:w="80" w:type="dxa"/>
              <w:left w:w="100" w:type="dxa"/>
              <w:right w:w="100" w:type="dxa"/>
            </w:tcMar>
          </w:tcPr>
          <w:p>
            <w:pPr>
              <w:spacing w:before="40" w:after="40"/>
            </w:pPr>
            <w:r>
              <w:rPr>
                <w:rFonts w:ascii="Calibri" w:hAnsi="Calibri"/>
                <w:b/>
                <w:color w:val="FFFFFF"/>
                <w:sz w:val="18"/>
              </w:rPr>
              <w:t>ACCURACY</w:t>
            </w:r>
          </w:p>
        </w:tc>
        <w:tc>
          <w:tcPr>
            <w:tcW w:type="dxa" w:w="1872"/>
            <w:shd w:fill="1A365D"/>
            <w:tcMar>
              <w:top w:w="80" w:type="dxa"/>
              <w:bottom w:w="80" w:type="dxa"/>
              <w:left w:w="100" w:type="dxa"/>
              <w:right w:w="100" w:type="dxa"/>
            </w:tcMar>
          </w:tcPr>
          <w:p>
            <w:pPr>
              <w:spacing w:before="40" w:after="40"/>
            </w:pPr>
            <w:r>
              <w:rPr>
                <w:rFonts w:ascii="Calibri" w:hAnsi="Calibri"/>
                <w:b/>
                <w:color w:val="FFFFFF"/>
                <w:sz w:val="18"/>
              </w:rPr>
              <w:t>PERFECT METRICS</w:t>
            </w:r>
          </w:p>
        </w:tc>
      </w:tr>
      <w:tr>
        <w:tc>
          <w:tcPr>
            <w:tcW w:type="dxa" w:w="2592"/>
            <w:shd w:fill="FFFFFF"/>
            <w:tcMar>
              <w:top w:w="60" w:type="dxa"/>
              <w:bottom w:w="60" w:type="dxa"/>
              <w:left w:w="100" w:type="dxa"/>
              <w:right w:w="100" w:type="dxa"/>
            </w:tcMar>
          </w:tcPr>
          <w:p>
            <w:pPr>
              <w:spacing w:before="40" w:after="40" w:line="264" w:lineRule="auto"/>
            </w:pPr>
            <w:r>
              <w:rPr>
                <w:rFonts w:ascii="Calibri" w:hAnsi="Calibri"/>
                <w:color w:val="0F172A"/>
                <w:sz w:val="17"/>
              </w:rPr>
              <w:t>General Knowledge</w:t>
            </w:r>
          </w:p>
        </w:tc>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7</w:t>
            </w:r>
          </w:p>
        </w:tc>
        <w:tc>
          <w:tcPr>
            <w:tcW w:type="dxa" w:w="1728"/>
            <w:shd w:fill="FFFFFF"/>
            <w:tcMar>
              <w:top w:w="60" w:type="dxa"/>
              <w:bottom w:w="60" w:type="dxa"/>
              <w:left w:w="100" w:type="dxa"/>
              <w:right w:w="100" w:type="dxa"/>
            </w:tcMar>
          </w:tcPr>
          <w:p>
            <w:pPr>
              <w:spacing w:before="40" w:after="40" w:line="264" w:lineRule="auto"/>
            </w:pPr>
            <w:r>
              <w:rPr>
                <w:rFonts w:ascii="Calibri" w:hAnsi="Calibri"/>
                <w:color w:val="0F172A"/>
                <w:sz w:val="17"/>
              </w:rPr>
              <w:t>6</w:t>
            </w:r>
          </w:p>
        </w:tc>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85.71%</w:t>
            </w:r>
          </w:p>
        </w:tc>
        <w:tc>
          <w:tcPr>
            <w:tcW w:type="dxa" w:w="1872"/>
            <w:shd w:fill="FFFFFF"/>
            <w:tcMar>
              <w:top w:w="60" w:type="dxa"/>
              <w:bottom w:w="60" w:type="dxa"/>
              <w:left w:w="100" w:type="dxa"/>
              <w:right w:w="100" w:type="dxa"/>
            </w:tcMar>
          </w:tcPr>
          <w:p>
            <w:pPr>
              <w:spacing w:before="40" w:after="40" w:line="264" w:lineRule="auto"/>
            </w:pPr>
            <w:r>
              <w:rPr>
                <w:rFonts w:ascii="Calibri" w:hAnsi="Calibri"/>
                <w:color w:val="0F172A"/>
                <w:sz w:val="17"/>
              </w:rPr>
              <w:t>100% Precision, Zero Hallucination Leakage</w:t>
            </w:r>
          </w:p>
        </w:tc>
      </w:tr>
      <w:tr>
        <w:tc>
          <w:tcPr>
            <w:tcW w:type="dxa" w:w="2592"/>
            <w:shd w:fill="F8FAFC"/>
            <w:tcMar>
              <w:top w:w="60" w:type="dxa"/>
              <w:bottom w:w="60" w:type="dxa"/>
              <w:left w:w="100" w:type="dxa"/>
              <w:right w:w="100" w:type="dxa"/>
            </w:tcMar>
          </w:tcPr>
          <w:p>
            <w:pPr>
              <w:spacing w:before="40" w:after="40" w:line="264" w:lineRule="auto"/>
            </w:pPr>
            <w:r>
              <w:rPr>
                <w:rFonts w:ascii="Calibri" w:hAnsi="Calibri"/>
                <w:color w:val="0F172A"/>
                <w:sz w:val="17"/>
              </w:rPr>
              <w:t>Healthcare &amp; Pharma</w:t>
            </w:r>
          </w:p>
        </w:tc>
        <w:tc>
          <w:tcPr>
            <w:tcW w:type="dxa" w:w="1584"/>
            <w:shd w:fill="F8FAFC"/>
            <w:tcMar>
              <w:top w:w="60" w:type="dxa"/>
              <w:bottom w:w="60" w:type="dxa"/>
              <w:left w:w="100" w:type="dxa"/>
              <w:right w:w="100" w:type="dxa"/>
            </w:tcMar>
          </w:tcPr>
          <w:p>
            <w:pPr>
              <w:spacing w:before="40" w:after="40" w:line="264" w:lineRule="auto"/>
            </w:pPr>
            <w:r>
              <w:rPr>
                <w:rFonts w:ascii="Calibri" w:hAnsi="Calibri"/>
                <w:color w:val="0F172A"/>
                <w:sz w:val="17"/>
              </w:rPr>
              <w:t>7</w:t>
            </w:r>
          </w:p>
        </w:tc>
        <w:tc>
          <w:tcPr>
            <w:tcW w:type="dxa" w:w="1728"/>
            <w:shd w:fill="F8FAFC"/>
            <w:tcMar>
              <w:top w:w="60" w:type="dxa"/>
              <w:bottom w:w="60" w:type="dxa"/>
              <w:left w:w="100" w:type="dxa"/>
              <w:right w:w="100" w:type="dxa"/>
            </w:tcMar>
          </w:tcPr>
          <w:p>
            <w:pPr>
              <w:spacing w:before="40" w:after="40" w:line="264" w:lineRule="auto"/>
            </w:pPr>
            <w:r>
              <w:rPr>
                <w:rFonts w:ascii="Calibri" w:hAnsi="Calibri"/>
                <w:color w:val="0F172A"/>
                <w:sz w:val="17"/>
              </w:rPr>
              <w:t>5</w:t>
            </w:r>
          </w:p>
        </w:tc>
        <w:tc>
          <w:tcPr>
            <w:tcW w:type="dxa" w:w="1584"/>
            <w:shd w:fill="F8FAFC"/>
            <w:tcMar>
              <w:top w:w="60" w:type="dxa"/>
              <w:bottom w:w="60" w:type="dxa"/>
              <w:left w:w="100" w:type="dxa"/>
              <w:right w:w="100" w:type="dxa"/>
            </w:tcMar>
          </w:tcPr>
          <w:p>
            <w:pPr>
              <w:spacing w:before="40" w:after="40" w:line="264" w:lineRule="auto"/>
            </w:pPr>
            <w:r>
              <w:rPr>
                <w:rFonts w:ascii="Calibri" w:hAnsi="Calibri"/>
                <w:color w:val="0F172A"/>
                <w:sz w:val="17"/>
              </w:rPr>
              <w:t>71.43%</w:t>
            </w:r>
          </w:p>
        </w:tc>
        <w:tc>
          <w:tcPr>
            <w:tcW w:type="dxa" w:w="1872"/>
            <w:shd w:fill="F8FAFC"/>
            <w:tcMar>
              <w:top w:w="60" w:type="dxa"/>
              <w:bottom w:w="60" w:type="dxa"/>
              <w:left w:w="100" w:type="dxa"/>
              <w:right w:w="100" w:type="dxa"/>
            </w:tcMar>
          </w:tcPr>
          <w:p>
            <w:pPr>
              <w:spacing w:before="40" w:after="40" w:line="264" w:lineRule="auto"/>
            </w:pPr>
            <w:r>
              <w:rPr>
                <w:rFonts w:ascii="Calibri" w:hAnsi="Calibri"/>
                <w:color w:val="0F172A"/>
                <w:sz w:val="17"/>
              </w:rPr>
              <w:t>100% Contradiction Precision on Medical Hoaxes</w:t>
            </w:r>
          </w:p>
        </w:tc>
      </w:tr>
      <w:tr>
        <w:tc>
          <w:tcPr>
            <w:tcW w:type="dxa" w:w="2592"/>
            <w:shd w:fill="FFFFFF"/>
            <w:tcMar>
              <w:top w:w="60" w:type="dxa"/>
              <w:bottom w:w="60" w:type="dxa"/>
              <w:left w:w="100" w:type="dxa"/>
              <w:right w:w="100" w:type="dxa"/>
            </w:tcMar>
          </w:tcPr>
          <w:p>
            <w:pPr>
              <w:spacing w:before="40" w:after="40" w:line="264" w:lineRule="auto"/>
            </w:pPr>
            <w:r>
              <w:rPr>
                <w:rFonts w:ascii="Calibri" w:hAnsi="Calibri"/>
                <w:color w:val="0F172A"/>
                <w:sz w:val="17"/>
              </w:rPr>
              <w:t>Cybersecurity &amp; CVE</w:t>
            </w:r>
          </w:p>
        </w:tc>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7</w:t>
            </w:r>
          </w:p>
        </w:tc>
        <w:tc>
          <w:tcPr>
            <w:tcW w:type="dxa" w:w="1728"/>
            <w:shd w:fill="FFFFFF"/>
            <w:tcMar>
              <w:top w:w="60" w:type="dxa"/>
              <w:bottom w:w="60" w:type="dxa"/>
              <w:left w:w="100" w:type="dxa"/>
              <w:right w:w="100" w:type="dxa"/>
            </w:tcMar>
          </w:tcPr>
          <w:p>
            <w:pPr>
              <w:spacing w:before="40" w:after="40" w:line="264" w:lineRule="auto"/>
            </w:pPr>
            <w:r>
              <w:rPr>
                <w:rFonts w:ascii="Calibri" w:hAnsi="Calibri"/>
                <w:color w:val="0F172A"/>
                <w:sz w:val="17"/>
              </w:rPr>
              <w:t>5</w:t>
            </w:r>
          </w:p>
        </w:tc>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71.43%</w:t>
            </w:r>
          </w:p>
        </w:tc>
        <w:tc>
          <w:tcPr>
            <w:tcW w:type="dxa" w:w="1872"/>
            <w:shd w:fill="FFFFFF"/>
            <w:tcMar>
              <w:top w:w="60" w:type="dxa"/>
              <w:bottom w:w="60" w:type="dxa"/>
              <w:left w:w="100" w:type="dxa"/>
              <w:right w:w="100" w:type="dxa"/>
            </w:tcMar>
          </w:tcPr>
          <w:p>
            <w:pPr>
              <w:spacing w:before="40" w:after="40" w:line="264" w:lineRule="auto"/>
            </w:pPr>
            <w:r>
              <w:rPr>
                <w:rFonts w:ascii="Calibri" w:hAnsi="Calibri"/>
                <w:color w:val="0F172A"/>
                <w:sz w:val="17"/>
              </w:rPr>
              <w:t>100% Precision on Invalid CVE IDs</w:t>
            </w:r>
          </w:p>
        </w:tc>
      </w:tr>
      <w:tr>
        <w:tc>
          <w:tcPr>
            <w:tcW w:type="dxa" w:w="2592"/>
            <w:shd w:fill="F8FAFC"/>
            <w:tcMar>
              <w:top w:w="60" w:type="dxa"/>
              <w:bottom w:w="60" w:type="dxa"/>
              <w:left w:w="100" w:type="dxa"/>
              <w:right w:w="100" w:type="dxa"/>
            </w:tcMar>
          </w:tcPr>
          <w:p>
            <w:pPr>
              <w:spacing w:before="40" w:after="40" w:line="264" w:lineRule="auto"/>
            </w:pPr>
            <w:r>
              <w:rPr>
                <w:rFonts w:ascii="Calibri" w:hAnsi="Calibri"/>
                <w:color w:val="0F172A"/>
                <w:sz w:val="17"/>
              </w:rPr>
              <w:t>AI &amp; Computer Science</w:t>
            </w:r>
          </w:p>
        </w:tc>
        <w:tc>
          <w:tcPr>
            <w:tcW w:type="dxa" w:w="1584"/>
            <w:shd w:fill="F8FAFC"/>
            <w:tcMar>
              <w:top w:w="60" w:type="dxa"/>
              <w:bottom w:w="60" w:type="dxa"/>
              <w:left w:w="100" w:type="dxa"/>
              <w:right w:w="100" w:type="dxa"/>
            </w:tcMar>
          </w:tcPr>
          <w:p>
            <w:pPr>
              <w:spacing w:before="40" w:after="40" w:line="264" w:lineRule="auto"/>
            </w:pPr>
            <w:r>
              <w:rPr>
                <w:rFonts w:ascii="Calibri" w:hAnsi="Calibri"/>
                <w:color w:val="0F172A"/>
                <w:sz w:val="17"/>
              </w:rPr>
              <w:t>7</w:t>
            </w:r>
          </w:p>
        </w:tc>
        <w:tc>
          <w:tcPr>
            <w:tcW w:type="dxa" w:w="1728"/>
            <w:shd w:fill="F8FAFC"/>
            <w:tcMar>
              <w:top w:w="60" w:type="dxa"/>
              <w:bottom w:w="60" w:type="dxa"/>
              <w:left w:w="100" w:type="dxa"/>
              <w:right w:w="100" w:type="dxa"/>
            </w:tcMar>
          </w:tcPr>
          <w:p>
            <w:pPr>
              <w:spacing w:before="40" w:after="40" w:line="264" w:lineRule="auto"/>
            </w:pPr>
            <w:r>
              <w:rPr>
                <w:rFonts w:ascii="Calibri" w:hAnsi="Calibri"/>
                <w:color w:val="0F172A"/>
                <w:sz w:val="17"/>
              </w:rPr>
              <w:t>5</w:t>
            </w:r>
          </w:p>
        </w:tc>
        <w:tc>
          <w:tcPr>
            <w:tcW w:type="dxa" w:w="1584"/>
            <w:shd w:fill="F8FAFC"/>
            <w:tcMar>
              <w:top w:w="60" w:type="dxa"/>
              <w:bottom w:w="60" w:type="dxa"/>
              <w:left w:w="100" w:type="dxa"/>
              <w:right w:w="100" w:type="dxa"/>
            </w:tcMar>
          </w:tcPr>
          <w:p>
            <w:pPr>
              <w:spacing w:before="40" w:after="40" w:line="264" w:lineRule="auto"/>
            </w:pPr>
            <w:r>
              <w:rPr>
                <w:rFonts w:ascii="Calibri" w:hAnsi="Calibri"/>
                <w:color w:val="0F172A"/>
                <w:sz w:val="17"/>
              </w:rPr>
              <w:t>71.43%</w:t>
            </w:r>
          </w:p>
        </w:tc>
        <w:tc>
          <w:tcPr>
            <w:tcW w:type="dxa" w:w="1872"/>
            <w:shd w:fill="F8FAFC"/>
            <w:tcMar>
              <w:top w:w="60" w:type="dxa"/>
              <w:bottom w:w="60" w:type="dxa"/>
              <w:left w:w="100" w:type="dxa"/>
              <w:right w:w="100" w:type="dxa"/>
            </w:tcMar>
          </w:tcPr>
          <w:p>
            <w:pPr>
              <w:spacing w:before="40" w:after="40" w:line="264" w:lineRule="auto"/>
            </w:pPr>
            <w:r>
              <w:rPr>
                <w:rFonts w:ascii="Calibri" w:hAnsi="Calibri"/>
                <w:color w:val="0F172A"/>
                <w:sz w:val="17"/>
              </w:rPr>
              <w:t>100% Precision on Landmark Paper Authorships</w:t>
            </w:r>
          </w:p>
        </w:tc>
      </w:tr>
      <w:tr>
        <w:tc>
          <w:tcPr>
            <w:tcW w:type="dxa" w:w="2592"/>
            <w:shd w:fill="FFFFFF"/>
            <w:tcMar>
              <w:top w:w="60" w:type="dxa"/>
              <w:bottom w:w="60" w:type="dxa"/>
              <w:left w:w="100" w:type="dxa"/>
              <w:right w:w="100" w:type="dxa"/>
            </w:tcMar>
          </w:tcPr>
          <w:p>
            <w:pPr>
              <w:spacing w:before="40" w:after="40" w:line="264" w:lineRule="auto"/>
            </w:pPr>
            <w:r>
              <w:rPr>
                <w:rFonts w:ascii="Calibri" w:hAnsi="Calibri"/>
                <w:color w:val="0F172A"/>
                <w:sz w:val="17"/>
              </w:rPr>
              <w:t>Finance &amp; Corporate</w:t>
            </w:r>
          </w:p>
        </w:tc>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7</w:t>
            </w:r>
          </w:p>
        </w:tc>
        <w:tc>
          <w:tcPr>
            <w:tcW w:type="dxa" w:w="1728"/>
            <w:shd w:fill="FFFFFF"/>
            <w:tcMar>
              <w:top w:w="60" w:type="dxa"/>
              <w:bottom w:w="60" w:type="dxa"/>
              <w:left w:w="100" w:type="dxa"/>
              <w:right w:w="100" w:type="dxa"/>
            </w:tcMar>
          </w:tcPr>
          <w:p>
            <w:pPr>
              <w:spacing w:before="40" w:after="40" w:line="264" w:lineRule="auto"/>
            </w:pPr>
            <w:r>
              <w:rPr>
                <w:rFonts w:ascii="Calibri" w:hAnsi="Calibri"/>
                <w:color w:val="0F172A"/>
                <w:sz w:val="17"/>
              </w:rPr>
              <w:t>5</w:t>
            </w:r>
          </w:p>
        </w:tc>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71.43%</w:t>
            </w:r>
          </w:p>
        </w:tc>
        <w:tc>
          <w:tcPr>
            <w:tcW w:type="dxa" w:w="1872"/>
            <w:shd w:fill="FFFFFF"/>
            <w:tcMar>
              <w:top w:w="60" w:type="dxa"/>
              <w:bottom w:w="60" w:type="dxa"/>
              <w:left w:w="100" w:type="dxa"/>
              <w:right w:w="100" w:type="dxa"/>
            </w:tcMar>
          </w:tcPr>
          <w:p>
            <w:pPr>
              <w:spacing w:before="40" w:after="40" w:line="264" w:lineRule="auto"/>
            </w:pPr>
            <w:r>
              <w:rPr>
                <w:rFonts w:ascii="Calibri" w:hAnsi="Calibri"/>
                <w:color w:val="0F172A"/>
                <w:sz w:val="17"/>
              </w:rPr>
              <w:t>100% Precision on SEC Filing Entities</w:t>
            </w:r>
          </w:p>
        </w:tc>
      </w:tr>
    </w:tbl>
    <w:p>
      <w:pPr>
        <w:spacing w:after="80"/>
      </w:pPr>
    </w:p>
    <w:p>
      <w:pPr>
        <w:keepNext/>
        <w:spacing w:before="320" w:after="100"/>
      </w:pPr>
      <w:r>
        <w:rPr>
          <w:rFonts w:ascii="Calibri" w:hAnsi="Calibri"/>
          <w:b/>
          <w:color w:val="1A365D"/>
          <w:sz w:val="32"/>
        </w:rPr>
        <w:t>8. Live Runtime Validation &amp; Execution Profiling</w:t>
      </w:r>
    </w:p>
    <w:p>
      <w:pPr>
        <w:spacing w:before="0" w:after="80" w:line="276" w:lineRule="auto"/>
      </w:pPr>
      <w:r>
        <w:rPr>
          <w:rFonts w:ascii="Calibri" w:hAnsi="Calibri"/>
          <w:color w:val="0F172A"/>
          <w:sz w:val="19"/>
        </w:rPr>
        <w:t>All neural pipelines and services were validated in a live execution environment running on a Windows 11 host equipped with an NVIDIA GeForce RTX 3050 Laptop GPU (4GB VRAM), PyTorch 2.6.0+cu126, and Python 3.13.</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3168"/>
            <w:shd w:fill="1A365D"/>
            <w:tcMar>
              <w:top w:w="80" w:type="dxa"/>
              <w:bottom w:w="80" w:type="dxa"/>
              <w:left w:w="100" w:type="dxa"/>
              <w:right w:w="100" w:type="dxa"/>
            </w:tcMar>
          </w:tcPr>
          <w:p>
            <w:pPr>
              <w:spacing w:before="40" w:after="40"/>
            </w:pPr>
            <w:r>
              <w:rPr>
                <w:rFonts w:ascii="Calibri" w:hAnsi="Calibri"/>
                <w:b/>
                <w:color w:val="FFFFFF"/>
                <w:sz w:val="18"/>
              </w:rPr>
              <w:t>PIPELINE COMPONENT</w:t>
            </w:r>
          </w:p>
        </w:tc>
        <w:tc>
          <w:tcPr>
            <w:tcW w:type="dxa" w:w="1728"/>
            <w:shd w:fill="1A365D"/>
            <w:tcMar>
              <w:top w:w="80" w:type="dxa"/>
              <w:bottom w:w="80" w:type="dxa"/>
              <w:left w:w="100" w:type="dxa"/>
              <w:right w:w="100" w:type="dxa"/>
            </w:tcMar>
          </w:tcPr>
          <w:p>
            <w:pPr>
              <w:spacing w:before="40" w:after="40"/>
            </w:pPr>
            <w:r>
              <w:rPr>
                <w:rFonts w:ascii="Calibri" w:hAnsi="Calibri"/>
                <w:b/>
                <w:color w:val="FFFFFF"/>
                <w:sz w:val="18"/>
              </w:rPr>
              <w:t>DEVICE</w:t>
            </w:r>
          </w:p>
        </w:tc>
        <w:tc>
          <w:tcPr>
            <w:tcW w:type="dxa" w:w="1584"/>
            <w:shd w:fill="1A365D"/>
            <w:tcMar>
              <w:top w:w="80" w:type="dxa"/>
              <w:bottom w:w="80" w:type="dxa"/>
              <w:left w:w="100" w:type="dxa"/>
              <w:right w:w="100" w:type="dxa"/>
            </w:tcMar>
          </w:tcPr>
          <w:p>
            <w:pPr>
              <w:spacing w:before="40" w:after="40"/>
            </w:pPr>
            <w:r>
              <w:rPr>
                <w:rFonts w:ascii="Calibri" w:hAnsi="Calibri"/>
                <w:b/>
                <w:color w:val="FFFFFF"/>
                <w:sz w:val="18"/>
              </w:rPr>
              <w:t>MEMORY (VRAM)</w:t>
            </w:r>
          </w:p>
        </w:tc>
        <w:tc>
          <w:tcPr>
            <w:tcW w:type="dxa" w:w="1440"/>
            <w:shd w:fill="1A365D"/>
            <w:tcMar>
              <w:top w:w="80" w:type="dxa"/>
              <w:bottom w:w="80" w:type="dxa"/>
              <w:left w:w="100" w:type="dxa"/>
              <w:right w:w="100" w:type="dxa"/>
            </w:tcMar>
          </w:tcPr>
          <w:p>
            <w:pPr>
              <w:spacing w:before="40" w:after="40"/>
            </w:pPr>
            <w:r>
              <w:rPr>
                <w:rFonts w:ascii="Calibri" w:hAnsi="Calibri"/>
                <w:b/>
                <w:color w:val="FFFFFF"/>
                <w:sz w:val="18"/>
              </w:rPr>
              <w:t>P50 LATENCY</w:t>
            </w:r>
          </w:p>
        </w:tc>
        <w:tc>
          <w:tcPr>
            <w:tcW w:type="dxa" w:w="1440"/>
            <w:shd w:fill="1A365D"/>
            <w:tcMar>
              <w:top w:w="80" w:type="dxa"/>
              <w:bottom w:w="80" w:type="dxa"/>
              <w:left w:w="100" w:type="dxa"/>
              <w:right w:w="100" w:type="dxa"/>
            </w:tcMar>
          </w:tcPr>
          <w:p>
            <w:pPr>
              <w:spacing w:before="40" w:after="40"/>
            </w:pPr>
            <w:r>
              <w:rPr>
                <w:rFonts w:ascii="Calibri" w:hAnsi="Calibri"/>
                <w:b/>
                <w:color w:val="FFFFFF"/>
                <w:sz w:val="18"/>
              </w:rPr>
              <w:t>EXECUTION STATUS</w:t>
            </w:r>
          </w:p>
        </w:tc>
      </w:tr>
      <w:tr>
        <w:tc>
          <w:tcPr>
            <w:tcW w:type="dxa" w:w="3168"/>
            <w:shd w:fill="FFFFFF"/>
            <w:tcMar>
              <w:top w:w="60" w:type="dxa"/>
              <w:bottom w:w="60" w:type="dxa"/>
              <w:left w:w="100" w:type="dxa"/>
              <w:right w:w="100" w:type="dxa"/>
            </w:tcMar>
          </w:tcPr>
          <w:p>
            <w:pPr>
              <w:spacing w:before="40" w:after="40" w:line="264" w:lineRule="auto"/>
            </w:pPr>
            <w:r>
              <w:rPr>
                <w:rFonts w:ascii="Calibri" w:hAnsi="Calibri"/>
                <w:color w:val="0F172A"/>
                <w:sz w:val="17"/>
              </w:rPr>
              <w:t>BaseLLMService (Qwen3-4B)</w:t>
            </w:r>
          </w:p>
        </w:tc>
        <w:tc>
          <w:tcPr>
            <w:tcW w:type="dxa" w:w="1728"/>
            <w:shd w:fill="FFFFFF"/>
            <w:tcMar>
              <w:top w:w="60" w:type="dxa"/>
              <w:bottom w:w="60" w:type="dxa"/>
              <w:left w:w="100" w:type="dxa"/>
              <w:right w:w="100" w:type="dxa"/>
            </w:tcMar>
          </w:tcPr>
          <w:p>
            <w:pPr>
              <w:spacing w:before="40" w:after="40" w:line="264" w:lineRule="auto"/>
            </w:pPr>
            <w:r>
              <w:rPr>
                <w:rFonts w:ascii="Calibri" w:hAnsi="Calibri"/>
                <w:color w:val="0F172A"/>
                <w:sz w:val="17"/>
              </w:rPr>
              <w:t>Cloud API</w:t>
            </w:r>
          </w:p>
        </w:tc>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N/A</w:t>
            </w:r>
          </w:p>
        </w:tc>
        <w:tc>
          <w:tcPr>
            <w:tcW w:type="dxa" w:w="1440"/>
            <w:shd w:fill="FFFFFF"/>
            <w:tcMar>
              <w:top w:w="60" w:type="dxa"/>
              <w:bottom w:w="60" w:type="dxa"/>
              <w:left w:w="100" w:type="dxa"/>
              <w:right w:w="100" w:type="dxa"/>
            </w:tcMar>
          </w:tcPr>
          <w:p>
            <w:pPr>
              <w:spacing w:before="40" w:after="40" w:line="264" w:lineRule="auto"/>
            </w:pPr>
            <w:r>
              <w:rPr>
                <w:rFonts w:ascii="Calibri" w:hAnsi="Calibri"/>
                <w:color w:val="0F172A"/>
                <w:sz w:val="17"/>
              </w:rPr>
              <w:t>1,240 ms</w:t>
            </w:r>
          </w:p>
        </w:tc>
        <w:tc>
          <w:tcPr>
            <w:tcW w:type="dxa" w:w="1440"/>
            <w:shd w:fill="FFFFFF"/>
            <w:tcMar>
              <w:top w:w="60" w:type="dxa"/>
              <w:bottom w:w="60" w:type="dxa"/>
              <w:left w:w="100" w:type="dxa"/>
              <w:right w:w="100" w:type="dxa"/>
            </w:tcMar>
          </w:tcPr>
          <w:p>
            <w:pPr>
              <w:spacing w:before="40" w:after="40" w:line="264" w:lineRule="auto"/>
            </w:pPr>
            <w:r>
              <w:rPr>
                <w:rFonts w:ascii="Calibri" w:hAnsi="Calibri"/>
                <w:b/>
                <w:color w:val="16A34A"/>
                <w:sz w:val="17"/>
              </w:rPr>
              <w:t>LIVE-VERIFIED</w:t>
            </w:r>
          </w:p>
        </w:tc>
      </w:tr>
      <w:tr>
        <w:tc>
          <w:tcPr>
            <w:tcW w:type="dxa" w:w="3168"/>
            <w:shd w:fill="F8FAFC"/>
            <w:tcMar>
              <w:top w:w="60" w:type="dxa"/>
              <w:bottom w:w="60" w:type="dxa"/>
              <w:left w:w="100" w:type="dxa"/>
              <w:right w:w="100" w:type="dxa"/>
            </w:tcMar>
          </w:tcPr>
          <w:p>
            <w:pPr>
              <w:spacing w:before="40" w:after="40" w:line="264" w:lineRule="auto"/>
            </w:pPr>
            <w:r>
              <w:rPr>
                <w:rFonts w:ascii="Calibri" w:hAnsi="Calibri"/>
                <w:color w:val="0F172A"/>
                <w:sz w:val="17"/>
              </w:rPr>
              <w:t>DetectorAgent (HaluEval DistilBERT)</w:t>
            </w:r>
          </w:p>
        </w:tc>
        <w:tc>
          <w:tcPr>
            <w:tcW w:type="dxa" w:w="1728"/>
            <w:shd w:fill="F8FAFC"/>
            <w:tcMar>
              <w:top w:w="60" w:type="dxa"/>
              <w:bottom w:w="60" w:type="dxa"/>
              <w:left w:w="100" w:type="dxa"/>
              <w:right w:w="100" w:type="dxa"/>
            </w:tcMar>
          </w:tcPr>
          <w:p>
            <w:pPr>
              <w:spacing w:before="40" w:after="40" w:line="264" w:lineRule="auto"/>
            </w:pPr>
            <w:r>
              <w:rPr>
                <w:rFonts w:ascii="Calibri" w:hAnsi="Calibri"/>
                <w:color w:val="0F172A"/>
                <w:sz w:val="17"/>
              </w:rPr>
              <w:t>CUDA (RTX 3050)</w:t>
            </w:r>
          </w:p>
        </w:tc>
        <w:tc>
          <w:tcPr>
            <w:tcW w:type="dxa" w:w="1584"/>
            <w:shd w:fill="F8FAFC"/>
            <w:tcMar>
              <w:top w:w="60" w:type="dxa"/>
              <w:bottom w:w="60" w:type="dxa"/>
              <w:left w:w="100" w:type="dxa"/>
              <w:right w:w="100" w:type="dxa"/>
            </w:tcMar>
          </w:tcPr>
          <w:p>
            <w:pPr>
              <w:spacing w:before="40" w:after="40" w:line="264" w:lineRule="auto"/>
            </w:pPr>
            <w:r>
              <w:rPr>
                <w:rFonts w:ascii="Calibri" w:hAnsi="Calibri"/>
                <w:color w:val="0F172A"/>
                <w:sz w:val="17"/>
              </w:rPr>
              <w:t>264 MB</w:t>
            </w:r>
          </w:p>
        </w:tc>
        <w:tc>
          <w:tcPr>
            <w:tcW w:type="dxa" w:w="1440"/>
            <w:shd w:fill="F8FAFC"/>
            <w:tcMar>
              <w:top w:w="60" w:type="dxa"/>
              <w:bottom w:w="60" w:type="dxa"/>
              <w:left w:w="100" w:type="dxa"/>
              <w:right w:w="100" w:type="dxa"/>
            </w:tcMar>
          </w:tcPr>
          <w:p>
            <w:pPr>
              <w:spacing w:before="40" w:after="40" w:line="264" w:lineRule="auto"/>
            </w:pPr>
            <w:r>
              <w:rPr>
                <w:rFonts w:ascii="Calibri" w:hAnsi="Calibri"/>
                <w:color w:val="0F172A"/>
                <w:sz w:val="17"/>
              </w:rPr>
              <w:t>12.4 ms</w:t>
            </w:r>
          </w:p>
        </w:tc>
        <w:tc>
          <w:tcPr>
            <w:tcW w:type="dxa" w:w="1440"/>
            <w:shd w:fill="F8FAFC"/>
            <w:tcMar>
              <w:top w:w="60" w:type="dxa"/>
              <w:bottom w:w="60" w:type="dxa"/>
              <w:left w:w="100" w:type="dxa"/>
              <w:right w:w="100" w:type="dxa"/>
            </w:tcMar>
          </w:tcPr>
          <w:p>
            <w:pPr>
              <w:spacing w:before="40" w:after="40" w:line="264" w:lineRule="auto"/>
            </w:pPr>
            <w:r>
              <w:rPr>
                <w:rFonts w:ascii="Calibri" w:hAnsi="Calibri"/>
                <w:b/>
                <w:color w:val="16A34A"/>
                <w:sz w:val="17"/>
              </w:rPr>
              <w:t>LIVE-VERIFIED</w:t>
            </w:r>
          </w:p>
        </w:tc>
      </w:tr>
      <w:tr>
        <w:tc>
          <w:tcPr>
            <w:tcW w:type="dxa" w:w="3168"/>
            <w:shd w:fill="FFFFFF"/>
            <w:tcMar>
              <w:top w:w="60" w:type="dxa"/>
              <w:bottom w:w="60" w:type="dxa"/>
              <w:left w:w="100" w:type="dxa"/>
              <w:right w:w="100" w:type="dxa"/>
            </w:tcMar>
          </w:tcPr>
          <w:p>
            <w:pPr>
              <w:spacing w:before="40" w:after="40" w:line="264" w:lineRule="auto"/>
            </w:pPr>
            <w:r>
              <w:rPr>
                <w:rFonts w:ascii="Calibri" w:hAnsi="Calibri"/>
                <w:color w:val="0F172A"/>
                <w:sz w:val="17"/>
              </w:rPr>
              <w:t>N8NRetrievalClient (Webhook V2)</w:t>
            </w:r>
          </w:p>
        </w:tc>
        <w:tc>
          <w:tcPr>
            <w:tcW w:type="dxa" w:w="1728"/>
            <w:shd w:fill="FFFFFF"/>
            <w:tcMar>
              <w:top w:w="60" w:type="dxa"/>
              <w:bottom w:w="60" w:type="dxa"/>
              <w:left w:w="100" w:type="dxa"/>
              <w:right w:w="100" w:type="dxa"/>
            </w:tcMar>
          </w:tcPr>
          <w:p>
            <w:pPr>
              <w:spacing w:before="40" w:after="40" w:line="264" w:lineRule="auto"/>
            </w:pPr>
            <w:r>
              <w:rPr>
                <w:rFonts w:ascii="Calibri" w:hAnsi="Calibri"/>
                <w:color w:val="0F172A"/>
                <w:sz w:val="17"/>
              </w:rPr>
              <w:t>n8n Cloud</w:t>
            </w:r>
          </w:p>
        </w:tc>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N/A</w:t>
            </w:r>
          </w:p>
        </w:tc>
        <w:tc>
          <w:tcPr>
            <w:tcW w:type="dxa" w:w="1440"/>
            <w:shd w:fill="FFFFFF"/>
            <w:tcMar>
              <w:top w:w="60" w:type="dxa"/>
              <w:bottom w:w="60" w:type="dxa"/>
              <w:left w:w="100" w:type="dxa"/>
              <w:right w:w="100" w:type="dxa"/>
            </w:tcMar>
          </w:tcPr>
          <w:p>
            <w:pPr>
              <w:spacing w:before="40" w:after="40" w:line="264" w:lineRule="auto"/>
            </w:pPr>
            <w:r>
              <w:rPr>
                <w:rFonts w:ascii="Calibri" w:hAnsi="Calibri"/>
                <w:color w:val="0F172A"/>
                <w:sz w:val="17"/>
              </w:rPr>
              <w:t>4,820 ms</w:t>
            </w:r>
          </w:p>
        </w:tc>
        <w:tc>
          <w:tcPr>
            <w:tcW w:type="dxa" w:w="1440"/>
            <w:shd w:fill="FFFFFF"/>
            <w:tcMar>
              <w:top w:w="60" w:type="dxa"/>
              <w:bottom w:w="60" w:type="dxa"/>
              <w:left w:w="100" w:type="dxa"/>
              <w:right w:w="100" w:type="dxa"/>
            </w:tcMar>
          </w:tcPr>
          <w:p>
            <w:pPr>
              <w:spacing w:before="40" w:after="40" w:line="264" w:lineRule="auto"/>
            </w:pPr>
            <w:r>
              <w:rPr>
                <w:rFonts w:ascii="Calibri" w:hAnsi="Calibri"/>
                <w:b/>
                <w:color w:val="16A34A"/>
                <w:sz w:val="17"/>
              </w:rPr>
              <w:t>LIVE-VERIFIED</w:t>
            </w:r>
          </w:p>
        </w:tc>
      </w:tr>
      <w:tr>
        <w:tc>
          <w:tcPr>
            <w:tcW w:type="dxa" w:w="3168"/>
            <w:shd w:fill="F8FAFC"/>
            <w:tcMar>
              <w:top w:w="60" w:type="dxa"/>
              <w:bottom w:w="60" w:type="dxa"/>
              <w:left w:w="100" w:type="dxa"/>
              <w:right w:w="100" w:type="dxa"/>
            </w:tcMar>
          </w:tcPr>
          <w:p>
            <w:pPr>
              <w:spacing w:before="40" w:after="40" w:line="264" w:lineRule="auto"/>
            </w:pPr>
            <w:r>
              <w:rPr>
                <w:rFonts w:ascii="Calibri" w:hAnsi="Calibri"/>
                <w:color w:val="0F172A"/>
                <w:sz w:val="17"/>
              </w:rPr>
              <w:t>BGE Cross-Encoder Reranker Large</w:t>
            </w:r>
          </w:p>
        </w:tc>
        <w:tc>
          <w:tcPr>
            <w:tcW w:type="dxa" w:w="1728"/>
            <w:shd w:fill="F8FAFC"/>
            <w:tcMar>
              <w:top w:w="60" w:type="dxa"/>
              <w:bottom w:w="60" w:type="dxa"/>
              <w:left w:w="100" w:type="dxa"/>
              <w:right w:w="100" w:type="dxa"/>
            </w:tcMar>
          </w:tcPr>
          <w:p>
            <w:pPr>
              <w:spacing w:before="40" w:after="40" w:line="264" w:lineRule="auto"/>
            </w:pPr>
            <w:r>
              <w:rPr>
                <w:rFonts w:ascii="Calibri" w:hAnsi="Calibri"/>
                <w:color w:val="0F172A"/>
                <w:sz w:val="17"/>
              </w:rPr>
              <w:t>CUDA (RTX 3050)</w:t>
            </w:r>
          </w:p>
        </w:tc>
        <w:tc>
          <w:tcPr>
            <w:tcW w:type="dxa" w:w="1584"/>
            <w:shd w:fill="F8FAFC"/>
            <w:tcMar>
              <w:top w:w="60" w:type="dxa"/>
              <w:bottom w:w="60" w:type="dxa"/>
              <w:left w:w="100" w:type="dxa"/>
              <w:right w:w="100" w:type="dxa"/>
            </w:tcMar>
          </w:tcPr>
          <w:p>
            <w:pPr>
              <w:spacing w:before="40" w:after="40" w:line="264" w:lineRule="auto"/>
            </w:pPr>
            <w:r>
              <w:rPr>
                <w:rFonts w:ascii="Calibri" w:hAnsi="Calibri"/>
                <w:color w:val="0F172A"/>
                <w:sz w:val="17"/>
              </w:rPr>
              <w:t>1,120 MB</w:t>
            </w:r>
          </w:p>
        </w:tc>
        <w:tc>
          <w:tcPr>
            <w:tcW w:type="dxa" w:w="1440"/>
            <w:shd w:fill="F8FAFC"/>
            <w:tcMar>
              <w:top w:w="60" w:type="dxa"/>
              <w:bottom w:w="60" w:type="dxa"/>
              <w:left w:w="100" w:type="dxa"/>
              <w:right w:w="100" w:type="dxa"/>
            </w:tcMar>
          </w:tcPr>
          <w:p>
            <w:pPr>
              <w:spacing w:before="40" w:after="40" w:line="264" w:lineRule="auto"/>
            </w:pPr>
            <w:r>
              <w:rPr>
                <w:rFonts w:ascii="Calibri" w:hAnsi="Calibri"/>
                <w:color w:val="0F172A"/>
                <w:sz w:val="17"/>
              </w:rPr>
              <w:t>84.6 ms</w:t>
            </w:r>
          </w:p>
        </w:tc>
        <w:tc>
          <w:tcPr>
            <w:tcW w:type="dxa" w:w="1440"/>
            <w:shd w:fill="F8FAFC"/>
            <w:tcMar>
              <w:top w:w="60" w:type="dxa"/>
              <w:bottom w:w="60" w:type="dxa"/>
              <w:left w:w="100" w:type="dxa"/>
              <w:right w:w="100" w:type="dxa"/>
            </w:tcMar>
          </w:tcPr>
          <w:p>
            <w:pPr>
              <w:spacing w:before="40" w:after="40" w:line="264" w:lineRule="auto"/>
            </w:pPr>
            <w:r>
              <w:rPr>
                <w:rFonts w:ascii="Calibri" w:hAnsi="Calibri"/>
                <w:b/>
                <w:color w:val="16A34A"/>
                <w:sz w:val="17"/>
              </w:rPr>
              <w:t>LIVE-VERIFIED</w:t>
            </w:r>
          </w:p>
        </w:tc>
      </w:tr>
      <w:tr>
        <w:tc>
          <w:tcPr>
            <w:tcW w:type="dxa" w:w="3168"/>
            <w:shd w:fill="FFFFFF"/>
            <w:tcMar>
              <w:top w:w="60" w:type="dxa"/>
              <w:bottom w:w="60" w:type="dxa"/>
              <w:left w:w="100" w:type="dxa"/>
              <w:right w:w="100" w:type="dxa"/>
            </w:tcMar>
          </w:tcPr>
          <w:p>
            <w:pPr>
              <w:spacing w:before="40" w:after="40" w:line="264" w:lineRule="auto"/>
            </w:pPr>
            <w:r>
              <w:rPr>
                <w:rFonts w:ascii="Calibri" w:hAnsi="Calibri"/>
                <w:color w:val="0F172A"/>
                <w:sz w:val="17"/>
              </w:rPr>
              <w:t>DeBERTa-v3 Natural Language Inference</w:t>
            </w:r>
          </w:p>
        </w:tc>
        <w:tc>
          <w:tcPr>
            <w:tcW w:type="dxa" w:w="1728"/>
            <w:shd w:fill="FFFFFF"/>
            <w:tcMar>
              <w:top w:w="60" w:type="dxa"/>
              <w:bottom w:w="60" w:type="dxa"/>
              <w:left w:w="100" w:type="dxa"/>
              <w:right w:w="100" w:type="dxa"/>
            </w:tcMar>
          </w:tcPr>
          <w:p>
            <w:pPr>
              <w:spacing w:before="40" w:after="40" w:line="264" w:lineRule="auto"/>
            </w:pPr>
            <w:r>
              <w:rPr>
                <w:rFonts w:ascii="Calibri" w:hAnsi="Calibri"/>
                <w:color w:val="0F172A"/>
                <w:sz w:val="17"/>
              </w:rPr>
              <w:t>CUDA (RTX 3050)</w:t>
            </w:r>
          </w:p>
        </w:tc>
        <w:tc>
          <w:tcPr>
            <w:tcW w:type="dxa" w:w="1584"/>
            <w:shd w:fill="FFFFFF"/>
            <w:tcMar>
              <w:top w:w="60" w:type="dxa"/>
              <w:bottom w:w="60" w:type="dxa"/>
              <w:left w:w="100" w:type="dxa"/>
              <w:right w:w="100" w:type="dxa"/>
            </w:tcMar>
          </w:tcPr>
          <w:p>
            <w:pPr>
              <w:spacing w:before="40" w:after="40" w:line="264" w:lineRule="auto"/>
            </w:pPr>
            <w:r>
              <w:rPr>
                <w:rFonts w:ascii="Calibri" w:hAnsi="Calibri"/>
                <w:color w:val="0F172A"/>
                <w:sz w:val="17"/>
              </w:rPr>
              <w:t>380 MB</w:t>
            </w:r>
          </w:p>
        </w:tc>
        <w:tc>
          <w:tcPr>
            <w:tcW w:type="dxa" w:w="1440"/>
            <w:shd w:fill="FFFFFF"/>
            <w:tcMar>
              <w:top w:w="60" w:type="dxa"/>
              <w:bottom w:w="60" w:type="dxa"/>
              <w:left w:w="100" w:type="dxa"/>
              <w:right w:w="100" w:type="dxa"/>
            </w:tcMar>
          </w:tcPr>
          <w:p>
            <w:pPr>
              <w:spacing w:before="40" w:after="40" w:line="264" w:lineRule="auto"/>
            </w:pPr>
            <w:r>
              <w:rPr>
                <w:rFonts w:ascii="Calibri" w:hAnsi="Calibri"/>
                <w:color w:val="0F172A"/>
                <w:sz w:val="17"/>
              </w:rPr>
              <w:t>42.1 ms</w:t>
            </w:r>
          </w:p>
        </w:tc>
        <w:tc>
          <w:tcPr>
            <w:tcW w:type="dxa" w:w="1440"/>
            <w:shd w:fill="FFFFFF"/>
            <w:tcMar>
              <w:top w:w="60" w:type="dxa"/>
              <w:bottom w:w="60" w:type="dxa"/>
              <w:left w:w="100" w:type="dxa"/>
              <w:right w:w="100" w:type="dxa"/>
            </w:tcMar>
          </w:tcPr>
          <w:p>
            <w:pPr>
              <w:spacing w:before="40" w:after="40" w:line="264" w:lineRule="auto"/>
            </w:pPr>
            <w:r>
              <w:rPr>
                <w:rFonts w:ascii="Calibri" w:hAnsi="Calibri"/>
                <w:b/>
                <w:color w:val="16A34A"/>
                <w:sz w:val="17"/>
              </w:rPr>
              <w:t>LIVE-VERIFIED</w:t>
            </w:r>
          </w:p>
        </w:tc>
      </w:tr>
      <w:tr>
        <w:tc>
          <w:tcPr>
            <w:tcW w:type="dxa" w:w="3168"/>
            <w:shd w:fill="F8FAFC"/>
            <w:tcMar>
              <w:top w:w="60" w:type="dxa"/>
              <w:bottom w:w="60" w:type="dxa"/>
              <w:left w:w="100" w:type="dxa"/>
              <w:right w:w="100" w:type="dxa"/>
            </w:tcMar>
          </w:tcPr>
          <w:p>
            <w:pPr>
              <w:spacing w:before="40" w:after="40" w:line="264" w:lineRule="auto"/>
            </w:pPr>
            <w:r>
              <w:rPr>
                <w:rFonts w:ascii="Calibri" w:hAnsi="Calibri"/>
                <w:color w:val="0F172A"/>
                <w:sz w:val="17"/>
              </w:rPr>
              <w:t>EvidenceScorer &amp; RelationVerifier</w:t>
            </w:r>
          </w:p>
        </w:tc>
        <w:tc>
          <w:tcPr>
            <w:tcW w:type="dxa" w:w="1728"/>
            <w:shd w:fill="F8FAFC"/>
            <w:tcMar>
              <w:top w:w="60" w:type="dxa"/>
              <w:bottom w:w="60" w:type="dxa"/>
              <w:left w:w="100" w:type="dxa"/>
              <w:right w:w="100" w:type="dxa"/>
            </w:tcMar>
          </w:tcPr>
          <w:p>
            <w:pPr>
              <w:spacing w:before="40" w:after="40" w:line="264" w:lineRule="auto"/>
            </w:pPr>
            <w:r>
              <w:rPr>
                <w:rFonts w:ascii="Calibri" w:hAnsi="Calibri"/>
                <w:color w:val="0F172A"/>
                <w:sz w:val="17"/>
              </w:rPr>
              <w:t>CPU (Host)</w:t>
            </w:r>
          </w:p>
        </w:tc>
        <w:tc>
          <w:tcPr>
            <w:tcW w:type="dxa" w:w="1584"/>
            <w:shd w:fill="F8FAFC"/>
            <w:tcMar>
              <w:top w:w="60" w:type="dxa"/>
              <w:bottom w:w="60" w:type="dxa"/>
              <w:left w:w="100" w:type="dxa"/>
              <w:right w:w="100" w:type="dxa"/>
            </w:tcMar>
          </w:tcPr>
          <w:p>
            <w:pPr>
              <w:spacing w:before="40" w:after="40" w:line="264" w:lineRule="auto"/>
            </w:pPr>
            <w:r>
              <w:rPr>
                <w:rFonts w:ascii="Calibri" w:hAnsi="Calibri"/>
                <w:color w:val="0F172A"/>
                <w:sz w:val="17"/>
              </w:rPr>
              <w:t>12 MB</w:t>
            </w:r>
          </w:p>
        </w:tc>
        <w:tc>
          <w:tcPr>
            <w:tcW w:type="dxa" w:w="1440"/>
            <w:shd w:fill="F8FAFC"/>
            <w:tcMar>
              <w:top w:w="60" w:type="dxa"/>
              <w:bottom w:w="60" w:type="dxa"/>
              <w:left w:w="100" w:type="dxa"/>
              <w:right w:w="100" w:type="dxa"/>
            </w:tcMar>
          </w:tcPr>
          <w:p>
            <w:pPr>
              <w:spacing w:before="40" w:after="40" w:line="264" w:lineRule="auto"/>
            </w:pPr>
            <w:r>
              <w:rPr>
                <w:rFonts w:ascii="Calibri" w:hAnsi="Calibri"/>
                <w:color w:val="0F172A"/>
                <w:sz w:val="17"/>
              </w:rPr>
              <w:t>1.8 ms</w:t>
            </w:r>
          </w:p>
        </w:tc>
        <w:tc>
          <w:tcPr>
            <w:tcW w:type="dxa" w:w="1440"/>
            <w:shd w:fill="F8FAFC"/>
            <w:tcMar>
              <w:top w:w="60" w:type="dxa"/>
              <w:bottom w:w="60" w:type="dxa"/>
              <w:left w:w="100" w:type="dxa"/>
              <w:right w:w="100" w:type="dxa"/>
            </w:tcMar>
          </w:tcPr>
          <w:p>
            <w:pPr>
              <w:spacing w:before="40" w:after="40" w:line="264" w:lineRule="auto"/>
            </w:pPr>
            <w:r>
              <w:rPr>
                <w:rFonts w:ascii="Calibri" w:hAnsi="Calibri"/>
                <w:b/>
                <w:color w:val="16A34A"/>
                <w:sz w:val="17"/>
              </w:rPr>
              <w:t>LIVE-VERIFIED</w:t>
            </w:r>
          </w:p>
        </w:tc>
      </w:tr>
    </w:tbl>
    <w:p>
      <w:pPr>
        <w:spacing w:after="80"/>
      </w:pPr>
    </w:p>
    <w:p>
      <w:pPr>
        <w:keepNext/>
        <w:spacing w:before="320" w:after="100"/>
      </w:pPr>
      <w:r>
        <w:rPr>
          <w:rFonts w:ascii="Calibri" w:hAnsi="Calibri"/>
          <w:b/>
          <w:color w:val="1A365D"/>
          <w:sz w:val="32"/>
        </w:rPr>
        <w:t>9. Formal UML Architecture &amp; Data Flow Diagrams</w:t>
      </w:r>
    </w:p>
    <w:p>
      <w:pPr>
        <w:spacing w:before="0" w:after="80" w:line="276" w:lineRule="auto"/>
      </w:pPr>
      <w:r>
        <w:rPr>
          <w:rFonts w:ascii="Calibri" w:hAnsi="Calibri"/>
          <w:color w:val="0F172A"/>
          <w:sz w:val="19"/>
        </w:rPr>
        <w:t>HalluciGuard's multi-agent subsystem interactions and data lifecycles are formally defined using standard UML 2.5 and DFD specifications.</w:t>
      </w:r>
    </w:p>
    <w:p>
      <w:pPr>
        <w:spacing w:before="120" w:after="40"/>
        <w:jc w:val="center"/>
      </w:pPr>
      <w:r>
        <w:drawing>
          <wp:inline xmlns:a="http://schemas.openxmlformats.org/drawingml/2006/main" xmlns:pic="http://schemas.openxmlformats.org/drawingml/2006/picture">
            <wp:extent cx="5669280" cy="3296350"/>
            <wp:docPr id="8" name="Picture 8"/>
            <wp:cNvGraphicFramePr>
              <a:graphicFrameLocks noChangeAspect="1"/>
            </wp:cNvGraphicFramePr>
            <a:graphic>
              <a:graphicData uri="http://schemas.openxmlformats.org/drawingml/2006/picture">
                <pic:pic>
                  <pic:nvPicPr>
                    <pic:cNvPr id="0" name="fig08_uml_component.png"/>
                    <pic:cNvPicPr/>
                  </pic:nvPicPr>
                  <pic:blipFill>
                    <a:blip r:embed="rId16"/>
                    <a:stretch>
                      <a:fillRect/>
                    </a:stretch>
                  </pic:blipFill>
                  <pic:spPr>
                    <a:xfrm>
                      <a:off x="0" y="0"/>
                      <a:ext cx="5669280" cy="3296350"/>
                    </a:xfrm>
                    <a:prstGeom prst="rect"/>
                  </pic:spPr>
                </pic:pic>
              </a:graphicData>
            </a:graphic>
          </wp:inline>
        </w:drawing>
      </w:r>
    </w:p>
    <w:p>
      <w:pPr>
        <w:spacing w:before="40" w:after="160"/>
        <w:jc w:val="center"/>
      </w:pPr>
      <w:r>
        <w:rPr>
          <w:rFonts w:ascii="Calibri" w:hAnsi="Calibri"/>
          <w:b/>
          <w:color w:val="1A365D"/>
          <w:sz w:val="17"/>
        </w:rPr>
        <w:t xml:space="preserve">Figure 8: UML Component Diagram — </w:t>
      </w:r>
      <w:r>
        <w:rPr>
          <w:rFonts w:ascii="Calibri" w:hAnsi="Calibri"/>
          <w:i/>
          <w:color w:val="475569"/>
          <w:sz w:val="16"/>
        </w:rPr>
        <w:t>Modular interfaces, inter-agent communication boundaries, and persistence data stores.</w:t>
      </w:r>
    </w:p>
    <w:p>
      <w:pPr>
        <w:spacing w:before="120" w:after="40"/>
        <w:jc w:val="center"/>
      </w:pPr>
      <w:r>
        <w:drawing>
          <wp:inline xmlns:a="http://schemas.openxmlformats.org/drawingml/2006/main" xmlns:pic="http://schemas.openxmlformats.org/drawingml/2006/picture">
            <wp:extent cx="5669280" cy="3027707"/>
            <wp:docPr id="9" name="Picture 9"/>
            <wp:cNvGraphicFramePr>
              <a:graphicFrameLocks noChangeAspect="1"/>
            </wp:cNvGraphicFramePr>
            <a:graphic>
              <a:graphicData uri="http://schemas.openxmlformats.org/drawingml/2006/picture">
                <pic:pic>
                  <pic:nvPicPr>
                    <pic:cNvPr id="0" name="fig06_uml_sequence.png"/>
                    <pic:cNvPicPr/>
                  </pic:nvPicPr>
                  <pic:blipFill>
                    <a:blip r:embed="rId17"/>
                    <a:stretch>
                      <a:fillRect/>
                    </a:stretch>
                  </pic:blipFill>
                  <pic:spPr>
                    <a:xfrm>
                      <a:off x="0" y="0"/>
                      <a:ext cx="5669280" cy="3027707"/>
                    </a:xfrm>
                    <a:prstGeom prst="rect"/>
                  </pic:spPr>
                </pic:pic>
              </a:graphicData>
            </a:graphic>
          </wp:inline>
        </w:drawing>
      </w:r>
    </w:p>
    <w:p>
      <w:pPr>
        <w:spacing w:before="40" w:after="160"/>
        <w:jc w:val="center"/>
      </w:pPr>
      <w:r>
        <w:rPr>
          <w:rFonts w:ascii="Calibri" w:hAnsi="Calibri"/>
          <w:b/>
          <w:color w:val="1A365D"/>
          <w:sz w:val="17"/>
        </w:rPr>
        <w:t xml:space="preserve">Figure 9: UML Sequence Diagram — </w:t>
      </w:r>
      <w:r>
        <w:rPr>
          <w:rFonts w:ascii="Calibri" w:hAnsi="Calibri"/>
          <w:i/>
          <w:color w:val="475569"/>
          <w:sz w:val="16"/>
        </w:rPr>
        <w:t>End-to-end asynchronous and synchronous lifelines across Base LLM, Detector, Verifier, n8n, and NLI engines.</w:t>
      </w:r>
    </w:p>
    <w:p>
      <w:pPr>
        <w:spacing w:before="120" w:after="40"/>
        <w:jc w:val="center"/>
      </w:pPr>
      <w:r>
        <w:drawing>
          <wp:inline xmlns:a="http://schemas.openxmlformats.org/drawingml/2006/main" xmlns:pic="http://schemas.openxmlformats.org/drawingml/2006/picture">
            <wp:extent cx="5669280" cy="3507890"/>
            <wp:docPr id="10" name="Picture 10"/>
            <wp:cNvGraphicFramePr>
              <a:graphicFrameLocks noChangeAspect="1"/>
            </wp:cNvGraphicFramePr>
            <a:graphic>
              <a:graphicData uri="http://schemas.openxmlformats.org/drawingml/2006/picture">
                <pic:pic>
                  <pic:nvPicPr>
                    <pic:cNvPr id="0" name="fig09_uml_activity.png"/>
                    <pic:cNvPicPr/>
                  </pic:nvPicPr>
                  <pic:blipFill>
                    <a:blip r:embed="rId18"/>
                    <a:stretch>
                      <a:fillRect/>
                    </a:stretch>
                  </pic:blipFill>
                  <pic:spPr>
                    <a:xfrm>
                      <a:off x="0" y="0"/>
                      <a:ext cx="5669280" cy="3507890"/>
                    </a:xfrm>
                    <a:prstGeom prst="rect"/>
                  </pic:spPr>
                </pic:pic>
              </a:graphicData>
            </a:graphic>
          </wp:inline>
        </w:drawing>
      </w:r>
    </w:p>
    <w:p>
      <w:pPr>
        <w:spacing w:before="40" w:after="160"/>
        <w:jc w:val="center"/>
      </w:pPr>
      <w:r>
        <w:rPr>
          <w:rFonts w:ascii="Calibri" w:hAnsi="Calibri"/>
          <w:b/>
          <w:color w:val="1A365D"/>
          <w:sz w:val="17"/>
        </w:rPr>
        <w:t xml:space="preserve">Figure 10: UML Activity Diagram — </w:t>
      </w:r>
      <w:r>
        <w:rPr>
          <w:rFonts w:ascii="Calibri" w:hAnsi="Calibri"/>
          <w:i/>
          <w:color w:val="475569"/>
          <w:sz w:val="16"/>
        </w:rPr>
        <w:t>Branching logic between standard resilient fallback and fail-closed certification mode.</w:t>
      </w:r>
    </w:p>
    <w:p>
      <w:pPr>
        <w:spacing w:before="120" w:after="40"/>
        <w:jc w:val="center"/>
      </w:pPr>
      <w:r>
        <w:drawing>
          <wp:inline xmlns:a="http://schemas.openxmlformats.org/drawingml/2006/main" xmlns:pic="http://schemas.openxmlformats.org/drawingml/2006/picture">
            <wp:extent cx="5669280" cy="3296350"/>
            <wp:docPr id="11" name="Picture 11"/>
            <wp:cNvGraphicFramePr>
              <a:graphicFrameLocks noChangeAspect="1"/>
            </wp:cNvGraphicFramePr>
            <a:graphic>
              <a:graphicData uri="http://schemas.openxmlformats.org/drawingml/2006/picture">
                <pic:pic>
                  <pic:nvPicPr>
                    <pic:cNvPr id="0" name="fig11_data_flow_diagram.png"/>
                    <pic:cNvPicPr/>
                  </pic:nvPicPr>
                  <pic:blipFill>
                    <a:blip r:embed="rId19"/>
                    <a:stretch>
                      <a:fillRect/>
                    </a:stretch>
                  </pic:blipFill>
                  <pic:spPr>
                    <a:xfrm>
                      <a:off x="0" y="0"/>
                      <a:ext cx="5669280" cy="3296350"/>
                    </a:xfrm>
                    <a:prstGeom prst="rect"/>
                  </pic:spPr>
                </pic:pic>
              </a:graphicData>
            </a:graphic>
          </wp:inline>
        </w:drawing>
      </w:r>
    </w:p>
    <w:p>
      <w:pPr>
        <w:spacing w:before="40" w:after="160"/>
        <w:jc w:val="center"/>
      </w:pPr>
      <w:r>
        <w:rPr>
          <w:rFonts w:ascii="Calibri" w:hAnsi="Calibri"/>
          <w:b/>
          <w:color w:val="1A365D"/>
          <w:sz w:val="17"/>
        </w:rPr>
        <w:t xml:space="preserve">Figure 11: Level-0 and Level-1 Data Flow Diagram (DFD) — </w:t>
      </w:r>
      <w:r>
        <w:rPr>
          <w:rFonts w:ascii="Calibri" w:hAnsi="Calibri"/>
          <w:i/>
          <w:color w:val="475569"/>
          <w:sz w:val="16"/>
        </w:rPr>
        <w:t>Data transformations from raw prompt to risk metrics, atomic triples, evidence passages, and final verdict.</w:t>
      </w:r>
    </w:p>
    <w:p>
      <w:pPr>
        <w:spacing w:before="120" w:after="40"/>
        <w:jc w:val="center"/>
      </w:pPr>
      <w:r>
        <w:drawing>
          <wp:inline xmlns:a="http://schemas.openxmlformats.org/drawingml/2006/main" xmlns:pic="http://schemas.openxmlformats.org/drawingml/2006/picture">
            <wp:extent cx="5669280" cy="3296350"/>
            <wp:docPr id="12" name="Picture 12"/>
            <wp:cNvGraphicFramePr>
              <a:graphicFrameLocks noChangeAspect="1"/>
            </wp:cNvGraphicFramePr>
            <a:graphic>
              <a:graphicData uri="http://schemas.openxmlformats.org/drawingml/2006/picture">
                <pic:pic>
                  <pic:nvPicPr>
                    <pic:cNvPr id="0" name="fig10_module_circuit.png"/>
                    <pic:cNvPicPr/>
                  </pic:nvPicPr>
                  <pic:blipFill>
                    <a:blip r:embed="rId20"/>
                    <a:stretch>
                      <a:fillRect/>
                    </a:stretch>
                  </pic:blipFill>
                  <pic:spPr>
                    <a:xfrm>
                      <a:off x="0" y="0"/>
                      <a:ext cx="5669280" cy="3296350"/>
                    </a:xfrm>
                    <a:prstGeom prst="rect"/>
                  </pic:spPr>
                </pic:pic>
              </a:graphicData>
            </a:graphic>
          </wp:inline>
        </w:drawing>
      </w:r>
    </w:p>
    <w:p>
      <w:pPr>
        <w:spacing w:before="40" w:after="160"/>
        <w:jc w:val="center"/>
      </w:pPr>
      <w:r>
        <w:rPr>
          <w:rFonts w:ascii="Calibri" w:hAnsi="Calibri"/>
          <w:b/>
          <w:color w:val="1A365D"/>
          <w:sz w:val="17"/>
        </w:rPr>
        <w:t xml:space="preserve">Figure 12: Module Dependency Circuit Graph — </w:t>
      </w:r>
      <w:r>
        <w:rPr>
          <w:rFonts w:ascii="Calibri" w:hAnsi="Calibri"/>
          <w:i/>
          <w:color w:val="475569"/>
          <w:sz w:val="16"/>
        </w:rPr>
        <w:t>Strict unidirectional dependencies across services, agents, rerankers, NLI, and scorers.</w:t>
      </w:r>
    </w:p>
    <w:p>
      <w:pPr>
        <w:spacing w:before="120" w:after="40"/>
        <w:jc w:val="center"/>
      </w:pPr>
      <w:r>
        <w:drawing>
          <wp:inline xmlns:a="http://schemas.openxmlformats.org/drawingml/2006/main" xmlns:pic="http://schemas.openxmlformats.org/drawingml/2006/picture">
            <wp:extent cx="5669280" cy="3261332"/>
            <wp:docPr id="13" name="Picture 13"/>
            <wp:cNvGraphicFramePr>
              <a:graphicFrameLocks noChangeAspect="1"/>
            </wp:cNvGraphicFramePr>
            <a:graphic>
              <a:graphicData uri="http://schemas.openxmlformats.org/drawingml/2006/picture">
                <pic:pic>
                  <pic:nvPicPr>
                    <pic:cNvPr id="0" name="fig07_deployment_architecture.png"/>
                    <pic:cNvPicPr/>
                  </pic:nvPicPr>
                  <pic:blipFill>
                    <a:blip r:embed="rId21"/>
                    <a:stretch>
                      <a:fillRect/>
                    </a:stretch>
                  </pic:blipFill>
                  <pic:spPr>
                    <a:xfrm>
                      <a:off x="0" y="0"/>
                      <a:ext cx="5669280" cy="3261332"/>
                    </a:xfrm>
                    <a:prstGeom prst="rect"/>
                  </pic:spPr>
                </pic:pic>
              </a:graphicData>
            </a:graphic>
          </wp:inline>
        </w:drawing>
      </w:r>
    </w:p>
    <w:p>
      <w:pPr>
        <w:spacing w:before="40" w:after="160"/>
        <w:jc w:val="center"/>
      </w:pPr>
      <w:r>
        <w:rPr>
          <w:rFonts w:ascii="Calibri" w:hAnsi="Calibri"/>
          <w:b/>
          <w:color w:val="1A365D"/>
          <w:sz w:val="17"/>
        </w:rPr>
        <w:t xml:space="preserve">Figure 13: Physical &amp; Logical Deployment Topology — </w:t>
      </w:r>
      <w:r>
        <w:rPr>
          <w:rFonts w:ascii="Calibri" w:hAnsi="Calibri"/>
          <w:i/>
          <w:color w:val="475569"/>
          <w:sz w:val="16"/>
        </w:rPr>
        <w:t>Hybrid edge-to-cloud infrastructure connecting Next.js clients, local GPU runtime, n8n cloud, and OpenRouter.</w:t>
      </w:r>
    </w:p>
    <w:p>
      <w:pPr>
        <w:keepNext/>
        <w:spacing w:before="320" w:after="100"/>
      </w:pPr>
      <w:r>
        <w:rPr>
          <w:rFonts w:ascii="Calibri" w:hAnsi="Calibri"/>
          <w:b/>
          <w:color w:val="1A365D"/>
          <w:sz w:val="32"/>
        </w:rPr>
        <w:t>10. Observability, Runtime Tracing &amp; Anti-Masquerade Invariants</w:t>
      </w:r>
    </w:p>
    <w:p>
      <w:pPr>
        <w:spacing w:before="0" w:after="80" w:line="276" w:lineRule="auto"/>
      </w:pPr>
      <w:r>
        <w:rPr>
          <w:rFonts w:ascii="Calibri" w:hAnsi="Calibri"/>
          <w:color w:val="0F172A"/>
          <w:sz w:val="19"/>
        </w:rPr>
        <w:t>Every verification output emitted by HalluciGuard includes an immutable ModelExecutionTrace object documenting exact device provenance, inference latency, batch sizes, and status flags. This ensures complete transparency and prevents degraded fallbacks from silently masquerading as authenticated neural verdicts.</w:t>
      </w:r>
    </w:p>
    <w:p>
      <w:pPr>
        <w:spacing w:before="120" w:after="40"/>
        <w:jc w:val="center"/>
      </w:pPr>
      <w:r>
        <w:drawing>
          <wp:inline xmlns:a="http://schemas.openxmlformats.org/drawingml/2006/main" xmlns:pic="http://schemas.openxmlformats.org/drawingml/2006/picture">
            <wp:extent cx="5669280" cy="3296350"/>
            <wp:docPr id="14" name="Picture 14"/>
            <wp:cNvGraphicFramePr>
              <a:graphicFrameLocks noChangeAspect="1"/>
            </wp:cNvGraphicFramePr>
            <a:graphic>
              <a:graphicData uri="http://schemas.openxmlformats.org/drawingml/2006/picture">
                <pic:pic>
                  <pic:nvPicPr>
                    <pic:cNvPr id="0" name="fig14_observability_trace.png"/>
                    <pic:cNvPicPr/>
                  </pic:nvPicPr>
                  <pic:blipFill>
                    <a:blip r:embed="rId22"/>
                    <a:stretch>
                      <a:fillRect/>
                    </a:stretch>
                  </pic:blipFill>
                  <pic:spPr>
                    <a:xfrm>
                      <a:off x="0" y="0"/>
                      <a:ext cx="5669280" cy="3296350"/>
                    </a:xfrm>
                    <a:prstGeom prst="rect"/>
                  </pic:spPr>
                </pic:pic>
              </a:graphicData>
            </a:graphic>
          </wp:inline>
        </w:drawing>
      </w:r>
    </w:p>
    <w:p>
      <w:pPr>
        <w:spacing w:before="40" w:after="160"/>
        <w:jc w:val="center"/>
      </w:pPr>
      <w:r>
        <w:rPr>
          <w:rFonts w:ascii="Calibri" w:hAnsi="Calibri"/>
          <w:b/>
          <w:color w:val="1A365D"/>
          <w:sz w:val="17"/>
        </w:rPr>
        <w:t xml:space="preserve">Figure 14: Runtime Observability Trace Hierarchy — </w:t>
      </w:r>
      <w:r>
        <w:rPr>
          <w:rFonts w:ascii="Calibri" w:hAnsi="Calibri"/>
          <w:i/>
          <w:color w:val="475569"/>
          <w:sz w:val="16"/>
        </w:rPr>
        <w:t>Structured provenance tree capturing gate-time relevance signals, BGE execution proof, and DeBERTa NLI metrics.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16A34A"/>
              <w:top w:val="none"/>
              <w:bottom w:val="none"/>
              <w:right w:val="none"/>
            </w:tcBorders>
          </w:tcPr>
          <w:p>
            <w:pPr>
              <w:spacing w:before="40" w:after="40" w:line="276" w:lineRule="auto"/>
            </w:pPr>
            <w:r>
              <w:rPr>
                <w:rFonts w:ascii="Calibri" w:hAnsi="Calibri"/>
                <w:b/>
                <w:color w:val="16A34A"/>
                <w:sz w:val="20"/>
              </w:rPr>
              <w:t>■ FAIL-CLOSED CERTIFICATION MODE (CERTIFICATION_MODE=true)</w:t>
              <w:br/>
            </w:r>
            <w:r>
              <w:rPr>
                <w:rFonts w:ascii="Calibri" w:hAnsi="Calibri"/>
                <w:color w:val="0F172A"/>
                <w:sz w:val="19"/>
              </w:rPr>
              <w:t>When CERTIFICATION_MODE is enabled in production configuration, HalluciGuard enforces zero-tolerance data integrity: 1. Any empty or synthetic mock evidence raises a CertificationError immediately.</w:t>
              <w:br/>
              <w:t>2. Any degraded or offline model fallback raises a hard exception rather than returning a heuristic estimate.</w:t>
              <w:br/>
              <w:t>3. Every output verdict is cryptographically linked to verifiable BGE and DeBERTa GPU forward passes.</w:t>
            </w:r>
          </w:p>
        </w:tc>
      </w:tr>
    </w:tbl>
    <w:p>
      <w:pPr>
        <w:spacing w:after="40"/>
      </w:pPr>
    </w:p>
    <w:p>
      <w:pPr>
        <w:keepNext/>
        <w:spacing w:before="320" w:after="100"/>
      </w:pPr>
      <w:r>
        <w:rPr>
          <w:rFonts w:ascii="Calibri" w:hAnsi="Calibri"/>
          <w:b/>
          <w:color w:val="1A365D"/>
          <w:sz w:val="32"/>
        </w:rPr>
        <w:t>11. Threat Modeling &amp; Adversarial Robustness Architecture</w:t>
      </w:r>
    </w:p>
    <w:p>
      <w:pPr>
        <w:spacing w:before="0" w:after="80" w:line="276" w:lineRule="auto"/>
      </w:pPr>
      <w:r>
        <w:rPr>
          <w:rFonts w:ascii="Calibri" w:hAnsi="Calibri"/>
          <w:color w:val="0F172A"/>
          <w:sz w:val="19"/>
        </w:rPr>
        <w:t>HalluciGuard incorporates defense-in-depth countermeasures against common adversarial attacks targeting LLM verification systems.</w:t>
      </w:r>
    </w:p>
    <w:p>
      <w:pPr>
        <w:spacing w:before="120" w:after="40"/>
        <w:jc w:val="center"/>
      </w:pPr>
      <w:r>
        <w:drawing>
          <wp:inline xmlns:a="http://schemas.openxmlformats.org/drawingml/2006/main" xmlns:pic="http://schemas.openxmlformats.org/drawingml/2006/picture">
            <wp:extent cx="5669280" cy="3296350"/>
            <wp:docPr id="15" name="Picture 15"/>
            <wp:cNvGraphicFramePr>
              <a:graphicFrameLocks noChangeAspect="1"/>
            </wp:cNvGraphicFramePr>
            <a:graphic>
              <a:graphicData uri="http://schemas.openxmlformats.org/drawingml/2006/picture">
                <pic:pic>
                  <pic:nvPicPr>
                    <pic:cNvPr id="0" name="fig15_threat_model_mitigation.png"/>
                    <pic:cNvPicPr/>
                  </pic:nvPicPr>
                  <pic:blipFill>
                    <a:blip r:embed="rId23"/>
                    <a:stretch>
                      <a:fillRect/>
                    </a:stretch>
                  </pic:blipFill>
                  <pic:spPr>
                    <a:xfrm>
                      <a:off x="0" y="0"/>
                      <a:ext cx="5669280" cy="3296350"/>
                    </a:xfrm>
                    <a:prstGeom prst="rect"/>
                  </pic:spPr>
                </pic:pic>
              </a:graphicData>
            </a:graphic>
          </wp:inline>
        </w:drawing>
      </w:r>
    </w:p>
    <w:p>
      <w:pPr>
        <w:spacing w:before="40" w:after="160"/>
        <w:jc w:val="center"/>
      </w:pPr>
      <w:r>
        <w:rPr>
          <w:rFonts w:ascii="Calibri" w:hAnsi="Calibri"/>
          <w:b/>
          <w:color w:val="1A365D"/>
          <w:sz w:val="17"/>
        </w:rPr>
        <w:t xml:space="preserve">Figure 15: Threat Model &amp; Countermeasure Matrix — </w:t>
      </w:r>
      <w:r>
        <w:rPr>
          <w:rFonts w:ascii="Calibri" w:hAnsi="Calibri"/>
          <w:i/>
          <w:color w:val="475569"/>
          <w:sz w:val="16"/>
        </w:rPr>
        <w:t>Architectural mitigations against prompt injection, search poisoning, myth false-entailment, and entity substitution.</w:t>
      </w:r>
    </w:p>
    <w:p>
      <w:pPr>
        <w:keepNext/>
        <w:spacing w:before="320" w:after="100"/>
      </w:pPr>
      <w:r>
        <w:rPr>
          <w:rFonts w:ascii="Calibri" w:hAnsi="Calibri"/>
          <w:b/>
          <w:color w:val="1A365D"/>
          <w:sz w:val="32"/>
        </w:rPr>
        <w:t>12. Known Limitations &amp; Strategic Engineering Roadmap</w:t>
      </w:r>
    </w:p>
    <w:p>
      <w:pPr>
        <w:spacing w:before="0" w:after="80" w:line="276" w:lineRule="auto"/>
      </w:pPr>
      <w:r>
        <w:rPr>
          <w:rFonts w:ascii="Calibri" w:hAnsi="Calibri"/>
          <w:color w:val="0F172A"/>
          <w:sz w:val="19"/>
        </w:rPr>
        <w:t>In accordance with transparent engineering principles, the current runtime limitations and planned architectural enhancements are documented below:</w:t>
      </w:r>
    </w:p>
    <w:p>
      <w:pPr>
        <w:keepNext/>
        <w:spacing w:before="220" w:after="60"/>
      </w:pPr>
      <w:r>
        <w:rPr>
          <w:rFonts w:ascii="Calibri" w:hAnsi="Calibri"/>
          <w:b/>
          <w:color w:val="0D9488"/>
          <w:sz w:val="25"/>
        </w:rPr>
        <w:t>12.1 Current Runtime Findings &amp; Limitations</w:t>
      </w:r>
    </w:p>
    <w:p>
      <w:pPr>
        <w:pStyle w:val="ListBullet"/>
        <w:spacing w:before="0" w:after="40" w:line="269" w:lineRule="auto"/>
      </w:pPr>
      <w:r>
        <w:rPr>
          <w:rFonts w:ascii="Calibri" w:hAnsi="Calibri"/>
          <w:b/>
          <w:color w:val="1A365D"/>
          <w:sz w:val="19"/>
        </w:rPr>
        <w:t xml:space="preserve">Multi-Hop Reasoning Latency: </w:t>
      </w:r>
      <w:r>
        <w:rPr>
          <w:rFonts w:ascii="Calibri" w:hAnsi="Calibri"/>
          <w:color w:val="0F172A"/>
          <w:sz w:val="19"/>
        </w:rPr>
        <w:t>Claims requiring multi-stage deductive hops (e.g. verifying an entity's parent's birthplace) require sequential n8n webhook calls, increasing P95 latency to ~34.7 seconds.</w:t>
      </w:r>
    </w:p>
    <w:p>
      <w:pPr>
        <w:pStyle w:val="ListBullet"/>
        <w:spacing w:before="0" w:after="40" w:line="269" w:lineRule="auto"/>
      </w:pPr>
      <w:r>
        <w:rPr>
          <w:rFonts w:ascii="Calibri" w:hAnsi="Calibri"/>
          <w:b/>
          <w:color w:val="1A365D"/>
          <w:sz w:val="19"/>
        </w:rPr>
        <w:t xml:space="preserve">Ambiguous Entity Disambiguation: </w:t>
      </w:r>
      <w:r>
        <w:rPr>
          <w:rFonts w:ascii="Calibri" w:hAnsi="Calibri"/>
          <w:color w:val="0F172A"/>
          <w:sz w:val="19"/>
        </w:rPr>
        <w:t>Short entity names sharing aliases across different domains (e.g. 'Apple' company vs fruit) can occasionally trigger broader retrieval scopes prior to BGE semantic filtering.</w:t>
      </w:r>
    </w:p>
    <w:p>
      <w:pPr>
        <w:pStyle w:val="ListBullet"/>
        <w:spacing w:before="0" w:after="40" w:line="269" w:lineRule="auto"/>
      </w:pPr>
      <w:r>
        <w:rPr>
          <w:rFonts w:ascii="Calibri" w:hAnsi="Calibri"/>
          <w:b/>
          <w:color w:val="1A365D"/>
          <w:sz w:val="19"/>
        </w:rPr>
        <w:t xml:space="preserve">Local GPU VRAM Footprint: </w:t>
      </w:r>
      <w:r>
        <w:rPr>
          <w:rFonts w:ascii="Calibri" w:hAnsi="Calibri"/>
          <w:color w:val="0F172A"/>
          <w:sz w:val="19"/>
        </w:rPr>
        <w:t>Co-locating BGE-Reranker-Large (560M) and DeBERTa-v3 (86M) requires ~1.8 GB of dedicated VRAM, necessitating sequential batch execution on constrained 4GB mobile GPUs.</w:t>
      </w:r>
    </w:p>
    <w:p>
      <w:pPr>
        <w:keepNext/>
        <w:spacing w:before="220" w:after="60"/>
      </w:pPr>
      <w:r>
        <w:rPr>
          <w:rFonts w:ascii="Calibri" w:hAnsi="Calibri"/>
          <w:b/>
          <w:color w:val="0D9488"/>
          <w:sz w:val="25"/>
        </w:rPr>
        <w:t>12.2 Strategic Product Roadmap</w:t>
      </w:r>
    </w:p>
    <w:p>
      <w:pPr>
        <w:pStyle w:val="ListBullet"/>
        <w:spacing w:before="0" w:after="40" w:line="269" w:lineRule="auto"/>
      </w:pPr>
      <w:r>
        <w:rPr>
          <w:rFonts w:ascii="Calibri" w:hAnsi="Calibri"/>
          <w:b/>
          <w:color w:val="1A365D"/>
          <w:sz w:val="19"/>
        </w:rPr>
        <w:t xml:space="preserve">V2.1 Vector Caching Layer: </w:t>
      </w:r>
      <w:r>
        <w:rPr>
          <w:rFonts w:ascii="Calibri" w:hAnsi="Calibri"/>
          <w:color w:val="0F172A"/>
          <w:sz w:val="19"/>
        </w:rPr>
        <w:t>Implement Qdrant / Redis vector embedding cache for high-frequency factual entities, reducing P50 latency from 16.1s to &lt; 2.5s.</w:t>
      </w:r>
    </w:p>
    <w:p>
      <w:pPr>
        <w:pStyle w:val="ListBullet"/>
        <w:spacing w:before="0" w:after="40" w:line="269" w:lineRule="auto"/>
      </w:pPr>
      <w:r>
        <w:rPr>
          <w:rFonts w:ascii="Calibri" w:hAnsi="Calibri"/>
          <w:b/>
          <w:color w:val="1A365D"/>
          <w:sz w:val="19"/>
        </w:rPr>
        <w:t xml:space="preserve">V2.2 Local Speculative Verification: </w:t>
      </w:r>
      <w:r>
        <w:rPr>
          <w:rFonts w:ascii="Calibri" w:hAnsi="Calibri"/>
          <w:color w:val="0F172A"/>
          <w:sz w:val="19"/>
        </w:rPr>
        <w:t>Deploy lightweight 0.5B SLM (Small Language Model) for instant local claim verification prior to external cloud retrieval.</w:t>
      </w:r>
    </w:p>
    <w:p>
      <w:pPr>
        <w:pStyle w:val="ListBullet"/>
        <w:spacing w:before="0" w:after="40" w:line="269" w:lineRule="auto"/>
      </w:pPr>
      <w:r>
        <w:rPr>
          <w:rFonts w:ascii="Calibri" w:hAnsi="Calibri"/>
          <w:b/>
          <w:color w:val="1A365D"/>
          <w:sz w:val="19"/>
        </w:rPr>
        <w:t xml:space="preserve">V2.3 Multi-Modal Grounding: </w:t>
      </w:r>
      <w:r>
        <w:rPr>
          <w:rFonts w:ascii="Calibri" w:hAnsi="Calibri"/>
          <w:color w:val="0F172A"/>
          <w:sz w:val="19"/>
        </w:rPr>
        <w:t>Extend evidence ingestion to extract and verify tabular charts, financial balance sheets, and biomedical diagrams.</w:t>
      </w:r>
    </w:p>
    <w:p>
      <w:pPr>
        <w:keepNext/>
        <w:spacing w:before="320" w:after="100"/>
      </w:pPr>
      <w:r>
        <w:rPr>
          <w:rFonts w:ascii="Calibri" w:hAnsi="Calibri"/>
          <w:b/>
          <w:color w:val="1A365D"/>
          <w:sz w:val="32"/>
        </w:rPr>
        <w:t>13. Appendices: Reference Schemas, Test Suites &amp; Configuration</w:t>
      </w:r>
    </w:p>
    <w:p>
      <w:pPr>
        <w:keepNext/>
        <w:spacing w:before="220" w:after="60"/>
      </w:pPr>
      <w:r>
        <w:rPr>
          <w:rFonts w:ascii="Calibri" w:hAnsi="Calibri"/>
          <w:b/>
          <w:color w:val="0D9488"/>
          <w:sz w:val="25"/>
        </w:rPr>
        <w:t>13.1 Production Environment Variables</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40" w:after="40" w:line="252" w:lineRule="auto"/>
            </w:pPr>
            <w:r>
              <w:rPr>
                <w:rFonts w:ascii="Consolas" w:hAnsi="Consolas"/>
                <w:color w:val="1E293B"/>
                <w:sz w:val="16"/>
              </w:rPr>
              <w:t># HalluciGuard Core Configuration (.env)</w:t>
              <w:br/>
              <w:t>APP_ENV=production</w:t>
              <w:br/>
              <w:t>LOG_LEVEL=INFO</w:t>
              <w:br/>
              <w:t>DEBUG=false</w:t>
              <w:br/>
              <w:t>CERTIFICATION_MODE=false</w:t>
              <w:br/>
              <w:br/>
              <w:t># LLM &amp; Cloud APIs</w:t>
              <w:br/>
              <w:t>OPENROUTER_API_KEY=sk-or-v1-********************************</w:t>
              <w:br/>
              <w:t>OPENROUTER_MODEL=qwen/qwen3-4b</w:t>
              <w:br/>
              <w:t>TAVILY_API_KEY=tvly-********************************</w:t>
              <w:br/>
              <w:br/>
              <w:t># n8n Retrieval Webhook V2</w:t>
              <w:br/>
              <w:t>N8N_WEBHOOK_URL=https://manjusogala.app.n8n.cloud/webhook/halluciguard-verify-v2</w:t>
              <w:br/>
              <w:t>N8N_API_KEY=hg_live_********************************</w:t>
              <w:br/>
              <w:br/>
              <w:t># Local Model Paths &amp; Thresholds</w:t>
              <w:br/>
              <w:t>DETECTOR_MODEL_ID=Manjunath2000006/halluciguard-detector</w:t>
              <w:br/>
              <w:t>RERANKER_MODEL_ID=BAAI/bge-reranker-large</w:t>
              <w:br/>
              <w:t>NLI_MODEL_ID=cross-encoder/nli-deberta-v3-base</w:t>
              <w:br/>
              <w:br/>
              <w:t>DETECTOR_RISK_LOW_THRESHOLD=0.30</w:t>
              <w:br/>
              <w:t>DETECTOR_RISK_HIGH_THRESHOLD=0.50</w:t>
              <w:br/>
              <w:t>EVIDENCE_RELEVANCE_GATE=0.20</w:t>
              <w:br/>
              <w:t>MIN_NLI_SIGNAL=0.35</w:t>
            </w:r>
          </w:p>
        </w:tc>
      </w:tr>
    </w:tbl>
    <w:p>
      <w:pPr>
        <w:spacing w:after="40"/>
      </w:pPr>
    </w:p>
    <w:p>
      <w:pPr>
        <w:keepNext/>
        <w:spacing w:before="220" w:after="60"/>
      </w:pPr>
      <w:r>
        <w:rPr>
          <w:rFonts w:ascii="Calibri" w:hAnsi="Calibri"/>
          <w:b/>
          <w:color w:val="0D9488"/>
          <w:sz w:val="25"/>
        </w:rPr>
        <w:t>13.2 Automated Test Suite Hierarchy (236 Passing Tests)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3456"/>
            <w:shd w:fill="1A365D"/>
            <w:tcMar>
              <w:top w:w="80" w:type="dxa"/>
              <w:bottom w:w="80" w:type="dxa"/>
              <w:left w:w="100" w:type="dxa"/>
              <w:right w:w="100" w:type="dxa"/>
            </w:tcMar>
          </w:tcPr>
          <w:p>
            <w:pPr>
              <w:spacing w:before="40" w:after="40"/>
            </w:pPr>
            <w:r>
              <w:rPr>
                <w:rFonts w:ascii="Calibri" w:hAnsi="Calibri"/>
                <w:b/>
                <w:color w:val="FFFFFF"/>
                <w:sz w:val="18"/>
              </w:rPr>
              <w:t>TEST SUITE FILE</w:t>
            </w:r>
          </w:p>
        </w:tc>
        <w:tc>
          <w:tcPr>
            <w:tcW w:type="dxa" w:w="3888"/>
            <w:shd w:fill="1A365D"/>
            <w:tcMar>
              <w:top w:w="80" w:type="dxa"/>
              <w:bottom w:w="80" w:type="dxa"/>
              <w:left w:w="100" w:type="dxa"/>
              <w:right w:w="100" w:type="dxa"/>
            </w:tcMar>
          </w:tcPr>
          <w:p>
            <w:pPr>
              <w:spacing w:before="40" w:after="40"/>
            </w:pPr>
            <w:r>
              <w:rPr>
                <w:rFonts w:ascii="Calibri" w:hAnsi="Calibri"/>
                <w:b/>
                <w:color w:val="FFFFFF"/>
                <w:sz w:val="18"/>
              </w:rPr>
              <w:t>SCOPE / TARGET COMPONENT</w:t>
            </w:r>
          </w:p>
        </w:tc>
        <w:tc>
          <w:tcPr>
            <w:tcW w:type="dxa" w:w="1008"/>
            <w:shd w:fill="1A365D"/>
            <w:tcMar>
              <w:top w:w="80" w:type="dxa"/>
              <w:bottom w:w="80" w:type="dxa"/>
              <w:left w:w="100" w:type="dxa"/>
              <w:right w:w="100" w:type="dxa"/>
            </w:tcMar>
          </w:tcPr>
          <w:p>
            <w:pPr>
              <w:spacing w:before="40" w:after="40"/>
            </w:pPr>
            <w:r>
              <w:rPr>
                <w:rFonts w:ascii="Calibri" w:hAnsi="Calibri"/>
                <w:b/>
                <w:color w:val="FFFFFF"/>
                <w:sz w:val="18"/>
              </w:rPr>
              <w:t>TEST COUNT</w:t>
            </w:r>
          </w:p>
        </w:tc>
        <w:tc>
          <w:tcPr>
            <w:tcW w:type="dxa" w:w="1008"/>
            <w:shd w:fill="1A365D"/>
            <w:tcMar>
              <w:top w:w="80" w:type="dxa"/>
              <w:bottom w:w="80" w:type="dxa"/>
              <w:left w:w="100" w:type="dxa"/>
              <w:right w:w="100" w:type="dxa"/>
            </w:tcMar>
          </w:tcPr>
          <w:p>
            <w:pPr>
              <w:spacing w:before="40" w:after="40"/>
            </w:pPr>
            <w:r>
              <w:rPr>
                <w:rFonts w:ascii="Calibri" w:hAnsi="Calibri"/>
                <w:b/>
                <w:color w:val="FFFFFF"/>
                <w:sz w:val="18"/>
              </w:rPr>
              <w:t>STATUS</w:t>
            </w:r>
          </w:p>
        </w:tc>
      </w:tr>
      <w:tr>
        <w:tc>
          <w:tcPr>
            <w:tcW w:type="dxa" w:w="3456"/>
            <w:shd w:fill="FFFFFF"/>
            <w:tcMar>
              <w:top w:w="60" w:type="dxa"/>
              <w:bottom w:w="60" w:type="dxa"/>
              <w:left w:w="100" w:type="dxa"/>
              <w:right w:w="100" w:type="dxa"/>
            </w:tcMar>
          </w:tcPr>
          <w:p>
            <w:pPr>
              <w:spacing w:before="40" w:after="40" w:line="264" w:lineRule="auto"/>
            </w:pPr>
            <w:r>
              <w:rPr>
                <w:rFonts w:ascii="Calibri" w:hAnsi="Calibri"/>
                <w:color w:val="0F172A"/>
                <w:sz w:val="17"/>
              </w:rPr>
              <w:t>tests/test_claims.py</w:t>
            </w:r>
          </w:p>
        </w:tc>
        <w:tc>
          <w:tcPr>
            <w:tcW w:type="dxa" w:w="3888"/>
            <w:shd w:fill="FFFFFF"/>
            <w:tcMar>
              <w:top w:w="60" w:type="dxa"/>
              <w:bottom w:w="60" w:type="dxa"/>
              <w:left w:w="100" w:type="dxa"/>
              <w:right w:w="100" w:type="dxa"/>
            </w:tcMar>
          </w:tcPr>
          <w:p>
            <w:pPr>
              <w:spacing w:before="40" w:after="40" w:line="264" w:lineRule="auto"/>
            </w:pPr>
            <w:r>
              <w:rPr>
                <w:rFonts w:ascii="Calibri" w:hAnsi="Calibri"/>
                <w:color w:val="0F172A"/>
                <w:sz w:val="17"/>
              </w:rPr>
              <w:t>Claim decomposition, compound conjunctions, pronoun resolution</w:t>
            </w:r>
          </w:p>
        </w:tc>
        <w:tc>
          <w:tcPr>
            <w:tcW w:type="dxa" w:w="1008"/>
            <w:shd w:fill="FFFFFF"/>
            <w:tcMar>
              <w:top w:w="60" w:type="dxa"/>
              <w:bottom w:w="60" w:type="dxa"/>
              <w:left w:w="100" w:type="dxa"/>
              <w:right w:w="100" w:type="dxa"/>
            </w:tcMar>
          </w:tcPr>
          <w:p>
            <w:pPr>
              <w:spacing w:before="40" w:after="40" w:line="264" w:lineRule="auto"/>
            </w:pPr>
            <w:r>
              <w:rPr>
                <w:rFonts w:ascii="Calibri" w:hAnsi="Calibri"/>
                <w:color w:val="0F172A"/>
                <w:sz w:val="17"/>
              </w:rPr>
              <w:t>18</w:t>
            </w:r>
          </w:p>
        </w:tc>
        <w:tc>
          <w:tcPr>
            <w:tcW w:type="dxa" w:w="1008"/>
            <w:shd w:fill="FFFFFF"/>
            <w:tcMar>
              <w:top w:w="60" w:type="dxa"/>
              <w:bottom w:w="60" w:type="dxa"/>
              <w:left w:w="100" w:type="dxa"/>
              <w:right w:w="100" w:type="dxa"/>
            </w:tcMar>
          </w:tcPr>
          <w:p>
            <w:pPr>
              <w:spacing w:before="40" w:after="40" w:line="264" w:lineRule="auto"/>
            </w:pPr>
            <w:r>
              <w:rPr>
                <w:rFonts w:ascii="Calibri" w:hAnsi="Calibri"/>
                <w:b/>
                <w:color w:val="16A34A"/>
                <w:sz w:val="17"/>
              </w:rPr>
              <w:t>PASSED</w:t>
            </w:r>
          </w:p>
        </w:tc>
      </w:tr>
      <w:tr>
        <w:tc>
          <w:tcPr>
            <w:tcW w:type="dxa" w:w="3456"/>
            <w:shd w:fill="F8FAFC"/>
            <w:tcMar>
              <w:top w:w="60" w:type="dxa"/>
              <w:bottom w:w="60" w:type="dxa"/>
              <w:left w:w="100" w:type="dxa"/>
              <w:right w:w="100" w:type="dxa"/>
            </w:tcMar>
          </w:tcPr>
          <w:p>
            <w:pPr>
              <w:spacing w:before="40" w:after="40" w:line="264" w:lineRule="auto"/>
            </w:pPr>
            <w:r>
              <w:rPr>
                <w:rFonts w:ascii="Calibri" w:hAnsi="Calibri"/>
                <w:color w:val="0F172A"/>
                <w:sz w:val="17"/>
              </w:rPr>
              <w:t>tests/test_detector.py</w:t>
            </w:r>
          </w:p>
        </w:tc>
        <w:tc>
          <w:tcPr>
            <w:tcW w:type="dxa" w:w="3888"/>
            <w:shd w:fill="F8FAFC"/>
            <w:tcMar>
              <w:top w:w="60" w:type="dxa"/>
              <w:bottom w:w="60" w:type="dxa"/>
              <w:left w:w="100" w:type="dxa"/>
              <w:right w:w="100" w:type="dxa"/>
            </w:tcMar>
          </w:tcPr>
          <w:p>
            <w:pPr>
              <w:spacing w:before="40" w:after="40" w:line="264" w:lineRule="auto"/>
            </w:pPr>
            <w:r>
              <w:rPr>
                <w:rFonts w:ascii="Calibri" w:hAnsi="Calibri"/>
                <w:color w:val="0F172A"/>
                <w:sz w:val="17"/>
              </w:rPr>
              <w:t>DistilBERT forward pass, risk routing, threshold calibration</w:t>
            </w:r>
          </w:p>
        </w:tc>
        <w:tc>
          <w:tcPr>
            <w:tcW w:type="dxa" w:w="1008"/>
            <w:shd w:fill="F8FAFC"/>
            <w:tcMar>
              <w:top w:w="60" w:type="dxa"/>
              <w:bottom w:w="60" w:type="dxa"/>
              <w:left w:w="100" w:type="dxa"/>
              <w:right w:w="100" w:type="dxa"/>
            </w:tcMar>
          </w:tcPr>
          <w:p>
            <w:pPr>
              <w:spacing w:before="40" w:after="40" w:line="264" w:lineRule="auto"/>
            </w:pPr>
            <w:r>
              <w:rPr>
                <w:rFonts w:ascii="Calibri" w:hAnsi="Calibri"/>
                <w:color w:val="0F172A"/>
                <w:sz w:val="17"/>
              </w:rPr>
              <w:t>24</w:t>
            </w:r>
          </w:p>
        </w:tc>
        <w:tc>
          <w:tcPr>
            <w:tcW w:type="dxa" w:w="1008"/>
            <w:shd w:fill="F8FAFC"/>
            <w:tcMar>
              <w:top w:w="60" w:type="dxa"/>
              <w:bottom w:w="60" w:type="dxa"/>
              <w:left w:w="100" w:type="dxa"/>
              <w:right w:w="100" w:type="dxa"/>
            </w:tcMar>
          </w:tcPr>
          <w:p>
            <w:pPr>
              <w:spacing w:before="40" w:after="40" w:line="264" w:lineRule="auto"/>
            </w:pPr>
            <w:r>
              <w:rPr>
                <w:rFonts w:ascii="Calibri" w:hAnsi="Calibri"/>
                <w:b/>
                <w:color w:val="16A34A"/>
                <w:sz w:val="17"/>
              </w:rPr>
              <w:t>PASSED</w:t>
            </w:r>
          </w:p>
        </w:tc>
      </w:tr>
      <w:tr>
        <w:tc>
          <w:tcPr>
            <w:tcW w:type="dxa" w:w="3456"/>
            <w:shd w:fill="FFFFFF"/>
            <w:tcMar>
              <w:top w:w="60" w:type="dxa"/>
              <w:bottom w:w="60" w:type="dxa"/>
              <w:left w:w="100" w:type="dxa"/>
              <w:right w:w="100" w:type="dxa"/>
            </w:tcMar>
          </w:tcPr>
          <w:p>
            <w:pPr>
              <w:spacing w:before="40" w:after="40" w:line="264" w:lineRule="auto"/>
            </w:pPr>
            <w:r>
              <w:rPr>
                <w:rFonts w:ascii="Calibri" w:hAnsi="Calibri"/>
                <w:color w:val="0F172A"/>
                <w:sz w:val="17"/>
              </w:rPr>
              <w:t>tests/test_n8n_integration.py</w:t>
            </w:r>
          </w:p>
        </w:tc>
        <w:tc>
          <w:tcPr>
            <w:tcW w:type="dxa" w:w="3888"/>
            <w:shd w:fill="FFFFFF"/>
            <w:tcMar>
              <w:top w:w="60" w:type="dxa"/>
              <w:bottom w:w="60" w:type="dxa"/>
              <w:left w:w="100" w:type="dxa"/>
              <w:right w:w="100" w:type="dxa"/>
            </w:tcMar>
          </w:tcPr>
          <w:p>
            <w:pPr>
              <w:spacing w:before="40" w:after="40" w:line="264" w:lineRule="auto"/>
            </w:pPr>
            <w:r>
              <w:rPr>
                <w:rFonts w:ascii="Calibri" w:hAnsi="Calibri"/>
                <w:color w:val="0F172A"/>
                <w:sz w:val="17"/>
              </w:rPr>
              <w:t>n8n Webhook V2 communication, payload normalization</w:t>
            </w:r>
          </w:p>
        </w:tc>
        <w:tc>
          <w:tcPr>
            <w:tcW w:type="dxa" w:w="1008"/>
            <w:shd w:fill="FFFFFF"/>
            <w:tcMar>
              <w:top w:w="60" w:type="dxa"/>
              <w:bottom w:w="60" w:type="dxa"/>
              <w:left w:w="100" w:type="dxa"/>
              <w:right w:w="100" w:type="dxa"/>
            </w:tcMar>
          </w:tcPr>
          <w:p>
            <w:pPr>
              <w:spacing w:before="40" w:after="40" w:line="264" w:lineRule="auto"/>
            </w:pPr>
            <w:r>
              <w:rPr>
                <w:rFonts w:ascii="Calibri" w:hAnsi="Calibri"/>
                <w:color w:val="0F172A"/>
                <w:sz w:val="17"/>
              </w:rPr>
              <w:t>22</w:t>
            </w:r>
          </w:p>
        </w:tc>
        <w:tc>
          <w:tcPr>
            <w:tcW w:type="dxa" w:w="1008"/>
            <w:shd w:fill="FFFFFF"/>
            <w:tcMar>
              <w:top w:w="60" w:type="dxa"/>
              <w:bottom w:w="60" w:type="dxa"/>
              <w:left w:w="100" w:type="dxa"/>
              <w:right w:w="100" w:type="dxa"/>
            </w:tcMar>
          </w:tcPr>
          <w:p>
            <w:pPr>
              <w:spacing w:before="40" w:after="40" w:line="264" w:lineRule="auto"/>
            </w:pPr>
            <w:r>
              <w:rPr>
                <w:rFonts w:ascii="Calibri" w:hAnsi="Calibri"/>
                <w:b/>
                <w:color w:val="16A34A"/>
                <w:sz w:val="17"/>
              </w:rPr>
              <w:t>PASSED</w:t>
            </w:r>
          </w:p>
        </w:tc>
      </w:tr>
      <w:tr>
        <w:tc>
          <w:tcPr>
            <w:tcW w:type="dxa" w:w="3456"/>
            <w:shd w:fill="F8FAFC"/>
            <w:tcMar>
              <w:top w:w="60" w:type="dxa"/>
              <w:bottom w:w="60" w:type="dxa"/>
              <w:left w:w="100" w:type="dxa"/>
              <w:right w:w="100" w:type="dxa"/>
            </w:tcMar>
          </w:tcPr>
          <w:p>
            <w:pPr>
              <w:spacing w:before="40" w:after="40" w:line="264" w:lineRule="auto"/>
            </w:pPr>
            <w:r>
              <w:rPr>
                <w:rFonts w:ascii="Calibri" w:hAnsi="Calibri"/>
                <w:color w:val="0F172A"/>
                <w:sz w:val="17"/>
              </w:rPr>
              <w:t>tests/test_reranker.py</w:t>
            </w:r>
          </w:p>
        </w:tc>
        <w:tc>
          <w:tcPr>
            <w:tcW w:type="dxa" w:w="3888"/>
            <w:shd w:fill="F8FAFC"/>
            <w:tcMar>
              <w:top w:w="60" w:type="dxa"/>
              <w:bottom w:w="60" w:type="dxa"/>
              <w:left w:w="100" w:type="dxa"/>
              <w:right w:w="100" w:type="dxa"/>
            </w:tcMar>
          </w:tcPr>
          <w:p>
            <w:pPr>
              <w:spacing w:before="40" w:after="40" w:line="264" w:lineRule="auto"/>
            </w:pPr>
            <w:r>
              <w:rPr>
                <w:rFonts w:ascii="Calibri" w:hAnsi="Calibri"/>
                <w:color w:val="0F172A"/>
                <w:sz w:val="17"/>
              </w:rPr>
              <w:t>BGE Reranker Large semantic scoring, relevance gating</w:t>
            </w:r>
          </w:p>
        </w:tc>
        <w:tc>
          <w:tcPr>
            <w:tcW w:type="dxa" w:w="1008"/>
            <w:shd w:fill="F8FAFC"/>
            <w:tcMar>
              <w:top w:w="60" w:type="dxa"/>
              <w:bottom w:w="60" w:type="dxa"/>
              <w:left w:w="100" w:type="dxa"/>
              <w:right w:w="100" w:type="dxa"/>
            </w:tcMar>
          </w:tcPr>
          <w:p>
            <w:pPr>
              <w:spacing w:before="40" w:after="40" w:line="264" w:lineRule="auto"/>
            </w:pPr>
            <w:r>
              <w:rPr>
                <w:rFonts w:ascii="Calibri" w:hAnsi="Calibri"/>
                <w:color w:val="0F172A"/>
                <w:sz w:val="17"/>
              </w:rPr>
              <w:t>26</w:t>
            </w:r>
          </w:p>
        </w:tc>
        <w:tc>
          <w:tcPr>
            <w:tcW w:type="dxa" w:w="1008"/>
            <w:shd w:fill="F8FAFC"/>
            <w:tcMar>
              <w:top w:w="60" w:type="dxa"/>
              <w:bottom w:w="60" w:type="dxa"/>
              <w:left w:w="100" w:type="dxa"/>
              <w:right w:w="100" w:type="dxa"/>
            </w:tcMar>
          </w:tcPr>
          <w:p>
            <w:pPr>
              <w:spacing w:before="40" w:after="40" w:line="264" w:lineRule="auto"/>
            </w:pPr>
            <w:r>
              <w:rPr>
                <w:rFonts w:ascii="Calibri" w:hAnsi="Calibri"/>
                <w:b/>
                <w:color w:val="16A34A"/>
                <w:sz w:val="17"/>
              </w:rPr>
              <w:t>PASSED</w:t>
            </w:r>
          </w:p>
        </w:tc>
      </w:tr>
      <w:tr>
        <w:tc>
          <w:tcPr>
            <w:tcW w:type="dxa" w:w="3456"/>
            <w:shd w:fill="FFFFFF"/>
            <w:tcMar>
              <w:top w:w="60" w:type="dxa"/>
              <w:bottom w:w="60" w:type="dxa"/>
              <w:left w:w="100" w:type="dxa"/>
              <w:right w:w="100" w:type="dxa"/>
            </w:tcMar>
          </w:tcPr>
          <w:p>
            <w:pPr>
              <w:spacing w:before="40" w:after="40" w:line="264" w:lineRule="auto"/>
            </w:pPr>
            <w:r>
              <w:rPr>
                <w:rFonts w:ascii="Calibri" w:hAnsi="Calibri"/>
                <w:color w:val="0F172A"/>
                <w:sz w:val="17"/>
              </w:rPr>
              <w:t>tests/test_nli.py</w:t>
            </w:r>
          </w:p>
        </w:tc>
        <w:tc>
          <w:tcPr>
            <w:tcW w:type="dxa" w:w="3888"/>
            <w:shd w:fill="FFFFFF"/>
            <w:tcMar>
              <w:top w:w="60" w:type="dxa"/>
              <w:bottom w:w="60" w:type="dxa"/>
              <w:left w:w="100" w:type="dxa"/>
              <w:right w:w="100" w:type="dxa"/>
            </w:tcMar>
          </w:tcPr>
          <w:p>
            <w:pPr>
              <w:spacing w:before="40" w:after="40" w:line="264" w:lineRule="auto"/>
            </w:pPr>
            <w:r>
              <w:rPr>
                <w:rFonts w:ascii="Calibri" w:hAnsi="Calibri"/>
                <w:color w:val="0F172A"/>
                <w:sz w:val="17"/>
              </w:rPr>
              <w:t>DeBERTa-v3 entailment, contradiction, neutral inference</w:t>
            </w:r>
          </w:p>
        </w:tc>
        <w:tc>
          <w:tcPr>
            <w:tcW w:type="dxa" w:w="1008"/>
            <w:shd w:fill="FFFFFF"/>
            <w:tcMar>
              <w:top w:w="60" w:type="dxa"/>
              <w:bottom w:w="60" w:type="dxa"/>
              <w:left w:w="100" w:type="dxa"/>
              <w:right w:w="100" w:type="dxa"/>
            </w:tcMar>
          </w:tcPr>
          <w:p>
            <w:pPr>
              <w:spacing w:before="40" w:after="40" w:line="264" w:lineRule="auto"/>
            </w:pPr>
            <w:r>
              <w:rPr>
                <w:rFonts w:ascii="Calibri" w:hAnsi="Calibri"/>
                <w:color w:val="0F172A"/>
                <w:sz w:val="17"/>
              </w:rPr>
              <w:t>32</w:t>
            </w:r>
          </w:p>
        </w:tc>
        <w:tc>
          <w:tcPr>
            <w:tcW w:type="dxa" w:w="1008"/>
            <w:shd w:fill="FFFFFF"/>
            <w:tcMar>
              <w:top w:w="60" w:type="dxa"/>
              <w:bottom w:w="60" w:type="dxa"/>
              <w:left w:w="100" w:type="dxa"/>
              <w:right w:w="100" w:type="dxa"/>
            </w:tcMar>
          </w:tcPr>
          <w:p>
            <w:pPr>
              <w:spacing w:before="40" w:after="40" w:line="264" w:lineRule="auto"/>
            </w:pPr>
            <w:r>
              <w:rPr>
                <w:rFonts w:ascii="Calibri" w:hAnsi="Calibri"/>
                <w:b/>
                <w:color w:val="16A34A"/>
                <w:sz w:val="17"/>
              </w:rPr>
              <w:t>PASSED</w:t>
            </w:r>
          </w:p>
        </w:tc>
      </w:tr>
      <w:tr>
        <w:tc>
          <w:tcPr>
            <w:tcW w:type="dxa" w:w="3456"/>
            <w:shd w:fill="F8FAFC"/>
            <w:tcMar>
              <w:top w:w="60" w:type="dxa"/>
              <w:bottom w:w="60" w:type="dxa"/>
              <w:left w:w="100" w:type="dxa"/>
              <w:right w:w="100" w:type="dxa"/>
            </w:tcMar>
          </w:tcPr>
          <w:p>
            <w:pPr>
              <w:spacing w:before="40" w:after="40" w:line="264" w:lineRule="auto"/>
            </w:pPr>
            <w:r>
              <w:rPr>
                <w:rFonts w:ascii="Calibri" w:hAnsi="Calibri"/>
                <w:color w:val="0F172A"/>
                <w:sz w:val="17"/>
              </w:rPr>
              <w:t>tests/test_scorer.py</w:t>
            </w:r>
          </w:p>
        </w:tc>
        <w:tc>
          <w:tcPr>
            <w:tcW w:type="dxa" w:w="3888"/>
            <w:shd w:fill="F8FAFC"/>
            <w:tcMar>
              <w:top w:w="60" w:type="dxa"/>
              <w:bottom w:w="60" w:type="dxa"/>
              <w:left w:w="100" w:type="dxa"/>
              <w:right w:w="100" w:type="dxa"/>
            </w:tcMar>
          </w:tcPr>
          <w:p>
            <w:pPr>
              <w:spacing w:before="40" w:after="40" w:line="264" w:lineRule="auto"/>
            </w:pPr>
            <w:r>
              <w:rPr>
                <w:rFonts w:ascii="Calibri" w:hAnsi="Calibri"/>
                <w:color w:val="0F172A"/>
                <w:sz w:val="17"/>
              </w:rPr>
              <w:t>Evidence scoring formulas, consensus, calibrated confidence</w:t>
            </w:r>
          </w:p>
        </w:tc>
        <w:tc>
          <w:tcPr>
            <w:tcW w:type="dxa" w:w="1008"/>
            <w:shd w:fill="F8FAFC"/>
            <w:tcMar>
              <w:top w:w="60" w:type="dxa"/>
              <w:bottom w:w="60" w:type="dxa"/>
              <w:left w:w="100" w:type="dxa"/>
              <w:right w:w="100" w:type="dxa"/>
            </w:tcMar>
          </w:tcPr>
          <w:p>
            <w:pPr>
              <w:spacing w:before="40" w:after="40" w:line="264" w:lineRule="auto"/>
            </w:pPr>
            <w:r>
              <w:rPr>
                <w:rFonts w:ascii="Calibri" w:hAnsi="Calibri"/>
                <w:color w:val="0F172A"/>
                <w:sz w:val="17"/>
              </w:rPr>
              <w:t>38</w:t>
            </w:r>
          </w:p>
        </w:tc>
        <w:tc>
          <w:tcPr>
            <w:tcW w:type="dxa" w:w="1008"/>
            <w:shd w:fill="F8FAFC"/>
            <w:tcMar>
              <w:top w:w="60" w:type="dxa"/>
              <w:bottom w:w="60" w:type="dxa"/>
              <w:left w:w="100" w:type="dxa"/>
              <w:right w:w="100" w:type="dxa"/>
            </w:tcMar>
          </w:tcPr>
          <w:p>
            <w:pPr>
              <w:spacing w:before="40" w:after="40" w:line="264" w:lineRule="auto"/>
            </w:pPr>
            <w:r>
              <w:rPr>
                <w:rFonts w:ascii="Calibri" w:hAnsi="Calibri"/>
                <w:b/>
                <w:color w:val="16A34A"/>
                <w:sz w:val="17"/>
              </w:rPr>
              <w:t>PASSED</w:t>
            </w:r>
          </w:p>
        </w:tc>
      </w:tr>
      <w:tr>
        <w:tc>
          <w:tcPr>
            <w:tcW w:type="dxa" w:w="3456"/>
            <w:shd w:fill="FFFFFF"/>
            <w:tcMar>
              <w:top w:w="60" w:type="dxa"/>
              <w:bottom w:w="60" w:type="dxa"/>
              <w:left w:w="100" w:type="dxa"/>
              <w:right w:w="100" w:type="dxa"/>
            </w:tcMar>
          </w:tcPr>
          <w:p>
            <w:pPr>
              <w:spacing w:before="40" w:after="40" w:line="264" w:lineRule="auto"/>
            </w:pPr>
            <w:r>
              <w:rPr>
                <w:rFonts w:ascii="Calibri" w:hAnsi="Calibri"/>
                <w:color w:val="0F172A"/>
                <w:sz w:val="17"/>
              </w:rPr>
              <w:t>tests/test_relation_verifier.py</w:t>
            </w:r>
          </w:p>
        </w:tc>
        <w:tc>
          <w:tcPr>
            <w:tcW w:type="dxa" w:w="3888"/>
            <w:shd w:fill="FFFFFF"/>
            <w:tcMar>
              <w:top w:w="60" w:type="dxa"/>
              <w:bottom w:w="60" w:type="dxa"/>
              <w:left w:w="100" w:type="dxa"/>
              <w:right w:w="100" w:type="dxa"/>
            </w:tcMar>
          </w:tcPr>
          <w:p>
            <w:pPr>
              <w:spacing w:before="40" w:after="40" w:line="264" w:lineRule="auto"/>
            </w:pPr>
            <w:r>
              <w:rPr>
                <w:rFonts w:ascii="Calibri" w:hAnsi="Calibri"/>
                <w:color w:val="0F172A"/>
                <w:sz w:val="17"/>
              </w:rPr>
              <w:t>SVO triple extraction, entity mismatch contradiction override</w:t>
            </w:r>
          </w:p>
        </w:tc>
        <w:tc>
          <w:tcPr>
            <w:tcW w:type="dxa" w:w="1008"/>
            <w:shd w:fill="FFFFFF"/>
            <w:tcMar>
              <w:top w:w="60" w:type="dxa"/>
              <w:bottom w:w="60" w:type="dxa"/>
              <w:left w:w="100" w:type="dxa"/>
              <w:right w:w="100" w:type="dxa"/>
            </w:tcMar>
          </w:tcPr>
          <w:p>
            <w:pPr>
              <w:spacing w:before="40" w:after="40" w:line="264" w:lineRule="auto"/>
            </w:pPr>
            <w:r>
              <w:rPr>
                <w:rFonts w:ascii="Calibri" w:hAnsi="Calibri"/>
                <w:color w:val="0F172A"/>
                <w:sz w:val="17"/>
              </w:rPr>
              <w:t>28</w:t>
            </w:r>
          </w:p>
        </w:tc>
        <w:tc>
          <w:tcPr>
            <w:tcW w:type="dxa" w:w="1008"/>
            <w:shd w:fill="FFFFFF"/>
            <w:tcMar>
              <w:top w:w="60" w:type="dxa"/>
              <w:bottom w:w="60" w:type="dxa"/>
              <w:left w:w="100" w:type="dxa"/>
              <w:right w:w="100" w:type="dxa"/>
            </w:tcMar>
          </w:tcPr>
          <w:p>
            <w:pPr>
              <w:spacing w:before="40" w:after="40" w:line="264" w:lineRule="auto"/>
            </w:pPr>
            <w:r>
              <w:rPr>
                <w:rFonts w:ascii="Calibri" w:hAnsi="Calibri"/>
                <w:b/>
                <w:color w:val="16A34A"/>
                <w:sz w:val="17"/>
              </w:rPr>
              <w:t>PASSED</w:t>
            </w:r>
          </w:p>
        </w:tc>
      </w:tr>
      <w:tr>
        <w:tc>
          <w:tcPr>
            <w:tcW w:type="dxa" w:w="3456"/>
            <w:shd w:fill="F8FAFC"/>
            <w:tcMar>
              <w:top w:w="60" w:type="dxa"/>
              <w:bottom w:w="60" w:type="dxa"/>
              <w:left w:w="100" w:type="dxa"/>
              <w:right w:w="100" w:type="dxa"/>
            </w:tcMar>
          </w:tcPr>
          <w:p>
            <w:pPr>
              <w:spacing w:before="40" w:after="40" w:line="264" w:lineRule="auto"/>
            </w:pPr>
            <w:r>
              <w:rPr>
                <w:rFonts w:ascii="Calibri" w:hAnsi="Calibri"/>
                <w:color w:val="0F172A"/>
                <w:sz w:val="17"/>
              </w:rPr>
              <w:t>tests/test_slice_integration.py</w:t>
            </w:r>
          </w:p>
        </w:tc>
        <w:tc>
          <w:tcPr>
            <w:tcW w:type="dxa" w:w="3888"/>
            <w:shd w:fill="F8FAFC"/>
            <w:tcMar>
              <w:top w:w="60" w:type="dxa"/>
              <w:bottom w:w="60" w:type="dxa"/>
              <w:left w:w="100" w:type="dxa"/>
              <w:right w:w="100" w:type="dxa"/>
            </w:tcMar>
          </w:tcPr>
          <w:p>
            <w:pPr>
              <w:spacing w:before="40" w:after="40" w:line="264" w:lineRule="auto"/>
            </w:pPr>
            <w:r>
              <w:rPr>
                <w:rFonts w:ascii="Calibri" w:hAnsi="Calibri"/>
                <w:color w:val="0F172A"/>
                <w:sz w:val="17"/>
              </w:rPr>
              <w:t>End-to-end pipeline: OpenRouter -&gt; Detector -&gt; Verifier</w:t>
            </w:r>
          </w:p>
        </w:tc>
        <w:tc>
          <w:tcPr>
            <w:tcW w:type="dxa" w:w="1008"/>
            <w:shd w:fill="F8FAFC"/>
            <w:tcMar>
              <w:top w:w="60" w:type="dxa"/>
              <w:bottom w:w="60" w:type="dxa"/>
              <w:left w:w="100" w:type="dxa"/>
              <w:right w:w="100" w:type="dxa"/>
            </w:tcMar>
          </w:tcPr>
          <w:p>
            <w:pPr>
              <w:spacing w:before="40" w:after="40" w:line="264" w:lineRule="auto"/>
            </w:pPr>
            <w:r>
              <w:rPr>
                <w:rFonts w:ascii="Calibri" w:hAnsi="Calibri"/>
                <w:color w:val="0F172A"/>
                <w:sz w:val="17"/>
              </w:rPr>
              <w:t>24</w:t>
            </w:r>
          </w:p>
        </w:tc>
        <w:tc>
          <w:tcPr>
            <w:tcW w:type="dxa" w:w="1008"/>
            <w:shd w:fill="F8FAFC"/>
            <w:tcMar>
              <w:top w:w="60" w:type="dxa"/>
              <w:bottom w:w="60" w:type="dxa"/>
              <w:left w:w="100" w:type="dxa"/>
              <w:right w:w="100" w:type="dxa"/>
            </w:tcMar>
          </w:tcPr>
          <w:p>
            <w:pPr>
              <w:spacing w:before="40" w:after="40" w:line="264" w:lineRule="auto"/>
            </w:pPr>
            <w:r>
              <w:rPr>
                <w:rFonts w:ascii="Calibri" w:hAnsi="Calibri"/>
                <w:b/>
                <w:color w:val="16A34A"/>
                <w:sz w:val="17"/>
              </w:rPr>
              <w:t>PASSED</w:t>
            </w:r>
          </w:p>
        </w:tc>
      </w:tr>
      <w:tr>
        <w:tc>
          <w:tcPr>
            <w:tcW w:type="dxa" w:w="3456"/>
            <w:shd w:fill="FFFFFF"/>
            <w:tcMar>
              <w:top w:w="60" w:type="dxa"/>
              <w:bottom w:w="60" w:type="dxa"/>
              <w:left w:w="100" w:type="dxa"/>
              <w:right w:w="100" w:type="dxa"/>
            </w:tcMar>
          </w:tcPr>
          <w:p>
            <w:pPr>
              <w:spacing w:before="40" w:after="40" w:line="264" w:lineRule="auto"/>
            </w:pPr>
            <w:r>
              <w:rPr>
                <w:rFonts w:ascii="Calibri" w:hAnsi="Calibri"/>
                <w:color w:val="0F172A"/>
                <w:sz w:val="17"/>
              </w:rPr>
              <w:t>tests/test_slice_integration_supplement.py</w:t>
            </w:r>
          </w:p>
        </w:tc>
        <w:tc>
          <w:tcPr>
            <w:tcW w:type="dxa" w:w="3888"/>
            <w:shd w:fill="FFFFFF"/>
            <w:tcMar>
              <w:top w:w="60" w:type="dxa"/>
              <w:bottom w:w="60" w:type="dxa"/>
              <w:left w:w="100" w:type="dxa"/>
              <w:right w:w="100" w:type="dxa"/>
            </w:tcMar>
          </w:tcPr>
          <w:p>
            <w:pPr>
              <w:spacing w:before="40" w:after="40" w:line="264" w:lineRule="auto"/>
            </w:pPr>
            <w:r>
              <w:rPr>
                <w:rFonts w:ascii="Calibri" w:hAnsi="Calibri"/>
                <w:color w:val="0F172A"/>
                <w:sz w:val="17"/>
              </w:rPr>
              <w:t>BGE real claim routing, trace validation, fail-closed contracts</w:t>
            </w:r>
          </w:p>
        </w:tc>
        <w:tc>
          <w:tcPr>
            <w:tcW w:type="dxa" w:w="1008"/>
            <w:shd w:fill="FFFFFF"/>
            <w:tcMar>
              <w:top w:w="60" w:type="dxa"/>
              <w:bottom w:w="60" w:type="dxa"/>
              <w:left w:w="100" w:type="dxa"/>
              <w:right w:w="100" w:type="dxa"/>
            </w:tcMar>
          </w:tcPr>
          <w:p>
            <w:pPr>
              <w:spacing w:before="40" w:after="40" w:line="264" w:lineRule="auto"/>
            </w:pPr>
            <w:r>
              <w:rPr>
                <w:rFonts w:ascii="Calibri" w:hAnsi="Calibri"/>
                <w:color w:val="0F172A"/>
                <w:sz w:val="17"/>
              </w:rPr>
              <w:t>24</w:t>
            </w:r>
          </w:p>
        </w:tc>
        <w:tc>
          <w:tcPr>
            <w:tcW w:type="dxa" w:w="1008"/>
            <w:shd w:fill="FFFFFF"/>
            <w:tcMar>
              <w:top w:w="60" w:type="dxa"/>
              <w:bottom w:w="60" w:type="dxa"/>
              <w:left w:w="100" w:type="dxa"/>
              <w:right w:w="100" w:type="dxa"/>
            </w:tcMar>
          </w:tcPr>
          <w:p>
            <w:pPr>
              <w:spacing w:before="40" w:after="40" w:line="264" w:lineRule="auto"/>
            </w:pPr>
            <w:r>
              <w:rPr>
                <w:rFonts w:ascii="Calibri" w:hAnsi="Calibri"/>
                <w:b/>
                <w:color w:val="16A34A"/>
                <w:sz w:val="17"/>
              </w:rPr>
              <w:t>PASSED</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