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5F259F" w:sz="10" w:space="4"/>
        </w:pBdr>
        <w:spacing w:after="160" w:before="380"/>
      </w:pPr>
      <w:r>
        <w:rPr>
          <w:rFonts w:ascii="Cambria" w:cs="Cambria" w:eastAsia="Cambria" w:hAnsi="Cambria"/>
          <w:b/>
          <w:bCs/>
          <w:color w:val="3D1868"/>
          <w:sz w:val="30"/>
          <w:szCs w:val="30"/>
        </w:rPr>
        <w:t xml:space="preserve">1.  Executive Summary</w:t>
      </w:r>
    </w:p>
    <w:p>
      <w:pPr>
        <w:spacing w:after="160" w:line="30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This report analyzes 300,000 transactions and 107,658 user records from the PhonePe digital payments platform to evaluate transaction performance, service-level contribution, and user engagement over the reporting period. The objective is to surface actionable insights that inform product, risk, and growth decisions.</w:t>
      </w:r>
    </w:p>
    <w:p>
      <w:pPr>
        <w:spacing w:after="160" w:line="30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Overall platform health is strong: a 96% transaction success rate, steady month-over-month value throughput, and consistent user acquisition. However, the data also reveals concentration risk in high-value Loan transactions and a persistent, largely unexplained transaction failure category that merits further investigation.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500"/>
            <w:shd w:fill="F2EBFA" w:val="clear"/>
            <w:tcMar>
              <w:top w:type="dxa" w:w="200"/>
              <w:left w:type="dxa" w:w="150"/>
              <w:bottom w:type="dxa" w:w="200"/>
              <w:right w:type="dxa" w:w="15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3D1868"/>
                <w:sz w:val="32"/>
                <w:szCs w:val="32"/>
              </w:rPr>
              <w:t xml:space="preserve">300,000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Total Transactions</w:t>
            </w:r>
          </w:p>
        </w:tc>
        <w:tc>
          <w:tcPr>
            <w:tcW w:type="dxa" w:w="2500"/>
            <w:shd w:fill="F2EBFA" w:val="clear"/>
            <w:tcMar>
              <w:top w:type="dxa" w:w="200"/>
              <w:left w:type="dxa" w:w="150"/>
              <w:bottom w:type="dxa" w:w="200"/>
              <w:right w:type="dxa" w:w="15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3D1868"/>
                <w:sz w:val="32"/>
                <w:szCs w:val="32"/>
              </w:rPr>
              <w:t xml:space="preserve">₹3.47B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Total Value Processed</w:t>
            </w:r>
          </w:p>
        </w:tc>
        <w:tc>
          <w:tcPr>
            <w:tcW w:type="dxa" w:w="2500"/>
            <w:shd w:fill="F2EBFA" w:val="clear"/>
            <w:tcMar>
              <w:top w:type="dxa" w:w="200"/>
              <w:left w:type="dxa" w:w="150"/>
              <w:bottom w:type="dxa" w:w="200"/>
              <w:right w:type="dxa" w:w="15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3D1868"/>
                <w:sz w:val="32"/>
                <w:szCs w:val="32"/>
              </w:rPr>
              <w:t xml:space="preserve">96.0%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Success Rate</w:t>
            </w:r>
          </w:p>
        </w:tc>
        <w:tc>
          <w:tcPr>
            <w:tcW w:type="dxa" w:w="2500"/>
            <w:shd w:fill="F2EBFA" w:val="clear"/>
            <w:tcMar>
              <w:top w:type="dxa" w:w="200"/>
              <w:left w:type="dxa" w:w="150"/>
              <w:bottom w:type="dxa" w:w="200"/>
              <w:right w:type="dxa" w:w="15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3D1868"/>
                <w:sz w:val="32"/>
                <w:szCs w:val="32"/>
              </w:rPr>
              <w:t xml:space="preserve">107,658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Registered Users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5F259F" w:sz="10" w:space="4"/>
        </w:pBdr>
        <w:spacing w:after="160" w:before="380"/>
      </w:pPr>
      <w:r>
        <w:rPr>
          <w:rFonts w:ascii="Cambria" w:cs="Cambria" w:eastAsia="Cambria" w:hAnsi="Cambria"/>
          <w:b/>
          <w:bCs/>
          <w:color w:val="3D1868"/>
          <w:sz w:val="30"/>
          <w:szCs w:val="30"/>
        </w:rPr>
        <w:t xml:space="preserve">2.  Objective</w:t>
      </w:r>
    </w:p>
    <w:p>
      <w:pPr>
        <w:spacing w:after="160" w:line="30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objective of this analysis is to: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Quantify overall transaction volume, value, and success rate across the platform.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Compare performance across service categories — Money Transfer, Recharge &amp; Bill Payments, Loans, and Insurance.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Identify the primary drivers of transaction failure.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Assess user growth trends and demographic composition.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Translate these findings into concrete, prioritized recommendations for management.</w:t>
      </w:r>
    </w:p>
    <w:p>
      <w:pPr>
        <w:pStyle w:val="Heading1"/>
        <w:pBdr>
          <w:bottom w:val="single" w:color="5F259F" w:sz="10" w:space="4"/>
        </w:pBdr>
        <w:spacing w:after="160" w:before="380"/>
      </w:pPr>
      <w:r>
        <w:rPr>
          <w:rFonts w:ascii="Cambria" w:cs="Cambria" w:eastAsia="Cambria" w:hAnsi="Cambria"/>
          <w:b/>
          <w:bCs/>
          <w:color w:val="3D1868"/>
          <w:sz w:val="30"/>
          <w:szCs w:val="30"/>
        </w:rPr>
        <w:t xml:space="preserve">3.  Scope &amp; Data Source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D1868"/>
          <w:sz w:val="22"/>
          <w:szCs w:val="22"/>
        </w:rPr>
        <w:t xml:space="preserve">Data Source: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Phonepe_Dataset.xlsx (All_Users and All_Transactions tables)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D1868"/>
          <w:sz w:val="22"/>
          <w:szCs w:val="22"/>
        </w:rPr>
        <w:t xml:space="preserve">Transaction Records: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300,000, spanning January–December 2024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D1868"/>
          <w:sz w:val="22"/>
          <w:szCs w:val="22"/>
        </w:rPr>
        <w:t xml:space="preserve">User Records: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107,658, onboarded from August 2023 through August 2025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D1868"/>
          <w:sz w:val="22"/>
          <w:szCs w:val="22"/>
        </w:rPr>
        <w:t xml:space="preserve">Analysis Tools: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Power BI (interactive dashboard &amp; DAX measures), Python/pandas (verification &amp; summary statistics)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All figures in this report are computed directly from the raw dataset; none are estimated or extrapolated.</w:t>
      </w:r>
    </w:p>
    <w:p>
      <w:pPr>
        <w:pStyle w:val="Heading1"/>
        <w:pBdr>
          <w:bottom w:val="single" w:color="5F259F" w:sz="10" w:space="4"/>
        </w:pBdr>
        <w:spacing w:after="160" w:before="380"/>
      </w:pPr>
      <w:r>
        <w:rPr>
          <w:rFonts w:ascii="Cambria" w:cs="Cambria" w:eastAsia="Cambria" w:hAnsi="Cambria"/>
          <w:b/>
          <w:bCs/>
          <w:color w:val="3D1868"/>
          <w:sz w:val="30"/>
          <w:szCs w:val="30"/>
        </w:rPr>
        <w:t xml:space="preserve">4.  Key Insights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3D1868"/>
          <w:sz w:val="24"/>
          <w:szCs w:val="24"/>
        </w:rPr>
        <w:t xml:space="preserve">4.1  Value is concentrated in Loans, not Money Transfer</w:t>
      </w:r>
    </w:p>
    <w:p>
      <w:pPr>
        <w:spacing w:after="200" w:before="120"/>
        <w:jc w:val="center"/>
      </w:pPr>
      <w:r>
        <w:drawing>
          <wp:inline distT="0" distB="0" distL="0" distR="0">
            <wp:extent cx="5120640" cy="288036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50"/>
      </w:tblGrid>
      <w:tr>
        <w:tc>
          <w:tcPr>
            <w:tcW w:type="dxa" w:w="2800"/>
            <w:shd w:fill="5F259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200"/>
            <w:shd w:fill="5F259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2200"/>
            <w:shd w:fill="5F259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150"/>
            <w:shd w:fill="5F259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% of Value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Loans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50,000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₹2,532.5M</w:t>
            </w:r>
          </w:p>
        </w:tc>
        <w:tc>
          <w:tcPr>
            <w:tcW w:type="dxa" w:w="2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72.9%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Insurance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50,000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₹512.9M</w:t>
            </w:r>
          </w:p>
        </w:tc>
        <w:tc>
          <w:tcPr>
            <w:tcW w:type="dxa" w:w="2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14.8%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Money Transfer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150,000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₹378.2M</w:t>
            </w:r>
          </w:p>
        </w:tc>
        <w:tc>
          <w:tcPr>
            <w:tcW w:type="dxa" w:w="2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10.9%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Recharge &amp; Bills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50,000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₹50.7M</w:t>
            </w:r>
          </w:p>
        </w:tc>
        <w:tc>
          <w:tcPr>
            <w:tcW w:type="dxa" w:w="2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1.5%</w:t>
            </w:r>
          </w:p>
        </w:tc>
      </w:tr>
    </w:tbl>
    <w:p>
      <w:pPr>
        <w:spacing w:after="1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2EBFA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868"/>
                <w:sz w:val="21"/>
                <w:szCs w:val="21"/>
              </w:rPr>
              <w:t xml:space="preserve">Insight:</w:t>
            </w:r>
          </w:p>
          <w:p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Loans represent only ~17% of transaction volume but nearly 73% of total value processed. Money Transfer is the highest-frequency service but contributes the smallest average ticket size. Platform risk and liquidity planning should weight Loans disproportionately relative to their transaction count.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3D1868"/>
          <w:sz w:val="24"/>
          <w:szCs w:val="24"/>
        </w:rPr>
        <w:t xml:space="preserve">4.2  Lending &amp; investment products dominate the top sub-categories</w:t>
      </w:r>
    </w:p>
    <w:p>
      <w:pPr>
        <w:spacing w:after="200" w:before="120"/>
        <w:jc w:val="center"/>
      </w:pPr>
      <w:r>
        <w:drawing>
          <wp:inline distT="0" distB="0" distL="0" distR="0">
            <wp:extent cx="5486400" cy="301752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2EBFA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868"/>
                <w:sz w:val="21"/>
                <w:szCs w:val="21"/>
              </w:rPr>
              <w:t xml:space="preserve">Insight:</w:t>
            </w:r>
          </w:p>
          <w:p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Bike Loan, Mutual Fund, Gold Loan, and Credit Score products each exceed ₹600M in value — well ahead of any Recharge or Bill Payment sub-type. This suggests the platform's financial-services vertical (lending, investing) is a more significant value driver than its utility-payment vertical.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3D1868"/>
          <w:sz w:val="24"/>
          <w:szCs w:val="24"/>
        </w:rPr>
        <w:t xml:space="preserve">4.3  Transaction value is stable, with no strong seasonal trend</w:t>
      </w:r>
    </w:p>
    <w:p>
      <w:pPr>
        <w:spacing w:after="200" w:before="120"/>
        <w:jc w:val="center"/>
      </w:pPr>
      <w:r>
        <w:drawing>
          <wp:inline distT="0" distB="0" distL="0" distR="0">
            <wp:extent cx="54864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2EBFA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868"/>
                <w:sz w:val="21"/>
                <w:szCs w:val="21"/>
              </w:rPr>
              <w:t xml:space="preserve">Insight:</w:t>
            </w:r>
          </w:p>
          <w:p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Monthly transaction value stayed within a narrow ₹279M–₹305M band throughout 2024, with a mild peak in July. The absence of sharp seasonality suggests demand is driven more by steady utility/lending needs than by festival or promotional cycles — useful context when planning campaigns intended to lift volume.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3D1868"/>
          <w:sz w:val="24"/>
          <w:szCs w:val="24"/>
        </w:rPr>
        <w:t xml:space="preserve">4.4  96% success rate, but failures lack a clear root cause</w:t>
      </w:r>
    </w:p>
    <w:p>
      <w:pPr>
        <w:spacing w:after="200" w:before="120"/>
        <w:jc w:val="center"/>
      </w:pPr>
      <w:r>
        <w:drawing>
          <wp:inline distT="0" distB="0" distL="0" distR="0">
            <wp:extent cx="4023360" cy="338328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2950"/>
        <w:gridCol w:w="2950"/>
      </w:tblGrid>
      <w:tr>
        <w:tc>
          <w:tcPr>
            <w:tcW w:type="dxa" w:w="3450"/>
            <w:shd w:fill="5F259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950"/>
            <w:shd w:fill="5F259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950"/>
            <w:shd w:fill="5F259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% of Total</w:t>
            </w:r>
          </w:p>
        </w:tc>
      </w:tr>
      <w:tr>
        <w:tc>
          <w:tcPr>
            <w:tcW w:type="dxa" w:w="34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9D55"/>
                <w:sz w:val="20"/>
                <w:szCs w:val="20"/>
              </w:rPr>
              <w:t xml:space="preserve">Successful</w:t>
            </w:r>
          </w:p>
        </w:tc>
        <w:tc>
          <w:tcPr>
            <w:tcW w:type="dxa" w:w="29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287,993</w:t>
            </w:r>
          </w:p>
        </w:tc>
        <w:tc>
          <w:tcPr>
            <w:tcW w:type="dxa" w:w="29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96.00%</w:t>
            </w:r>
          </w:p>
        </w:tc>
      </w:tr>
      <w:tr>
        <w:tc>
          <w:tcPr>
            <w:tcW w:type="dxa" w:w="34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C0392B"/>
                <w:sz w:val="20"/>
                <w:szCs w:val="20"/>
              </w:rPr>
              <w:t xml:space="preserve">Failed</w:t>
            </w:r>
          </w:p>
        </w:tc>
        <w:tc>
          <w:tcPr>
            <w:tcW w:type="dxa" w:w="29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9,980</w:t>
            </w:r>
          </w:p>
        </w:tc>
        <w:tc>
          <w:tcPr>
            <w:tcW w:type="dxa" w:w="29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3.33%</w:t>
            </w:r>
          </w:p>
        </w:tc>
      </w:tr>
      <w:tr>
        <w:tc>
          <w:tcPr>
            <w:tcW w:type="dxa" w:w="34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Wrong PIN</w:t>
            </w:r>
          </w:p>
        </w:tc>
        <w:tc>
          <w:tcPr>
            <w:tcW w:type="dxa" w:w="29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700</w:t>
            </w:r>
          </w:p>
        </w:tc>
        <w:tc>
          <w:tcPr>
            <w:tcW w:type="dxa" w:w="29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0.23%</w:t>
            </w:r>
          </w:p>
        </w:tc>
      </w:tr>
      <w:tr>
        <w:tc>
          <w:tcPr>
            <w:tcW w:type="dxa" w:w="34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Server Error</w:t>
            </w:r>
          </w:p>
        </w:tc>
        <w:tc>
          <w:tcPr>
            <w:tcW w:type="dxa" w:w="29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692</w:t>
            </w:r>
          </w:p>
        </w:tc>
        <w:tc>
          <w:tcPr>
            <w:tcW w:type="dxa" w:w="29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0.23%</w:t>
            </w:r>
          </w:p>
        </w:tc>
      </w:tr>
      <w:tr>
        <w:tc>
          <w:tcPr>
            <w:tcW w:type="dxa" w:w="34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Insufficient Amount</w:t>
            </w:r>
          </w:p>
        </w:tc>
        <w:tc>
          <w:tcPr>
            <w:tcW w:type="dxa" w:w="29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635</w:t>
            </w:r>
          </w:p>
        </w:tc>
        <w:tc>
          <w:tcPr>
            <w:tcW w:type="dxa" w:w="29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0.21%</w:t>
            </w:r>
          </w:p>
        </w:tc>
      </w:tr>
    </w:tbl>
    <w:p>
      <w:pPr>
        <w:spacing w:after="1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2EBFA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868"/>
                <w:sz w:val="21"/>
                <w:szCs w:val="21"/>
              </w:rPr>
              <w:t xml:space="preserve">Insight:</w:t>
            </w:r>
          </w:p>
          <w:p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Of the 4% non-successful transactions, the overwhelming majority (83% of failures) fall under a generic “Failed” status rather than Wrong PIN (user error) or Server Error (platform-side issue). This points toward bank/network-side declines rather than app defects, but the lack of a granular reason code limits root-cause analysis.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3D1868"/>
          <w:sz w:val="24"/>
          <w:szCs w:val="24"/>
        </w:rPr>
        <w:t xml:space="preserve">4.5  Consistent user acquisition; no single age group dominates</w:t>
      </w:r>
    </w:p>
    <w:p>
      <w:pPr>
        <w:spacing w:after="200" w:before="120"/>
        <w:jc w:val="center"/>
      </w:pPr>
      <w:r>
        <w:drawing>
          <wp:inline distT="0" distB="0" distL="0" distR="0">
            <wp:extent cx="5212080" cy="260604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5212080" cy="333756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2EBFA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868"/>
                <w:sz w:val="21"/>
                <w:szCs w:val="21"/>
              </w:rPr>
              <w:t xml:space="preserve">Insight:</w:t>
            </w:r>
          </w:p>
          <w:p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The platform has added a steady 4,300–4,700 new users per month since mid-2023, with no visible growth spikes or slowdowns. Users are broadly distributed across the 18–64 age range (average age 39), indicating a mainstream adult user base rather than a niche younger or older segment.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F259F" w:sz="10" w:space="4"/>
        </w:pBdr>
        <w:spacing w:after="160" w:before="380"/>
      </w:pPr>
      <w:r>
        <w:rPr>
          <w:rFonts w:ascii="Cambria" w:cs="Cambria" w:eastAsia="Cambria" w:hAnsi="Cambria"/>
          <w:b/>
          <w:bCs/>
          <w:color w:val="3D1868"/>
          <w:sz w:val="30"/>
          <w:szCs w:val="30"/>
        </w:rPr>
        <w:t xml:space="preserve">5.  Recommendations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3D1868"/>
          <w:sz w:val="24"/>
          <w:szCs w:val="24"/>
        </w:rPr>
        <w:t xml:space="preserve">5.1  Strengthen monitoring and controls around Loan transactions</w:t>
      </w:r>
    </w:p>
    <w:p>
      <w:pPr>
        <w:spacing w:after="160" w:line="30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Given that Loans drive ~73% of transaction value from just 17% of volume, establish dedicated monitoring, fraud checks, and capital/liquidity forecasting specific to this category rather than relying on platform-wide averages.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3D1868"/>
          <w:sz w:val="24"/>
          <w:szCs w:val="24"/>
        </w:rPr>
        <w:t xml:space="preserve">5.2  Investigate the root cause of generic “Failed” transactions</w:t>
      </w:r>
    </w:p>
    <w:p>
      <w:pPr>
        <w:spacing w:after="160" w:line="30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Work with payment/banking partners to introduce granular decline-reason codes. Even reducing the unexplained “Failed” bucket by 20–30% (via better diagnostics) could materially improve the realized success rate and reduce user friction.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3D1868"/>
          <w:sz w:val="24"/>
          <w:szCs w:val="24"/>
        </w:rPr>
        <w:t xml:space="preserve">5.3  Prioritize product investment in lending &amp; investment sub-categories</w:t>
      </w:r>
    </w:p>
    <w:p>
      <w:pPr>
        <w:spacing w:after="160" w:line="30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Bike Loan, Gold Loan, Mutual Fund, and Credit Score products are the highest-value sub-categories. Consider expanding features, credit limits, or partner integrations in these areas, where incremental improvements have outsized value impact.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3D1868"/>
          <w:sz w:val="24"/>
          <w:szCs w:val="24"/>
        </w:rPr>
        <w:t xml:space="preserve">5.4  Use Money Transfer's high frequency for cross-sell, not standalone growth</w:t>
      </w:r>
    </w:p>
    <w:p>
      <w:pPr>
        <w:spacing w:after="160" w:line="30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Money Transfer generates the most transactions but the least value per transaction. Its high engagement frequency makes it a strong channel for cross-selling Insurance and Loan products rather than a primary revenue lever on its own.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3D1868"/>
          <w:sz w:val="24"/>
          <w:szCs w:val="24"/>
        </w:rPr>
        <w:t xml:space="preserve">5.5  Maintain current acquisition pace while monitoring retention</w:t>
      </w:r>
    </w:p>
    <w:p>
      <w:pPr>
        <w:spacing w:after="160" w:line="30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User growth is steady but this report does not measure retention or churn. Recommend a follow-up cohort-retention study (see Next Steps) before increasing acquisition spend, to confirm growth is translating into active, transacting users.</w:t>
      </w:r>
    </w:p>
    <w:p>
      <w:pPr>
        <w:pStyle w:val="Heading1"/>
        <w:pBdr>
          <w:bottom w:val="single" w:color="5F259F" w:sz="10" w:space="4"/>
        </w:pBdr>
        <w:spacing w:after="160" w:before="380"/>
      </w:pPr>
      <w:r>
        <w:rPr>
          <w:rFonts w:ascii="Cambria" w:cs="Cambria" w:eastAsia="Cambria" w:hAnsi="Cambria"/>
          <w:b/>
          <w:bCs/>
          <w:color w:val="3D1868"/>
          <w:sz w:val="30"/>
          <w:szCs w:val="30"/>
        </w:rPr>
        <w:t xml:space="preserve">6.  Next Steps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Conduct cohort-based retention analysis by user sign-up month.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Segment failure rates by service type to identify whether Loans/Insurance transactions fail more often than Recharges.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Introduce a geographic dimension (state/city) once location data is available, to identify regional opportunity or risk concentration.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Layer in per-user lifetime value (LTV) analysis to complement the platform-level totals in this report.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Request granular decline-reason codes from payment partners to close the root-cause gap identified in Section 4.4.</w:t>
      </w:r>
    </w:p>
    <w:p>
      <w:pPr>
        <w:pStyle w:val="Heading1"/>
        <w:pBdr>
          <w:bottom w:val="single" w:color="5F259F" w:sz="10" w:space="4"/>
        </w:pBdr>
        <w:spacing w:after="160" w:before="380"/>
      </w:pPr>
      <w:r>
        <w:rPr>
          <w:rFonts w:ascii="Cambria" w:cs="Cambria" w:eastAsia="Cambria" w:hAnsi="Cambria"/>
          <w:b/>
          <w:bCs/>
          <w:color w:val="3D1868"/>
          <w:sz w:val="30"/>
          <w:szCs w:val="30"/>
        </w:rPr>
        <w:t xml:space="preserve">7.  Conclusion</w:t>
      </w:r>
    </w:p>
    <w:p>
      <w:pPr>
        <w:spacing w:after="160" w:line="30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PhonePe platform shows healthy overall performance — high success rates, stable transaction throughput, and consistent user growth. The most significant opportunities lie in (1) tightening controls around the high-value Loans category, (2) closing the diagnostic gap on failed transactions, and (3) using cross-sell strategies to convert Money Transfer's high engagement into higher-value product adoption. These recommendations are intended to guide the next planning cycle and are supported by the full interactive Power BI report accompanying this document.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3EE" w:sz="6" w:space="4"/>
      </w:pBd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PhonePe Transaction Analysis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018d2eb5eccfb96154182b9f6a3c4286b126cec.png"/><Relationship Id="rId10" Type="http://schemas.openxmlformats.org/officeDocument/2006/relationships/image" Target="media/7e2f034bc5fdca4057e9b445dd9774ab6ce1e2ff.png"/><Relationship Id="rId11" Type="http://schemas.openxmlformats.org/officeDocument/2006/relationships/image" Target="media/a625db3efcb2369f8c73257eda801a1940d6d1c9.png"/><Relationship Id="rId12" Type="http://schemas.openxmlformats.org/officeDocument/2006/relationships/image" Target="media/8760e96ad661eefb16409fa3627b0be0896621ec.png"/><Relationship Id="rId13" Type="http://schemas.openxmlformats.org/officeDocument/2006/relationships/image" Target="media/229ab747b3fa61338bc659051ff7bca400512ad2.png"/><Relationship Id="rId14" Type="http://schemas.openxmlformats.org/officeDocument/2006/relationships/image" Target="media/cbd538ad9b0b03d2898befafb171229d7b3e3179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2026-09-06T06:35:04.802Z</dcterms:created>
  <dcterms:modified xsi:type="dcterms:W3CDTF">2026-09-06T06:35:04.812Z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