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329BC" w14:textId="77777777" w:rsidR="00835E5D" w:rsidRDefault="00000000">
      <w:pPr>
        <w:pStyle w:val="Title"/>
      </w:pPr>
      <w:r>
        <w:t>Speaker Script for Tian (2024) Presentation</w:t>
      </w:r>
    </w:p>
    <w:p w14:paraId="7F34DEEB" w14:textId="77777777" w:rsidR="00835E5D" w:rsidRDefault="00000000">
      <w:pPr>
        <w:pStyle w:val="Subtitle"/>
      </w:pPr>
      <w:r>
        <w:t>International Trade Liberalization and Domestic Institutional Reform</w:t>
      </w:r>
    </w:p>
    <w:p w14:paraId="2A58E478" w14:textId="77777777" w:rsidR="00835E5D" w:rsidRDefault="00000000">
      <w:pPr>
        <w:pStyle w:val="Author"/>
      </w:pPr>
      <w:r>
        <w:t>Prepared for classroom presentation</w:t>
      </w:r>
    </w:p>
    <w:p w14:paraId="4CA403DC" w14:textId="77777777" w:rsidR="00835E5D" w:rsidRDefault="00000000">
      <w:pPr>
        <w:pStyle w:val="Heading1"/>
      </w:pPr>
      <w:bookmarkStart w:id="0" w:name="slide-2---roadmap"/>
      <w:r>
        <w:t>Slide 2 - Roadmap</w:t>
      </w:r>
    </w:p>
    <w:p w14:paraId="4B34E504" w14:textId="77777777" w:rsidR="00835E5D" w:rsidRDefault="00000000">
      <w:pPr>
        <w:pStyle w:val="FirstParagraph"/>
      </w:pPr>
      <w:r>
        <w:t>I will structure the presentation in six parts. First, I explain the motivation and the Chinese institutional setting. Second, I describe how the author constructs a new dataset on local migration regulations. Third, I go through the empirical design, especially the export-tariff exposure measure and the long-difference specification. Fourth, I discuss the main results and robustness. Fifth, I interpret the evidence on migrant welfare and migration flows. Finally, I provide a critical assessment from both economics and Hukou political-historical scholarship.</w:t>
      </w:r>
    </w:p>
    <w:p w14:paraId="474298FA" w14:textId="77777777" w:rsidR="00835E5D" w:rsidRDefault="00000000">
      <w:pPr>
        <w:pStyle w:val="Heading1"/>
      </w:pPr>
      <w:bookmarkStart w:id="1" w:name="Xd41012079631af3f494ba0964693476037c7909"/>
      <w:bookmarkEnd w:id="0"/>
      <w:r>
        <w:t>Slide 3 - The question: can trade liberalization reshape domestic institutions?</w:t>
      </w:r>
    </w:p>
    <w:p w14:paraId="60F39672" w14:textId="77777777" w:rsidR="00835E5D" w:rsidRDefault="00000000">
      <w:pPr>
        <w:pStyle w:val="FirstParagraph"/>
      </w:pPr>
      <w:r>
        <w:t>The starting point is that standard trade models usually emphasize market outcomes: prices, exports, wages, firm productivity, and the reallocation of labor and capital. Tian’s paper asks a deeper question. When trade liberalization changes the value of labor reallocation, can it also change the rules that govern that reallocation? In the Chinese context, the relevant institution is the Hukou system. The paper argues that when export opportunities rise, local governments have stronger incentives to make migrant workers easier to attract, retain, and integrate into local production.</w:t>
      </w:r>
    </w:p>
    <w:p w14:paraId="7BDF7544" w14:textId="77777777" w:rsidR="00835E5D" w:rsidRDefault="00000000">
      <w:pPr>
        <w:pStyle w:val="Heading1"/>
      </w:pPr>
      <w:bookmarkStart w:id="2" w:name="Xfa57dcfa0611eb8565cb379a21c81db506ca891"/>
      <w:bookmarkEnd w:id="1"/>
      <w:r>
        <w:t>Slide 4 - Why China is a powerful empirical setting</w:t>
      </w:r>
    </w:p>
    <w:p w14:paraId="46A2BA72" w14:textId="77777777" w:rsidR="00835E5D" w:rsidRDefault="00000000">
      <w:pPr>
        <w:pStyle w:val="FirstParagraph"/>
      </w:pPr>
      <w:r>
        <w:t>China is a strong empirical setting for three reasons. First, WTO accession was a large and plausibly external trade shock. Second, the impact varied across prefectures because each prefecture had a different industrial structure before WTO accession. Third, around the same period, local governments obtained more room to adjust Hukou-related policies. This combination is useful: there is a national shock, local variation in exposure, and a directly observable institutional response. The paper therefore does not infer reform from economic outcomes alone; it measures local policy texts directly.</w:t>
      </w:r>
    </w:p>
    <w:p w14:paraId="6BD79448" w14:textId="77777777" w:rsidR="00835E5D" w:rsidRDefault="00000000">
      <w:pPr>
        <w:pStyle w:val="Heading1"/>
      </w:pPr>
      <w:bookmarkStart w:id="3" w:name="Xfcb676366f81f8f82abb9a4be5e568f36d597e4"/>
      <w:bookmarkEnd w:id="2"/>
      <w:r>
        <w:lastRenderedPageBreak/>
        <w:t>Slide 5 - Hukou as an economic and political institution</w:t>
      </w:r>
    </w:p>
    <w:p w14:paraId="48608B70" w14:textId="77777777" w:rsidR="00835E5D" w:rsidRDefault="00000000">
      <w:pPr>
        <w:pStyle w:val="FirstParagraph"/>
      </w:pPr>
      <w:r>
        <w:t>It is important not to reduce Hukou to a simple labor-market friction. Economically, Hukou limits labor mobility by restricting access to schooling, social insurance, formal employment, and local public goods. Politically and historically, however, Hukou has also been a state-building institution. The literature by Cheng and Selden, Chan and Zhang, Solinger, Wang, and Chan emphasizes rural-urban hierarchy, social control, differentiated citizenship, and fiscal exclusion. This matters because the reforms studied here should be interpreted as partial local accommodation of migrant labor, not as full urban citizenship or abolition of the Hukou system.</w:t>
      </w:r>
    </w:p>
    <w:p w14:paraId="3AD21623" w14:textId="77777777" w:rsidR="00835E5D" w:rsidRDefault="00000000">
      <w:pPr>
        <w:pStyle w:val="Heading1"/>
      </w:pPr>
      <w:bookmarkStart w:id="4" w:name="Xe46ea60fc592a2b9a6b3f179bd6f4298176b9df"/>
      <w:bookmarkEnd w:id="3"/>
      <w:r>
        <w:t>Slide 6 - Economic mechanism in the paper</w:t>
      </w:r>
    </w:p>
    <w:p w14:paraId="28A81D60" w14:textId="77777777" w:rsidR="00835E5D" w:rsidRDefault="00000000">
      <w:pPr>
        <w:pStyle w:val="FirstParagraph"/>
      </w:pPr>
      <w:r>
        <w:t>The economic mechanism is a simple comparative-static argument. WTO accession reduces foreign tariffs faced by Chinese exporters. Prefectures specialized in industries with larger tariff cuts receive stronger export-demand shocks. Firms in those places need more workers, especially migrant workers. If Hukou restrictions make migrants costly to recruit and retain, then the opportunity cost of keeping those restrictions rises. Local governments respond by relaxing migration-related regulations. In short, export opportunities raise the shadow cost of labor immobility, and this creates incentives for local institutional reform.</w:t>
      </w:r>
    </w:p>
    <w:p w14:paraId="547BAB7D" w14:textId="77777777" w:rsidR="00835E5D" w:rsidRDefault="00000000">
      <w:pPr>
        <w:pStyle w:val="Heading1"/>
      </w:pPr>
      <w:bookmarkStart w:id="5" w:name="Xe2a5cc7e75b2a1c7e1e9593ebfb36214856336b"/>
      <w:bookmarkEnd w:id="4"/>
      <w:r>
        <w:t>Slide 7 - New data: prefecture-level migration regulations</w:t>
      </w:r>
    </w:p>
    <w:p w14:paraId="276EBC6B" w14:textId="77777777" w:rsidR="00835E5D" w:rsidRDefault="00000000">
      <w:pPr>
        <w:pStyle w:val="FirstParagraph"/>
      </w:pPr>
      <w:r>
        <w:t>A major contribution of the paper is data construction. The author collects migrant-related regulations from Pkulaw, using terms such as migrant worker, temporary residence, non-Hukou population, and Hukou. Each regulation is coded on a scale from -2 to +2. Positive scores capture policies that improve migrant welfare, such as wage protection, social insurance, school access, or lower registration costs. Negative scores capture more restrictive policies. The prefecture-level outcome is the cumulative migrant-friendliness score. This gives the paper a direct de jure measure of local institutional reform.</w:t>
      </w:r>
    </w:p>
    <w:p w14:paraId="5E3F1ED3" w14:textId="77777777" w:rsidR="00835E5D" w:rsidRDefault="00000000">
      <w:pPr>
        <w:pStyle w:val="Heading1"/>
      </w:pPr>
      <w:bookmarkStart w:id="6" w:name="X1c2e2c250ef887cb559590f9fb42357b1b18a62"/>
      <w:bookmarkEnd w:id="5"/>
      <w:r>
        <w:t>Slide 8 - Figure 1: what do the regulations talk about?</w:t>
      </w:r>
    </w:p>
    <w:p w14:paraId="368E6935" w14:textId="77777777" w:rsidR="00835E5D" w:rsidRDefault="00000000">
      <w:pPr>
        <w:pStyle w:val="FirstParagraph"/>
      </w:pPr>
      <w:r>
        <w:t>This figure helps us understand the content behind the regulation score. The word clouds show that these texts are not abstract political statements. They refer to concrete policy areas: wage arrears, labor contracts, vocational training, migrant children, schooling, vaccination, and public-service access. This supports the interpretation that the author is measuring regulations relevant to migrant well-being. The figure is also useful pedagogically because it makes the text-based outcome more transparent. The dependent variable is built from policies that directly affect the conditions under which migrants live and work in cities.</w:t>
      </w:r>
    </w:p>
    <w:p w14:paraId="1066E6F4" w14:textId="77777777" w:rsidR="00835E5D" w:rsidRDefault="00000000">
      <w:pPr>
        <w:pStyle w:val="Heading1"/>
      </w:pPr>
      <w:bookmarkStart w:id="7" w:name="X4da1f0e8df7994a01049485ac6bf61a609e1af3"/>
      <w:bookmarkEnd w:id="6"/>
      <w:r>
        <w:lastRenderedPageBreak/>
        <w:t>Slide 9 - Validation: manual coding and NLP coding tell a similar story</w:t>
      </w:r>
    </w:p>
    <w:p w14:paraId="56B6EA2B" w14:textId="77777777" w:rsidR="00835E5D" w:rsidRDefault="00000000">
      <w:pPr>
        <w:pStyle w:val="FirstParagraph"/>
      </w:pPr>
      <w:r>
        <w:t>A natural concern is subjectivity in coding legal texts. The author addresses this in two ways. First, two research assistants with legal training independently code a subset of regulations. Second, the author validates the manual coding using supervised machine-learning methods: random forest, multilayer perceptron, and convolutional neural networks. The correlations between machine-coded scores and manual scores are around 0.71 to 0.73. These are not perfect, but they are high enough to suggest that the manual score is capturing systematic textual content rather than arbitrary judgment.</w:t>
      </w:r>
    </w:p>
    <w:p w14:paraId="4242510F" w14:textId="77777777" w:rsidR="00835E5D" w:rsidRDefault="00000000">
      <w:pPr>
        <w:pStyle w:val="Heading1"/>
      </w:pPr>
      <w:bookmarkStart w:id="8" w:name="X1df06bf39c814bf15a89769852b24e78033bc38"/>
      <w:bookmarkEnd w:id="7"/>
      <w:r>
        <w:t>Slide 10 - Figure 2: a visible break in policy activity after WTO accession</w:t>
      </w:r>
    </w:p>
    <w:p w14:paraId="052C7356" w14:textId="77777777" w:rsidR="00835E5D" w:rsidRDefault="00000000">
      <w:pPr>
        <w:pStyle w:val="FirstParagraph"/>
      </w:pPr>
      <w:r>
        <w:t>Figure 2 provides the descriptive starting point. Before 2001, migrant-related local regulations were relatively limited and close to neutral on average. After WTO accession, both the number of regulations and their pro-migrant content increase sharply. This pattern is not causal by itself, because many things changed in China around 2001. But it motivates the empirical design: the author then asks whether the increase was stronger in prefectures that experienced larger export-market liberalization. The figure establishes that there was a meaningful institutional change to explain.</w:t>
      </w:r>
    </w:p>
    <w:p w14:paraId="15515747" w14:textId="77777777" w:rsidR="00835E5D" w:rsidRDefault="00000000">
      <w:pPr>
        <w:pStyle w:val="Heading1"/>
      </w:pPr>
      <w:bookmarkStart w:id="9" w:name="Xd00d137eb5af76bd5b8f0f8a5582cf2a8b2a217"/>
      <w:bookmarkEnd w:id="8"/>
      <w:r>
        <w:t>Slide 11 - Measuring exposure to export-market liberalization</w:t>
      </w:r>
    </w:p>
    <w:p w14:paraId="6C8DF8A3" w14:textId="77777777" w:rsidR="00835E5D" w:rsidRDefault="00000000">
      <w:pPr>
        <w:pStyle w:val="FirstParagraph"/>
      </w:pPr>
      <w:r>
        <w:t>The key treatment variable is a shift-share measure of export liberalization. For each prefecture, the author combines its pre-WTO employment shares across industries with industry-level tariff reductions faced by Chinese exporters. The logic is straightforward: if a prefecture was initially concentrated in industries whose foreign tariffs fell more after WTO accession, then that prefecture received a larger export-demand shock. The use of pre-WTO employment shares is important because it reduces the risk that local post-WTO policy choices mechanically determine the treatment variable.</w:t>
      </w:r>
    </w:p>
    <w:p w14:paraId="1D8867BF" w14:textId="77777777" w:rsidR="00835E5D" w:rsidRDefault="00000000">
      <w:pPr>
        <w:pStyle w:val="Heading1"/>
      </w:pPr>
      <w:bookmarkStart w:id="10" w:name="Xc3718adc8a84f6bf569c7371c606539df7b3bf5"/>
      <w:bookmarkEnd w:id="9"/>
      <w:r>
        <w:t>Slide 12 - Figure 3: export tariffs fell after WTO accession</w:t>
      </w:r>
    </w:p>
    <w:p w14:paraId="1500DED5" w14:textId="77777777" w:rsidR="00835E5D" w:rsidRDefault="00000000">
      <w:pPr>
        <w:pStyle w:val="FirstParagraph"/>
      </w:pPr>
      <w:r>
        <w:t xml:space="preserve">Figure 3 shows the industry-level tariff changes behind the treatment. The central point is not just that tariffs fell, but that they fell unevenly across industries. This unevenness creates the cross-prefecture variation used in the analysis. Prefectures with different industrial bases were exposed to different degrees of export-market opening. This is a standard logic in trade-shock papers: a national or global shock is </w:t>
      </w:r>
      <w:r>
        <w:lastRenderedPageBreak/>
        <w:t>translated into local exposure through initial local economic structure. Here, the shock is foreign tariff reductions on Chinese exports.</w:t>
      </w:r>
    </w:p>
    <w:p w14:paraId="5D71600D" w14:textId="77777777" w:rsidR="00835E5D" w:rsidRDefault="00000000">
      <w:pPr>
        <w:pStyle w:val="Heading1"/>
      </w:pPr>
      <w:bookmarkStart w:id="11" w:name="slide-13---long-difference-design"/>
      <w:bookmarkEnd w:id="10"/>
      <w:r>
        <w:t>Slide 13 - Long-difference design</w:t>
      </w:r>
    </w:p>
    <w:p w14:paraId="617EC849" w14:textId="77777777" w:rsidR="00835E5D" w:rsidRDefault="00000000">
      <w:pPr>
        <w:pStyle w:val="FirstParagraph"/>
      </w:pPr>
      <w:r>
        <w:t>The main specification is a long-difference regression from 2001 to 2007. The dependent variable is the change in the inverse-hyperbolic-sine transformation of the regulation score. The main explanatory variable is the prefecture-level change in tariffs on exports. Because tariff changes are negative when tariffs fall, a negative coefficient means that larger tariff cuts lead to more pro-migrant reform. The design compares prefectures more exposed to export liberalization with prefectures less exposed, while controlling for other trade shocks and pre-existing local characteristics.</w:t>
      </w:r>
    </w:p>
    <w:p w14:paraId="57D67222" w14:textId="77777777" w:rsidR="00835E5D" w:rsidRDefault="00000000">
      <w:pPr>
        <w:pStyle w:val="Heading1"/>
      </w:pPr>
      <w:bookmarkStart w:id="12" w:name="X93e6f54192db3629a18161aa957887a6c71a936"/>
      <w:bookmarkEnd w:id="11"/>
      <w:r>
        <w:t>Slide 14 - Identification: what must be true?</w:t>
      </w:r>
    </w:p>
    <w:p w14:paraId="58E5657B" w14:textId="77777777" w:rsidR="00835E5D" w:rsidRDefault="00000000">
      <w:pPr>
        <w:pStyle w:val="FirstParagraph"/>
      </w:pPr>
      <w:r>
        <w:t>The identification assumption is that, absent WTO-related export liberalization, high-exposure and low-exposure prefectures would not have experienced systematically different changes in migration policy. Three threats are especially important. First, high-exposure prefectures may already have been more market-oriented. Second, initial industrial structure may proxy for local governance capacity or coastal development. Third, other WTO-related channels, such as import competition, input-tariff reductions, PNTR uncertainty, and MFA quota removal, may also affect local reforms. The paper addresses these concerns through pre-trend tests, controls, and robustness exercises.</w:t>
      </w:r>
    </w:p>
    <w:p w14:paraId="7373056F" w14:textId="77777777" w:rsidR="00835E5D" w:rsidRDefault="00000000">
      <w:pPr>
        <w:pStyle w:val="Heading1"/>
      </w:pPr>
      <w:bookmarkStart w:id="13" w:name="Xc0f26bc217937cedef8d87211702132940452eb"/>
      <w:bookmarkEnd w:id="12"/>
      <w:r>
        <w:t>Slide 15 - Figure 4A: industry-level pre-trends</w:t>
      </w:r>
    </w:p>
    <w:p w14:paraId="1EA466CB" w14:textId="77777777" w:rsidR="00835E5D" w:rsidRDefault="00000000">
      <w:pPr>
        <w:pStyle w:val="FirstParagraph"/>
      </w:pPr>
      <w:r>
        <w:t>Figure 4A addresses whether post-WTO tariff cuts were already predictable from pre-WTO industry trends. If industries with larger later tariff cuts were already on special export-growth trajectories before WTO accession, the treatment might not be clean. The figure suggests that pre-WTO export growth and tariff trends do not strongly predict post-WTO export-tariff reductions. This supports the idea that the tariff component of the shock is plausibly external to Chinese local policy choices, although it cannot by itself eliminate all concerns about industry composition.</w:t>
      </w:r>
    </w:p>
    <w:p w14:paraId="240829C7" w14:textId="77777777" w:rsidR="00835E5D" w:rsidRDefault="00000000">
      <w:pPr>
        <w:pStyle w:val="Heading1"/>
      </w:pPr>
      <w:bookmarkStart w:id="14" w:name="Xc828e3ae096ea97e126217865e1559bbdccac51"/>
      <w:bookmarkEnd w:id="13"/>
      <w:r>
        <w:t>Slide 16 - Figure 4B: prefecture-level pre-trends</w:t>
      </w:r>
    </w:p>
    <w:p w14:paraId="68377B53" w14:textId="77777777" w:rsidR="00835E5D" w:rsidRDefault="00000000">
      <w:pPr>
        <w:pStyle w:val="FirstParagraph"/>
      </w:pPr>
      <w:r>
        <w:t>Figure 4B brings the pre-trend logic to the prefecture level. The question is whether prefectures that would later receive larger export shocks were already reforming migrant policy more rapidly before 2001. The figure suggests that they were not. This is a crucial diagnostic because the identification strategy depends on comparing post-WTO changes across differently exposed prefectures. If high-</w:t>
      </w:r>
      <w:r>
        <w:lastRenderedPageBreak/>
        <w:t>exposure prefectures had already been on a pro-migrant reform path before WTO, the main estimates would be much less credible.</w:t>
      </w:r>
    </w:p>
    <w:p w14:paraId="33831CA9" w14:textId="77777777" w:rsidR="00835E5D" w:rsidRDefault="00000000">
      <w:pPr>
        <w:pStyle w:val="Heading1"/>
      </w:pPr>
      <w:bookmarkStart w:id="15" w:name="X4e6878cfcc080a3b45b20ee7b4be6a4ab0af84b"/>
      <w:bookmarkEnd w:id="14"/>
      <w:r>
        <w:t>Slide 17 - Table 1: export-market liberalization predicts pro-migrant reform</w:t>
      </w:r>
    </w:p>
    <w:p w14:paraId="47EF3C63" w14:textId="77777777" w:rsidR="00835E5D" w:rsidRDefault="00000000">
      <w:pPr>
        <w:pStyle w:val="FirstParagraph"/>
      </w:pPr>
      <w:r>
        <w:t>Table 1 presents the central result. Across specifications, the coefficient on export-tariff changes is negative and usually statistically significant. Since tariff reductions are negative values, the interpretation is that larger export liberalization increases migrant-friendliness. The result remains present when the author adds controls for import tariffs, input tariffs, PNTR, MFA, and pre-trends. The coefficient is not just statistically meaningful; it supports the paper’s main economic argument that local governments changed migration-related regulations in response to increased export opportunities.</w:t>
      </w:r>
    </w:p>
    <w:p w14:paraId="3FEC7642" w14:textId="77777777" w:rsidR="00835E5D" w:rsidRDefault="00000000">
      <w:pPr>
        <w:pStyle w:val="Heading1"/>
      </w:pPr>
      <w:bookmarkStart w:id="16" w:name="X80c3551eb259d601a5532c32706008a395e2610"/>
      <w:bookmarkEnd w:id="15"/>
      <w:r>
        <w:t>Slide 18 - Figure 5: reduced-form relationship in the data</w:t>
      </w:r>
    </w:p>
    <w:p w14:paraId="6D81A913" w14:textId="77777777" w:rsidR="00835E5D" w:rsidRDefault="00000000">
      <w:pPr>
        <w:pStyle w:val="FirstParagraph"/>
      </w:pPr>
      <w:r>
        <w:t>Figure 5 visualizes the reduced-form relationship. Prefectures with more negative export-tariff changes tend to experience larger increases in the pro-migrant regulation score. This figure is useful because it shows the key relationship without relying only on table coefficients. Of course, the figure is still reduced form, and the regression controls matter for causal interpretation. But visually, it is consistent with the paper’s main claim: the places most exposed to export liberalization are also the places where migration policy becomes more favorable.</w:t>
      </w:r>
    </w:p>
    <w:p w14:paraId="22403BB6" w14:textId="77777777" w:rsidR="00835E5D" w:rsidRDefault="00000000">
      <w:pPr>
        <w:pStyle w:val="Heading1"/>
      </w:pPr>
      <w:bookmarkStart w:id="17" w:name="slide-19---how-large-is-the-effect"/>
      <w:bookmarkEnd w:id="16"/>
      <w:r>
        <w:t>Slide 19 - How large is the effect?</w:t>
      </w:r>
    </w:p>
    <w:p w14:paraId="153F67B2" w14:textId="77777777" w:rsidR="00835E5D" w:rsidRDefault="00000000">
      <w:pPr>
        <w:pStyle w:val="FirstParagraph"/>
      </w:pPr>
      <w:r>
        <w:t>The economic magnitude is meaningful. The paper reports that prefectures in the upper third of export-market liberalization increase their regulation score by about 0.40 standard deviations more than prefectures in the lower third. This is substantial because institutional reform is usually slow and difficult to observe. However, the interpretation should be precise. The result is not that WTO accession abolished Hukou or created equal urban citizenship. It means that local governments made formal policy changes that improved migrant treatment at the margin.</w:t>
      </w:r>
    </w:p>
    <w:p w14:paraId="3C79E271" w14:textId="77777777" w:rsidR="00835E5D" w:rsidRDefault="00000000">
      <w:pPr>
        <w:pStyle w:val="Heading1"/>
      </w:pPr>
      <w:bookmarkStart w:id="18" w:name="Xb6ef114175fe0d3c8c54f2cd1302f6f0c8041f0"/>
      <w:bookmarkEnd w:id="17"/>
      <w:r>
        <w:t>Slide 20 - Robustness: the result is not driven by a single coding or specification</w:t>
      </w:r>
    </w:p>
    <w:p w14:paraId="2AF0ED88" w14:textId="77777777" w:rsidR="00835E5D" w:rsidRDefault="00000000">
      <w:pPr>
        <w:pStyle w:val="FirstParagraph"/>
      </w:pPr>
      <w:r>
        <w:t xml:space="preserve">The robustness evidence is important because the dependent variable is newly constructed. The author shows that the result holds under alternative regulation scores, including NLP-based coding. It also holds under alternative empirical </w:t>
      </w:r>
      <w:r>
        <w:lastRenderedPageBreak/>
        <w:t>specifications and alternative trade shocks, such as PNTR and MFA-related exposure. The paper also considers shift-share inference issues. These exercises make the result more credible. Still, robustness does not remove the need to interpret the treatment carefully, because industrial composition may capture broader differences in local development and governance.</w:t>
      </w:r>
    </w:p>
    <w:p w14:paraId="77D54422" w14:textId="77777777" w:rsidR="00835E5D" w:rsidRDefault="00000000">
      <w:pPr>
        <w:pStyle w:val="Heading1"/>
      </w:pPr>
      <w:bookmarkStart w:id="19" w:name="X6712b74cedfee717787d95cb154eb76f1ad8579"/>
      <w:bookmarkEnd w:id="18"/>
      <w:r>
        <w:t>Slide 21 - Table 2: heterogeneity supports the labor-demand mechanism</w:t>
      </w:r>
    </w:p>
    <w:p w14:paraId="4BA3C25D" w14:textId="77777777" w:rsidR="00835E5D" w:rsidRDefault="00000000">
      <w:pPr>
        <w:pStyle w:val="FirstParagraph"/>
      </w:pPr>
      <w:r>
        <w:t>Table 2 studies where the effect is stronger. The interaction results show stronger reform responses in prefectures with higher migrant intensity, larger private-sector shares, higher GDP per capita, and higher wages. This pattern is consistent with the labor-demand mechanism: when migrant labor is more important for local production, export opportunities create stronger incentives to improve migrant-related policies. The result helps distinguish the author’s mechanism from a purely national reform story. If all prefectures were simply responding to central policy, we would not necessarily expect this pattern.</w:t>
      </w:r>
    </w:p>
    <w:p w14:paraId="646446EB" w14:textId="77777777" w:rsidR="00835E5D" w:rsidRDefault="00000000">
      <w:pPr>
        <w:pStyle w:val="Heading1"/>
      </w:pPr>
      <w:bookmarkStart w:id="20" w:name="X619e3a4805d21b7a092d32e99d127b2a2995f6c"/>
      <w:bookmarkEnd w:id="19"/>
      <w:r>
        <w:t>Slide 22 - Figure 6: visualizing heterogeneity</w:t>
      </w:r>
    </w:p>
    <w:p w14:paraId="76019D1B" w14:textId="77777777" w:rsidR="00835E5D" w:rsidRDefault="00000000">
      <w:pPr>
        <w:pStyle w:val="FirstParagraph"/>
      </w:pPr>
      <w:r>
        <w:t>Figure 6 presents the heterogeneity visually. It reinforces the same point as Table 2: the export-liberalization effect is stronger where migrant labor and market-oriented production are more relevant. This figure is useful for explaining mechanism rather than just documenting correlation. It suggests that local governments were not randomly issuing pro-migrant regulations. Instead, the response was stronger where relaxing migration frictions was more valuable for capturing gains from trade. This is exactly what the economic logic predicts.</w:t>
      </w:r>
    </w:p>
    <w:p w14:paraId="36F4F8B0" w14:textId="77777777" w:rsidR="00835E5D" w:rsidRDefault="00000000">
      <w:pPr>
        <w:pStyle w:val="Heading1"/>
      </w:pPr>
      <w:bookmarkStart w:id="21" w:name="Xae430782422f7f6ce5fa21f785191d8c77e8d7e"/>
      <w:bookmarkEnd w:id="20"/>
      <w:r>
        <w:t>Slide 23 - Table 3: do pro-migrant regulations correspond to better migrant outcomes?</w:t>
      </w:r>
    </w:p>
    <w:p w14:paraId="6EF556B8" w14:textId="77777777" w:rsidR="00835E5D" w:rsidRDefault="00000000">
      <w:pPr>
        <w:pStyle w:val="FirstParagraph"/>
      </w:pPr>
      <w:r>
        <w:t>Table 3 asks whether the regulation score has real-world content. In the 2005 cross section, higher migrant-friendliness is associated with better migrant outcomes, including social insurance coverage and monthly income, conditional on similar local outcomes. This is not the main causal design, but it is a useful validation exercise. It suggests that the regulation index is not only a textual measure; it is correlated with migrant conditions on the ground. The limitation is that enforcement is still measured indirectly, not through direct administrative implementation data.</w:t>
      </w:r>
    </w:p>
    <w:p w14:paraId="550CC86E" w14:textId="77777777" w:rsidR="00835E5D" w:rsidRDefault="00000000">
      <w:pPr>
        <w:pStyle w:val="Heading1"/>
      </w:pPr>
      <w:bookmarkStart w:id="22" w:name="X4d14c7cb4c4f724ad2eaef7534133c7223cbf4a"/>
      <w:bookmarkEnd w:id="21"/>
      <w:r>
        <w:lastRenderedPageBreak/>
        <w:t>Slide 24 - Table 4: trade shocks, regulation changes, and migrant flows</w:t>
      </w:r>
    </w:p>
    <w:p w14:paraId="6671F9E7" w14:textId="77777777" w:rsidR="00835E5D" w:rsidRDefault="00000000">
      <w:pPr>
        <w:pStyle w:val="FirstParagraph"/>
      </w:pPr>
      <w:r>
        <w:t>Table 4 connects trade shocks, regulation changes, and migrant flows. The results are consistent with the paper’s mechanism: export liberalization and pro-migrant regulation changes are associated with increased migrant shares, especially for shorter-distance migration. But this evidence is more difficult to interpret causally. Trade can attract migrants directly through higher wages and more jobs, even without policy reform. Migrant inflows can also create political pressure for new regulations. Therefore, I would treat this table as supporting evidence rather than the cleanest causal result.</w:t>
      </w:r>
    </w:p>
    <w:p w14:paraId="3D8CF9DF" w14:textId="77777777" w:rsidR="00835E5D" w:rsidRDefault="00000000">
      <w:pPr>
        <w:pStyle w:val="Heading1"/>
      </w:pPr>
      <w:bookmarkStart w:id="23" w:name="Xf112b52fbdc581a373def941eab613a9e341083"/>
      <w:bookmarkEnd w:id="22"/>
      <w:r>
        <w:t>Slide 25 - What this paper teaches about China’s WTO accession</w:t>
      </w:r>
    </w:p>
    <w:p w14:paraId="645AA984" w14:textId="77777777" w:rsidR="00835E5D" w:rsidRDefault="00000000">
      <w:pPr>
        <w:pStyle w:val="FirstParagraph"/>
      </w:pPr>
      <w:r>
        <w:t>The broader contribution is that China’s WTO accession was not only a trade event. It also changed the local political economy of domestic labor-market governance. The paper adds an institutional channel to the China-WTO literature. External liberalization increased the returns to domestic factor mobility, and local governments adjusted policies to reduce some migration frictions. This is the most important lesson: globalization can reshape domestic institutions because it changes the incentives of political actors, not only the behavior of firms and workers.</w:t>
      </w:r>
    </w:p>
    <w:p w14:paraId="05260E10" w14:textId="77777777" w:rsidR="00835E5D" w:rsidRDefault="00000000">
      <w:pPr>
        <w:pStyle w:val="Heading1"/>
      </w:pPr>
      <w:bookmarkStart w:id="24" w:name="X4937824f2093cb7a5886cb6c2a2ab3ae710cd25"/>
      <w:bookmarkEnd w:id="23"/>
      <w:r>
        <w:t>Slide 26 - Critique from Hukou political and historical scholarship</w:t>
      </w:r>
    </w:p>
    <w:p w14:paraId="1FF63EE0" w14:textId="77777777" w:rsidR="00835E5D" w:rsidRDefault="00000000">
      <w:pPr>
        <w:pStyle w:val="FirstParagraph"/>
      </w:pPr>
      <w:r>
        <w:t>The first critique comes from Hukou scholarship. Economists may describe Hukou as a labor-market friction, but political and historical studies view it as a system of state control, rural-urban hierarchy, fiscal citizenship, and selective inclusion. From this perspective, the paper may understate the political depth of Hukou. Pro-migrant regulations can improve labor-market functioning while preserving unequal citizenship. Local governments may have supported migrants as workers without granting full access to urban welfare. So the paper is strongest as a theory of marginal adaptation within a durable institution.</w:t>
      </w:r>
    </w:p>
    <w:p w14:paraId="44D6E0A8" w14:textId="77777777" w:rsidR="00835E5D" w:rsidRDefault="00000000">
      <w:pPr>
        <w:pStyle w:val="Heading1"/>
      </w:pPr>
      <w:bookmarkStart w:id="25" w:name="X5871c89d9ed1bd9310afade81e36343c64d9c83"/>
      <w:bookmarkEnd w:id="24"/>
      <w:r>
        <w:t>Slide 27 - Critique of the empirical design</w:t>
      </w:r>
    </w:p>
    <w:p w14:paraId="0275593D" w14:textId="77777777" w:rsidR="00835E5D" w:rsidRDefault="00000000">
      <w:pPr>
        <w:pStyle w:val="FirstParagraph"/>
      </w:pPr>
      <w:r>
        <w:t xml:space="preserve">The second critique concerns identification and interpretation. The shift-share design is plausible, but initial industrial composition may proxy for marketization, openness, administrative capacity, or coastal reform orientation. The policy timing also overlaps with broader national labor-law modernization and urban governance changes. The outcome measures regulation texts, not enforcement intensity. Finally, the mechanism is difficult to decompose: trade may affect migration directly through jobs and wages, indirectly through regulation, or through fiscal capacity. </w:t>
      </w:r>
      <w:r>
        <w:lastRenderedPageBreak/>
        <w:t>These issues do not overturn the paper, but they discipline how strongly we interpret the results.</w:t>
      </w:r>
    </w:p>
    <w:p w14:paraId="6AED2238" w14:textId="4F229CC0" w:rsidR="00835E5D" w:rsidRDefault="00000000">
      <w:pPr>
        <w:pStyle w:val="Heading1"/>
        <w:rPr>
          <w:rFonts w:hint="eastAsia"/>
          <w:lang w:eastAsia="zh-CN"/>
        </w:rPr>
      </w:pPr>
      <w:bookmarkStart w:id="26" w:name="Xc38e7db8559034572e570d2e36e52dd3134e968"/>
      <w:bookmarkEnd w:id="25"/>
      <w:r>
        <w:t xml:space="preserve">Slide 28 - How </w:t>
      </w:r>
      <w:r w:rsidR="00B16257">
        <w:rPr>
          <w:rFonts w:hint="eastAsia"/>
          <w:lang w:eastAsia="zh-CN"/>
        </w:rPr>
        <w:t>we briefing this paper</w:t>
      </w:r>
    </w:p>
    <w:p w14:paraId="2646ACDE" w14:textId="6F8E262E" w:rsidR="00835E5D" w:rsidRDefault="00000000">
      <w:pPr>
        <w:pStyle w:val="FirstParagraph"/>
      </w:pPr>
      <w:r>
        <w:t>The paper establishes quite convincingly that WTO-induced export-market liberalization led to more pro-migrant regulation at the prefecture level. It also suggests that these reforms were economically meaningful and related to migrant welfare and flows. But it does not fully prove the enforcement channel, causal mediation through migration flows, or aggregate welfare effects. The paper’s main importance is that it shows how trade openness can reshape the incentives behind domestic institutions. Trade changes markets, and through markets it can change policy.</w:t>
      </w:r>
    </w:p>
    <w:p w14:paraId="0062880F" w14:textId="77777777" w:rsidR="00835E5D" w:rsidRDefault="00000000">
      <w:pPr>
        <w:pStyle w:val="Heading1"/>
      </w:pPr>
      <w:bookmarkStart w:id="27" w:name="X2b0e945deffa8e739fb7ac5059a73d4826820dc"/>
      <w:bookmarkEnd w:id="26"/>
      <w:r>
        <w:t>Slide 29 - References used for contextual critique</w:t>
      </w:r>
    </w:p>
    <w:p w14:paraId="5F0A5EE5" w14:textId="77777777" w:rsidR="00835E5D" w:rsidRDefault="00000000">
      <w:pPr>
        <w:pStyle w:val="FirstParagraph"/>
      </w:pPr>
      <w:r>
        <w:t>This slide lists the main references used to contextualize the critique. Tian provides the empirical trade-and-institution argument. Cheng and Selden, Chan and Zhang, Solinger, Wang, and Chan provide the political and historical interpretation of Hukou. These references remind us that Hukou is not only an efficiency-reducing mobility barrier. It is also a classification system that structures rights, public services, and urban membership. This broader perspective helps us interpret the paper’s contribution more carefully and prevents us from overstating what pro-migrant regulation means.</w:t>
      </w:r>
    </w:p>
    <w:p w14:paraId="2BE760EB" w14:textId="77777777" w:rsidR="00835E5D" w:rsidRDefault="00000000">
      <w:pPr>
        <w:pStyle w:val="Heading1"/>
      </w:pPr>
      <w:bookmarkStart w:id="28" w:name="slide-30---discussion-questions"/>
      <w:bookmarkEnd w:id="27"/>
      <w:r>
        <w:t>Slide 30 - Discussion questions</w:t>
      </w:r>
    </w:p>
    <w:p w14:paraId="667DE48C" w14:textId="77777777" w:rsidR="00835E5D" w:rsidRDefault="00000000">
      <w:pPr>
        <w:pStyle w:val="FirstParagraph"/>
      </w:pPr>
      <w:r>
        <w:t>These discussion questions are designed to open the conversation. The first asks whether an export-demand shock can explain reform in an institution with deep political roots. The second asks whether the evidence identifies institutional change or mainly textual policy adjustment. The third asks whether pro-migrant regulations should be interpreted as inclusion, labor-market management, or both. The fourth asks how a structural model might separate direct trade effects from regulation-mediated effects. These questions are useful because they connect the empirical result to broader debates in political economy and development.</w:t>
      </w:r>
    </w:p>
    <w:p w14:paraId="06B5AC26" w14:textId="77777777" w:rsidR="00835E5D" w:rsidRDefault="00000000">
      <w:pPr>
        <w:pStyle w:val="Heading1"/>
      </w:pPr>
      <w:bookmarkStart w:id="29" w:name="slide-31---questions-and-discussion"/>
      <w:bookmarkEnd w:id="28"/>
      <w:r>
        <w:t>Slide 31 - Questions and discussion</w:t>
      </w:r>
    </w:p>
    <w:p w14:paraId="0299E6C1" w14:textId="42D3D06D" w:rsidR="00EF4FEE" w:rsidRDefault="00000000">
      <w:pPr>
        <w:pStyle w:val="FirstParagraph"/>
      </w:pPr>
      <w:r>
        <w:t xml:space="preserve">This is the closing slide. I would summarize the presentation in one sentence: Tian’s paper shows that China’s WTO accession changed not only export opportunities but also local incentives to reform migration-related institutions. The key empirical result is that prefectures more exposed to export liberalization adopted more pro-migrant regulations. The key qualification is that these reforms represent partial </w:t>
      </w:r>
      <w:r>
        <w:lastRenderedPageBreak/>
        <w:t>and functional adaptation within the Hukou system, not full institutional dismantling. I would then invite questions on identification, mechanisms, and interpretation.</w:t>
      </w:r>
    </w:p>
    <w:p w14:paraId="52EFAD87" w14:textId="77777777" w:rsidR="00EF4FEE" w:rsidRDefault="00EF4FEE">
      <w:r>
        <w:br w:type="page"/>
      </w:r>
    </w:p>
    <w:p w14:paraId="65362F63" w14:textId="77777777" w:rsidR="00835E5D" w:rsidRDefault="00000000">
      <w:pPr>
        <w:pStyle w:val="Heading1"/>
      </w:pPr>
      <w:bookmarkStart w:id="30" w:name="X7d244780339141223fa0e3431f8cd06df05e1c5"/>
      <w:bookmarkEnd w:id="29"/>
      <w:r>
        <w:lastRenderedPageBreak/>
        <w:t>Slide 32 - Backup: full Table 1 from the paper</w:t>
      </w:r>
    </w:p>
    <w:p w14:paraId="6AC4C86C" w14:textId="77777777" w:rsidR="00835E5D" w:rsidRDefault="00000000">
      <w:pPr>
        <w:pStyle w:val="FirstParagraph"/>
      </w:pPr>
      <w:r>
        <w:t>This backup slide provides the complete version of Table 1. If asked, I would use it to show that the main coefficient remains negative across multiple columns and controls. The important point is to focus on the sign and robustness of the export-tariff coefficient. Because tariff reductions are negative, a negative coefficient means that larger cuts increase migrant-friendliness. I would also point out that the later columns are more demanding because they include additional WTO shocks and pre-trend controls.</w:t>
      </w:r>
    </w:p>
    <w:p w14:paraId="1A49D7D0" w14:textId="77777777" w:rsidR="00835E5D" w:rsidRDefault="00000000">
      <w:pPr>
        <w:pStyle w:val="Heading1"/>
      </w:pPr>
      <w:bookmarkStart w:id="31" w:name="X869504f9a85cf375da1927b9b9e71924631cd54"/>
      <w:bookmarkEnd w:id="30"/>
      <w:r>
        <w:t>Slide 33 - Backup: full Table 2 from the paper</w:t>
      </w:r>
    </w:p>
    <w:p w14:paraId="1DE914B7" w14:textId="77777777" w:rsidR="00835E5D" w:rsidRDefault="00000000">
      <w:pPr>
        <w:pStyle w:val="FirstParagraph"/>
      </w:pPr>
      <w:r>
        <w:t>This backup slide provides the complete heterogeneity table. If asked, I would emphasize that the interaction results are designed to test mechanism. The effect is stronger where migrant labor is more important, where the private sector is more developed, and where local labor markets are richer. This supports the interpretation that local governments respond because migrant labor becomes more valuable under export expansion. I would avoid overclaiming, because heterogeneity is supportive evidence rather than a separate causal design.</w:t>
      </w:r>
    </w:p>
    <w:p w14:paraId="11CC7545" w14:textId="77777777" w:rsidR="00835E5D" w:rsidRDefault="00000000">
      <w:pPr>
        <w:pStyle w:val="Heading1"/>
      </w:pPr>
      <w:bookmarkStart w:id="32" w:name="X3f5bab75bf3f14b7d5c63b3f816ac16d7617c36"/>
      <w:bookmarkEnd w:id="31"/>
      <w:r>
        <w:t>Slide 34 - Backup: full Table 3 from the paper</w:t>
      </w:r>
    </w:p>
    <w:p w14:paraId="6BBB81CD" w14:textId="77777777" w:rsidR="00835E5D" w:rsidRDefault="00000000">
      <w:pPr>
        <w:pStyle w:val="FirstParagraph"/>
      </w:pPr>
      <w:r>
        <w:t>This backup slide shows the full validation table for migrant well-being. I would explain that the table connects the regulation score to real migrant outcomes, such as insurance, income, and employment conditions. Its role is not to establish the main causal effect, but to show that the text-based regulation measure corresponds to meaningful differences in migrant welfare. The key limitation is that it is a cross-sectional association and still does not directly observe the intensity or quality of enforcement.</w:t>
      </w:r>
    </w:p>
    <w:p w14:paraId="136F75FC" w14:textId="77777777" w:rsidR="00835E5D" w:rsidRDefault="00000000">
      <w:pPr>
        <w:pStyle w:val="Heading1"/>
      </w:pPr>
      <w:bookmarkStart w:id="33" w:name="X0c1ca3b18b71550375f1efe097cd1df42a2f6b3"/>
      <w:bookmarkEnd w:id="32"/>
      <w:r>
        <w:t>Slide 35 - Backup: full Table 4 from the paper</w:t>
      </w:r>
    </w:p>
    <w:p w14:paraId="360DF63A" w14:textId="77777777" w:rsidR="00835E5D" w:rsidRDefault="00000000">
      <w:pPr>
        <w:pStyle w:val="FirstParagraph"/>
      </w:pPr>
      <w:r>
        <w:t>This backup slide shows the full evidence on migrant flows. I would use it only if the audience asks about whether regulations translated into mobility. The table suggests that export liberalization and regulation changes are associated with changes in migrant shares, especially short-distance migration. However, this channel is difficult to identify cleanly because trade shocks can attract migrants directly through employment opportunities. Therefore, the table should be presented as mechanism-consistent evidence, not as the strongest causal result in the paper.</w:t>
      </w:r>
      <w:bookmarkEnd w:id="33"/>
    </w:p>
    <w:sectPr w:rsidR="00835E5D">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96351" w14:textId="77777777" w:rsidR="00FF1EFC" w:rsidRDefault="00FF1EFC">
      <w:pPr>
        <w:spacing w:after="0"/>
      </w:pPr>
      <w:r>
        <w:separator/>
      </w:r>
    </w:p>
  </w:endnote>
  <w:endnote w:type="continuationSeparator" w:id="0">
    <w:p w14:paraId="7C0D1021" w14:textId="77777777" w:rsidR="00FF1EFC" w:rsidRDefault="00FF1E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DC05A" w14:textId="77777777" w:rsidR="00FF1EFC" w:rsidRDefault="00FF1EFC">
      <w:r>
        <w:separator/>
      </w:r>
    </w:p>
  </w:footnote>
  <w:footnote w:type="continuationSeparator" w:id="0">
    <w:p w14:paraId="2A3D3970" w14:textId="77777777" w:rsidR="00FF1EFC" w:rsidRDefault="00FF1E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58CB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61976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35E5D"/>
    <w:rsid w:val="00330EB9"/>
    <w:rsid w:val="00835E5D"/>
    <w:rsid w:val="00963044"/>
    <w:rsid w:val="00B16257"/>
    <w:rsid w:val="00EF4FEE"/>
    <w:rsid w:val="00FF1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E8B6"/>
  <w15:docId w15:val="{D88A941E-4C67-4CB1-B139-EC1A55B8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3297</Words>
  <Characters>18798</Characters>
  <Application>Microsoft Office Word</Application>
  <DocSecurity>0</DocSecurity>
  <Lines>156</Lines>
  <Paragraphs>44</Paragraphs>
  <ScaleCrop>false</ScaleCrop>
  <Company/>
  <LinksUpToDate>false</LinksUpToDate>
  <CharactersWithSpaces>22051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Script for Tian (2024) Presentation</dc:title>
  <dc:creator>Prepared for classroom presentation</dc:creator>
  <cp:keywords/>
  <cp:lastModifiedBy>Fu Christopher</cp:lastModifiedBy>
  <cp:revision>4</cp:revision>
  <dcterms:created xsi:type="dcterms:W3CDTF">2026-05-17T17:06:00Z</dcterms:created>
  <dcterms:modified xsi:type="dcterms:W3CDTF">2026-05-19T08:34:00Z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margin=1in</vt:lpwstr>
  </property>
  <property fmtid="{D5CDD505-2E9C-101B-9397-08002B2CF9AE}" pid="5" name="linestretch">
    <vt:lpwstr>1.12</vt:lpwstr>
  </property>
  <property fmtid="{D5CDD505-2E9C-101B-9397-08002B2CF9AE}" pid="6" name="mainfont">
    <vt:lpwstr>DejaVu Serif</vt:lpwstr>
  </property>
  <property fmtid="{D5CDD505-2E9C-101B-9397-08002B2CF9AE}" pid="7" name="subtitle">
    <vt:lpwstr>International Trade Liberalization and Domestic Institutional Reform</vt:lpwstr>
  </property>
</Properties>
</file>