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2E74B5"/>
          <w:sz w:val="48"/>
        </w:rPr>
        <w:t>Ola Ride Insights</w:t>
      </w:r>
    </w:p>
    <w:p>
      <w:pPr>
        <w:spacing w:after="160"/>
      </w:pPr>
      <w:r>
        <w:rPr>
          <w:rFonts w:ascii="Calibri" w:hAnsi="Calibri" w:eastAsia="Calibri"/>
          <w:b w:val="0"/>
          <w:color w:val="1F4D78"/>
          <w:sz w:val="26"/>
        </w:rPr>
        <w:t>End-to-End Analytics Capstone Project Report</w:t>
      </w:r>
    </w:p>
    <w:tbl>
      <w:tblGrid>
        <w:gridCol w:w="2200"/>
        <w:gridCol w:w="7160"/>
      </w:tblGrid>
      <w:tblPr>
        <w:tblStyle w:val="TableGrid"/>
        <w:tblW w:type="dxa" w:w="9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2200"/>
            <w:tcMar>
              <w:top w:w="80" w:type="dxa"/>
              <w:start w:w="120" w:type="dxa"/>
              <w:bottom w:w="80" w:type="dxa"/>
              <w:end w:w="120" w:type="dxa"/>
            </w:tcMar>
            <w:vAlign w:val="center"/>
            <w:shd w:fill="E8EEF5"/>
          </w:tcPr>
          <w:p>
            <w:r>
              <w:rPr>
                <w:rFonts w:ascii="Calibri" w:hAnsi="Calibri" w:eastAsia="Calibri"/>
                <w:b/>
                <w:color w:val="1F4D78"/>
                <w:sz w:val="19"/>
              </w:rPr>
              <w:t>Project Type</w:t>
            </w:r>
          </w:p>
        </w:tc>
        <w:tc>
          <w:tcPr>
            <w:tcW w:type="dxa" w:w="7160"/>
            <w:tcMar>
              <w:top w:w="80" w:type="dxa"/>
              <w:start w:w="120" w:type="dxa"/>
              <w:bottom w:w="80" w:type="dxa"/>
              <w:end w:w="120" w:type="dxa"/>
            </w:tcMar>
            <w:vAlign w:val="center"/>
          </w:tcPr>
          <w:p>
            <w:r>
              <w:rPr>
                <w:rFonts w:ascii="Calibri" w:hAnsi="Calibri" w:eastAsia="Calibri"/>
                <w:b w:val="0"/>
                <w:color w:val="19232D"/>
                <w:sz w:val="19"/>
              </w:rPr>
              <w:t>SQL + Python + Power BI + Streamlit business analytics capstone</w:t>
            </w:r>
          </w:p>
        </w:tc>
      </w:tr>
      <w:tr>
        <w:tc>
          <w:tcPr>
            <w:tcW w:type="dxa" w:w="2200"/>
            <w:tcMar>
              <w:top w:w="80" w:type="dxa"/>
              <w:start w:w="120" w:type="dxa"/>
              <w:bottom w:w="80" w:type="dxa"/>
              <w:end w:w="120" w:type="dxa"/>
            </w:tcMar>
            <w:vAlign w:val="center"/>
            <w:shd w:fill="E8EEF5"/>
          </w:tcPr>
          <w:p>
            <w:r>
              <w:rPr>
                <w:rFonts w:ascii="Calibri" w:hAnsi="Calibri" w:eastAsia="Calibri"/>
                <w:b/>
                <w:color w:val="1F4D78"/>
                <w:sz w:val="19"/>
              </w:rPr>
              <w:t>Dataset</w:t>
            </w:r>
          </w:p>
        </w:tc>
        <w:tc>
          <w:tcPr>
            <w:tcW w:type="dxa" w:w="7160"/>
            <w:tcMar>
              <w:top w:w="80" w:type="dxa"/>
              <w:start w:w="120" w:type="dxa"/>
              <w:bottom w:w="80" w:type="dxa"/>
              <w:end w:w="120" w:type="dxa"/>
            </w:tcMar>
            <w:vAlign w:val="center"/>
          </w:tcPr>
          <w:p>
            <w:r>
              <w:rPr>
                <w:rFonts w:ascii="Calibri" w:hAnsi="Calibri" w:eastAsia="Calibri"/>
                <w:b w:val="0"/>
                <w:color w:val="19232D"/>
                <w:sz w:val="19"/>
              </w:rPr>
              <w:t>OLA_DataSet.xlsx, July 2024 ride booking records</w:t>
            </w:r>
          </w:p>
        </w:tc>
      </w:tr>
      <w:tr>
        <w:tc>
          <w:tcPr>
            <w:tcW w:type="dxa" w:w="2200"/>
            <w:tcMar>
              <w:top w:w="80" w:type="dxa"/>
              <w:start w:w="120" w:type="dxa"/>
              <w:bottom w:w="80" w:type="dxa"/>
              <w:end w:w="120" w:type="dxa"/>
            </w:tcMar>
            <w:vAlign w:val="center"/>
            <w:shd w:fill="E8EEF5"/>
          </w:tcPr>
          <w:p>
            <w:r>
              <w:rPr>
                <w:rFonts w:ascii="Calibri" w:hAnsi="Calibri" w:eastAsia="Calibri"/>
                <w:b/>
                <w:color w:val="1F4D78"/>
                <w:sz w:val="19"/>
              </w:rPr>
              <w:t>Tools Used</w:t>
            </w:r>
          </w:p>
        </w:tc>
        <w:tc>
          <w:tcPr>
            <w:tcW w:type="dxa" w:w="7160"/>
            <w:tcMar>
              <w:top w:w="80" w:type="dxa"/>
              <w:start w:w="120" w:type="dxa"/>
              <w:bottom w:w="80" w:type="dxa"/>
              <w:end w:w="120" w:type="dxa"/>
            </w:tcMar>
            <w:vAlign w:val="center"/>
          </w:tcPr>
          <w:p>
            <w:r>
              <w:rPr>
                <w:rFonts w:ascii="Calibri" w:hAnsi="Calibri" w:eastAsia="Calibri"/>
                <w:b w:val="0"/>
                <w:color w:val="19232D"/>
                <w:sz w:val="19"/>
              </w:rPr>
              <w:t>MySQL Workbench, Python, Pandas, NumPy, Matplotlib/Seaborn, Power BI, Streamlit</w:t>
            </w:r>
          </w:p>
        </w:tc>
      </w:tr>
      <w:tr>
        <w:tc>
          <w:tcPr>
            <w:tcW w:type="dxa" w:w="2200"/>
            <w:tcMar>
              <w:top w:w="80" w:type="dxa"/>
              <w:start w:w="120" w:type="dxa"/>
              <w:bottom w:w="80" w:type="dxa"/>
              <w:end w:w="120" w:type="dxa"/>
            </w:tcMar>
            <w:vAlign w:val="center"/>
            <w:shd w:fill="E8EEF5"/>
          </w:tcPr>
          <w:p>
            <w:r>
              <w:rPr>
                <w:rFonts w:ascii="Calibri" w:hAnsi="Calibri" w:eastAsia="Calibri"/>
                <w:b/>
                <w:color w:val="1F4D78"/>
                <w:sz w:val="19"/>
              </w:rPr>
              <w:t>Report Limit</w:t>
            </w:r>
          </w:p>
        </w:tc>
        <w:tc>
          <w:tcPr>
            <w:tcW w:type="dxa" w:w="7160"/>
            <w:tcMar>
              <w:top w:w="80" w:type="dxa"/>
              <w:start w:w="120" w:type="dxa"/>
              <w:bottom w:w="80" w:type="dxa"/>
              <w:end w:w="120" w:type="dxa"/>
            </w:tcMar>
            <w:vAlign w:val="center"/>
          </w:tcPr>
          <w:p>
            <w:r>
              <w:rPr>
                <w:rFonts w:ascii="Calibri" w:hAnsi="Calibri" w:eastAsia="Calibri"/>
                <w:b w:val="0"/>
                <w:color w:val="19232D"/>
                <w:sz w:val="19"/>
              </w:rPr>
              <w:t>Designed as a concise academic report under 10 pages; screenshots can be inserted later.</w:t>
            </w:r>
          </w:p>
        </w:tc>
      </w:tr>
    </w:tbl>
    <w:p>
      <w:pPr>
        <w:pStyle w:val="Heading1"/>
      </w:pPr>
      <w:r>
        <w:t>1. Executive Summary</w:t>
      </w:r>
    </w:p>
    <w:p>
      <w:pPr>
        <w:spacing w:after="100" w:line="264" w:lineRule="auto"/>
      </w:pPr>
      <w:r>
        <w:rPr>
          <w:rFonts w:ascii="Calibri" w:hAnsi="Calibri" w:eastAsia="Calibri"/>
          <w:b w:val="0"/>
          <w:color w:val="19232D"/>
          <w:sz w:val="21"/>
        </w:rPr>
        <w:t>This project analyzes 103,024 Ola ride booking records from July 2024 to understand booking success, cancellations, revenue, operational performance, and customer/driver rating patterns. The solution is designed as a distinction-level beginner-to-intermediate capstone using MySQL for analytics, Python for cleaning and statistics, Power BI for dashboard design, and Streamlit for an interactive dashboard.</w:t>
      </w:r>
    </w:p>
    <w:p>
      <w:pPr>
        <w:spacing w:after="100" w:line="264" w:lineRule="auto"/>
      </w:pPr>
      <w:r>
        <w:rPr>
          <w:rFonts w:ascii="Calibri" w:hAnsi="Calibri" w:eastAsia="Calibri"/>
          <w:b w:val="0"/>
          <w:color w:val="19232D"/>
          <w:sz w:val="21"/>
        </w:rPr>
        <w:t>The dataset shows a 62.09% ride success rate, 18,434 driver cancellations, 10,499 customer cancellations, and 10,124 driver-not-found cases. The raw booking value is Rs 56.53M, while successful rides contribute Rs 35.08M. These results indicate that the main business opportunity is improving fulfillment reliability, especially driver availability and driver-side cancellation control.</w:t>
      </w:r>
    </w:p>
    <w:p>
      <w:pPr>
        <w:pStyle w:val="Heading1"/>
      </w:pPr>
      <w:r>
        <w:t>2. Business Understanding</w:t>
      </w:r>
    </w:p>
    <w:p>
      <w:pPr>
        <w:spacing w:after="100" w:line="264" w:lineRule="auto"/>
      </w:pPr>
      <w:r>
        <w:rPr>
          <w:rFonts w:ascii="Calibri" w:hAnsi="Calibri" w:eastAsia="Calibri"/>
          <w:b/>
          <w:color w:val="19232D"/>
          <w:sz w:val="21"/>
        </w:rPr>
        <w:t>Problem Statement:</w:t>
      </w:r>
      <w:r>
        <w:rPr>
          <w:rFonts w:ascii="Calibri" w:hAnsi="Calibri" w:eastAsia="Calibri"/>
          <w:b w:val="0"/>
          <w:color w:val="19232D"/>
          <w:sz w:val="21"/>
        </w:rPr>
        <w:t xml:space="preserve"> Ola needs a clear analytical view of why bookings succeed or fail, which vehicle types generate higher business value, where demand is concentrated, and which operational issues reduce customer trust.</w:t>
      </w:r>
    </w:p>
    <w:p>
      <w:pPr>
        <w:spacing w:after="100" w:line="264" w:lineRule="auto"/>
      </w:pPr>
      <w:r>
        <w:rPr>
          <w:rFonts w:ascii="Calibri" w:hAnsi="Calibri" w:eastAsia="Calibri"/>
          <w:b/>
          <w:color w:val="19232D"/>
          <w:sz w:val="21"/>
        </w:rPr>
        <w:t>Business Objective:</w:t>
      </w:r>
      <w:r>
        <w:rPr>
          <w:rFonts w:ascii="Calibri" w:hAnsi="Calibri" w:eastAsia="Calibri"/>
          <w:b w:val="0"/>
          <w:color w:val="19232D"/>
          <w:sz w:val="21"/>
        </w:rPr>
        <w:t xml:space="preserve"> Build an end-to-end analytics project that converts ride booking data into usable KPIs, SQL insights, Python-based analysis, dashboard design, and a Streamlit application for review and presentation.</w:t>
      </w:r>
    </w:p>
    <w:p>
      <w:pPr>
        <w:pStyle w:val="ListBullet"/>
        <w:spacing w:after="60" w:line="264" w:lineRule="auto"/>
        <w:ind w:left="547" w:hanging="274"/>
      </w:pPr>
      <w:r>
        <w:rPr>
          <w:rFonts w:ascii="Calibri" w:hAnsi="Calibri" w:eastAsia="Calibri"/>
          <w:b w:val="0"/>
          <w:color w:val="19232D"/>
          <w:sz w:val="20"/>
        </w:rPr>
        <w:t>Stakeholders: city operations managers, driver management team, revenue team, customer experience team, BI analysts, and academic evaluators.</w:t>
      </w:r>
    </w:p>
    <w:p>
      <w:pPr>
        <w:pStyle w:val="ListBullet"/>
        <w:spacing w:after="60" w:line="264" w:lineRule="auto"/>
        <w:ind w:left="547" w:hanging="274"/>
      </w:pPr>
      <w:r>
        <w:rPr>
          <w:rFonts w:ascii="Calibri" w:hAnsi="Calibri" w:eastAsia="Calibri"/>
          <w:b w:val="0"/>
          <w:color w:val="19232D"/>
          <w:sz w:val="20"/>
        </w:rPr>
        <w:t>Scope: July 2024 ride-level booking records covering status, vehicle type, pickup/drop location, booking value, distance, payment method, cancellation fields, and ratings.</w:t>
      </w:r>
    </w:p>
    <w:p>
      <w:pPr>
        <w:pStyle w:val="ListBullet"/>
        <w:spacing w:after="60" w:line="264" w:lineRule="auto"/>
        <w:ind w:left="547" w:hanging="274"/>
      </w:pPr>
      <w:r>
        <w:rPr>
          <w:rFonts w:ascii="Calibri" w:hAnsi="Calibri" w:eastAsia="Calibri"/>
          <w:b w:val="0"/>
          <w:color w:val="19232D"/>
          <w:sz w:val="20"/>
        </w:rPr>
        <w:t>Out of scope: machine learning, cloud deployment, APIs, authentication, Docker, and advanced web frameworks.</w:t>
      </w:r>
    </w:p>
    <w:p>
      <w:pPr>
        <w:pStyle w:val="Heading1"/>
      </w:pPr>
      <w:r>
        <w:t>3. Dataset Understanding</w:t>
      </w:r>
    </w:p>
    <w:p>
      <w:pPr>
        <w:spacing w:after="100" w:line="264" w:lineRule="auto"/>
      </w:pPr>
      <w:r>
        <w:rPr>
          <w:rFonts w:ascii="Calibri" w:hAnsi="Calibri" w:eastAsia="Calibri"/>
          <w:b w:val="0"/>
          <w:color w:val="19232D"/>
          <w:sz w:val="21"/>
        </w:rPr>
        <w:t>The main workbook sheet is named July. It contains ride-level rows where each booking is represented by a unique Booking_ID. The dataset includes operational, financial, customer, location, and service-quality variables.</w:t>
      </w:r>
    </w:p>
    <w:tbl>
      <w:tblGrid>
        <w:gridCol w:w="1900"/>
        <w:gridCol w:w="2800"/>
        <w:gridCol w:w="6660"/>
      </w:tblGrid>
      <w:tblPr>
        <w:tblStyle w:val="TableGrid"/>
        <w:tblW w:type="dxa" w:w="11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1900"/>
            <w:tcMar>
              <w:top w:w="80" w:type="dxa"/>
              <w:start w:w="120" w:type="dxa"/>
              <w:bottom w:w="80" w:type="dxa"/>
              <w:end w:w="120" w:type="dxa"/>
            </w:tcMar>
            <w:vAlign w:val="center"/>
            <w:shd w:fill="E8EEF5"/>
          </w:tcPr>
          <w:p>
            <w:pPr>
              <w:jc w:val="center"/>
            </w:pPr>
            <w:r>
              <w:rPr>
                <w:rFonts w:ascii="Calibri" w:hAnsi="Calibri" w:eastAsia="Calibri"/>
                <w:b/>
                <w:color w:val="1F4D78"/>
                <w:sz w:val="17"/>
              </w:rPr>
              <w:t>Column Group</w:t>
            </w:r>
          </w:p>
        </w:tc>
        <w:tc>
          <w:tcPr>
            <w:tcW w:type="dxa" w:w="2800"/>
            <w:tcMar>
              <w:top w:w="80" w:type="dxa"/>
              <w:start w:w="120" w:type="dxa"/>
              <w:bottom w:w="80" w:type="dxa"/>
              <w:end w:w="120" w:type="dxa"/>
            </w:tcMar>
            <w:vAlign w:val="center"/>
            <w:shd w:fill="E8EEF5"/>
          </w:tcPr>
          <w:p>
            <w:pPr>
              <w:jc w:val="center"/>
            </w:pPr>
            <w:r>
              <w:rPr>
                <w:rFonts w:ascii="Calibri" w:hAnsi="Calibri" w:eastAsia="Calibri"/>
                <w:b/>
                <w:color w:val="1F4D78"/>
                <w:sz w:val="17"/>
              </w:rPr>
              <w:t>Examples</w:t>
            </w:r>
          </w:p>
        </w:tc>
        <w:tc>
          <w:tcPr>
            <w:tcW w:type="dxa" w:w="6660"/>
            <w:tcMar>
              <w:top w:w="80" w:type="dxa"/>
              <w:start w:w="120" w:type="dxa"/>
              <w:bottom w:w="80" w:type="dxa"/>
              <w:end w:w="120" w:type="dxa"/>
            </w:tcMar>
            <w:vAlign w:val="center"/>
            <w:shd w:fill="E8EEF5"/>
          </w:tcPr>
          <w:p>
            <w:pPr>
              <w:jc w:val="center"/>
            </w:pPr>
            <w:r>
              <w:rPr>
                <w:rFonts w:ascii="Calibri" w:hAnsi="Calibri" w:eastAsia="Calibri"/>
                <w:b/>
                <w:color w:val="1F4D78"/>
                <w:sz w:val="17"/>
              </w:rPr>
              <w:t>Business Meaning</w:t>
            </w:r>
          </w:p>
        </w:tc>
      </w:tr>
      <w:tr>
        <w:tc>
          <w:tcPr>
            <w:tcW w:type="dxa" w:w="1900"/>
          </w:tcPr>
          <w:p>
            <w:r>
              <w:rPr>
                <w:rFonts w:ascii="Calibri" w:hAnsi="Calibri" w:eastAsia="Calibri"/>
                <w:b w:val="0"/>
                <w:color w:val="19232D"/>
                <w:sz w:val="17"/>
              </w:rPr>
              <w:t>Identifiers</w:t>
            </w:r>
          </w:p>
        </w:tc>
        <w:tc>
          <w:tcPr>
            <w:tcW w:type="dxa" w:w="2800"/>
          </w:tcPr>
          <w:p>
            <w:r>
              <w:rPr>
                <w:rFonts w:ascii="Calibri" w:hAnsi="Calibri" w:eastAsia="Calibri"/>
                <w:b w:val="0"/>
                <w:color w:val="19232D"/>
                <w:sz w:val="17"/>
              </w:rPr>
              <w:t>Booking_ID, Customer_ID</w:t>
            </w:r>
          </w:p>
        </w:tc>
        <w:tc>
          <w:tcPr>
            <w:tcW w:type="dxa" w:w="6660"/>
          </w:tcPr>
          <w:p>
            <w:r>
              <w:rPr>
                <w:rFonts w:ascii="Calibri" w:hAnsi="Calibri" w:eastAsia="Calibri"/>
                <w:b w:val="0"/>
                <w:color w:val="19232D"/>
                <w:sz w:val="17"/>
              </w:rPr>
              <w:t>Track unique rides and customer-level booking behavior.</w:t>
            </w:r>
          </w:p>
        </w:tc>
      </w:tr>
      <w:tr>
        <w:tc>
          <w:tcPr>
            <w:tcW w:type="dxa" w:w="1900"/>
          </w:tcPr>
          <w:p>
            <w:r>
              <w:rPr>
                <w:rFonts w:ascii="Calibri" w:hAnsi="Calibri" w:eastAsia="Calibri"/>
                <w:b w:val="0"/>
                <w:color w:val="19232D"/>
                <w:sz w:val="17"/>
              </w:rPr>
              <w:t>Operations</w:t>
            </w:r>
          </w:p>
        </w:tc>
        <w:tc>
          <w:tcPr>
            <w:tcW w:type="dxa" w:w="2800"/>
          </w:tcPr>
          <w:p>
            <w:r>
              <w:rPr>
                <w:rFonts w:ascii="Calibri" w:hAnsi="Calibri" w:eastAsia="Calibri"/>
                <w:b w:val="0"/>
                <w:color w:val="19232D"/>
                <w:sz w:val="17"/>
              </w:rPr>
              <w:t>Booking_Status, Vehicle_Type, V_TAT, C_TAT</w:t>
            </w:r>
          </w:p>
        </w:tc>
        <w:tc>
          <w:tcPr>
            <w:tcW w:type="dxa" w:w="6660"/>
          </w:tcPr>
          <w:p>
            <w:r>
              <w:rPr>
                <w:rFonts w:ascii="Calibri" w:hAnsi="Calibri" w:eastAsia="Calibri"/>
                <w:b w:val="0"/>
                <w:color w:val="19232D"/>
                <w:sz w:val="17"/>
              </w:rPr>
              <w:t>Measure booking success, driver response, and customer turnaround.</w:t>
            </w:r>
          </w:p>
        </w:tc>
      </w:tr>
      <w:tr>
        <w:tc>
          <w:tcPr>
            <w:tcW w:type="dxa" w:w="1900"/>
          </w:tcPr>
          <w:p>
            <w:r>
              <w:rPr>
                <w:rFonts w:ascii="Calibri" w:hAnsi="Calibri" w:eastAsia="Calibri"/>
                <w:b w:val="0"/>
                <w:color w:val="19232D"/>
                <w:sz w:val="17"/>
              </w:rPr>
              <w:t>Geography</w:t>
            </w:r>
          </w:p>
        </w:tc>
        <w:tc>
          <w:tcPr>
            <w:tcW w:type="dxa" w:w="2800"/>
          </w:tcPr>
          <w:p>
            <w:r>
              <w:rPr>
                <w:rFonts w:ascii="Calibri" w:hAnsi="Calibri" w:eastAsia="Calibri"/>
                <w:b w:val="0"/>
                <w:color w:val="19232D"/>
                <w:sz w:val="17"/>
              </w:rPr>
              <w:t>Pickup_Location, Drop_Location</w:t>
            </w:r>
          </w:p>
        </w:tc>
        <w:tc>
          <w:tcPr>
            <w:tcW w:type="dxa" w:w="6660"/>
          </w:tcPr>
          <w:p>
            <w:r>
              <w:rPr>
                <w:rFonts w:ascii="Calibri" w:hAnsi="Calibri" w:eastAsia="Calibri"/>
                <w:b w:val="0"/>
                <w:color w:val="19232D"/>
                <w:sz w:val="17"/>
              </w:rPr>
              <w:t>Identify demand hotspots and supply shortage zones.</w:t>
            </w:r>
          </w:p>
        </w:tc>
      </w:tr>
      <w:tr>
        <w:tc>
          <w:tcPr>
            <w:tcW w:type="dxa" w:w="1900"/>
          </w:tcPr>
          <w:p>
            <w:r>
              <w:rPr>
                <w:rFonts w:ascii="Calibri" w:hAnsi="Calibri" w:eastAsia="Calibri"/>
                <w:b w:val="0"/>
                <w:color w:val="19232D"/>
                <w:sz w:val="17"/>
              </w:rPr>
              <w:t>Financial</w:t>
            </w:r>
          </w:p>
        </w:tc>
        <w:tc>
          <w:tcPr>
            <w:tcW w:type="dxa" w:w="2800"/>
          </w:tcPr>
          <w:p>
            <w:r>
              <w:rPr>
                <w:rFonts w:ascii="Calibri" w:hAnsi="Calibri" w:eastAsia="Calibri"/>
                <w:b w:val="0"/>
                <w:color w:val="19232D"/>
                <w:sz w:val="17"/>
              </w:rPr>
              <w:t>Booking_Value, Payment_Method</w:t>
            </w:r>
          </w:p>
        </w:tc>
        <w:tc>
          <w:tcPr>
            <w:tcW w:type="dxa" w:w="6660"/>
          </w:tcPr>
          <w:p>
            <w:r>
              <w:rPr>
                <w:rFonts w:ascii="Calibri" w:hAnsi="Calibri" w:eastAsia="Calibri"/>
                <w:b w:val="0"/>
                <w:color w:val="19232D"/>
                <w:sz w:val="17"/>
              </w:rPr>
              <w:t>Analyze revenue contribution and payment preference.</w:t>
            </w:r>
          </w:p>
        </w:tc>
      </w:tr>
      <w:tr>
        <w:tc>
          <w:tcPr>
            <w:tcW w:type="dxa" w:w="1900"/>
          </w:tcPr>
          <w:p>
            <w:r>
              <w:rPr>
                <w:rFonts w:ascii="Calibri" w:hAnsi="Calibri" w:eastAsia="Calibri"/>
                <w:b w:val="0"/>
                <w:color w:val="19232D"/>
                <w:sz w:val="17"/>
              </w:rPr>
              <w:t>Experience</w:t>
            </w:r>
          </w:p>
        </w:tc>
        <w:tc>
          <w:tcPr>
            <w:tcW w:type="dxa" w:w="2800"/>
          </w:tcPr>
          <w:p>
            <w:r>
              <w:rPr>
                <w:rFonts w:ascii="Calibri" w:hAnsi="Calibri" w:eastAsia="Calibri"/>
                <w:b w:val="0"/>
                <w:color w:val="19232D"/>
                <w:sz w:val="17"/>
              </w:rPr>
              <w:t>Driver_Ratings, Customer_Rating</w:t>
            </w:r>
          </w:p>
        </w:tc>
        <w:tc>
          <w:tcPr>
            <w:tcW w:type="dxa" w:w="6660"/>
          </w:tcPr>
          <w:p>
            <w:r>
              <w:rPr>
                <w:rFonts w:ascii="Calibri" w:hAnsi="Calibri" w:eastAsia="Calibri"/>
                <w:b w:val="0"/>
                <w:color w:val="19232D"/>
                <w:sz w:val="17"/>
              </w:rPr>
              <w:t>Evaluate service quality after successful rides.</w:t>
            </w:r>
          </w:p>
        </w:tc>
      </w:tr>
      <w:tr>
        <w:tc>
          <w:tcPr>
            <w:tcW w:type="dxa" w:w="1900"/>
          </w:tcPr>
          <w:p>
            <w:r>
              <w:rPr>
                <w:rFonts w:ascii="Calibri" w:hAnsi="Calibri" w:eastAsia="Calibri"/>
                <w:b w:val="0"/>
                <w:color w:val="19232D"/>
                <w:sz w:val="17"/>
              </w:rPr>
              <w:t>Failure Reasons</w:t>
            </w:r>
          </w:p>
        </w:tc>
        <w:tc>
          <w:tcPr>
            <w:tcW w:type="dxa" w:w="2800"/>
          </w:tcPr>
          <w:p>
            <w:r>
              <w:rPr>
                <w:rFonts w:ascii="Calibri" w:hAnsi="Calibri" w:eastAsia="Calibri"/>
                <w:b w:val="0"/>
                <w:color w:val="19232D"/>
                <w:sz w:val="17"/>
              </w:rPr>
              <w:t>Canceled_Rides_by_Customer, Canceled_Rides_by_Driver, Incomplete_Rides_Reason</w:t>
            </w:r>
          </w:p>
        </w:tc>
        <w:tc>
          <w:tcPr>
            <w:tcW w:type="dxa" w:w="6660"/>
          </w:tcPr>
          <w:p>
            <w:r>
              <w:rPr>
                <w:rFonts w:ascii="Calibri" w:hAnsi="Calibri" w:eastAsia="Calibri"/>
                <w:b w:val="0"/>
                <w:color w:val="19232D"/>
                <w:sz w:val="17"/>
              </w:rPr>
              <w:t>Explain why bookings fail or remain incomplete.</w:t>
            </w:r>
          </w:p>
        </w:tc>
      </w:tr>
    </w:tbl>
    <w:p>
      <w:pPr>
        <w:spacing w:after="20"/>
      </w:pPr>
    </w:p>
    <w:tbl>
      <w:tblGrid>
        <w:gridCol w:w="3600"/>
        <w:gridCol w:w="5760"/>
      </w:tblGrid>
      <w:tblPr>
        <w:tblStyle w:val="TableGrid"/>
        <w:tblW w:type="dxa" w:w="9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3600"/>
            <w:tcMar>
              <w:top w:w="80" w:type="dxa"/>
              <w:start w:w="120" w:type="dxa"/>
              <w:bottom w:w="80" w:type="dxa"/>
              <w:end w:w="120" w:type="dxa"/>
            </w:tcMar>
            <w:vAlign w:val="center"/>
            <w:shd w:fill="E8EEF5"/>
          </w:tcPr>
          <w:p>
            <w:pPr>
              <w:jc w:val="center"/>
            </w:pPr>
            <w:r>
              <w:rPr>
                <w:rFonts w:ascii="Calibri" w:hAnsi="Calibri" w:eastAsia="Calibri"/>
                <w:b/>
                <w:color w:val="1F4D78"/>
                <w:sz w:val="17"/>
              </w:rPr>
              <w:t>Metric</w:t>
            </w:r>
          </w:p>
        </w:tc>
        <w:tc>
          <w:tcPr>
            <w:tcW w:type="dxa" w:w="5760"/>
            <w:tcMar>
              <w:top w:w="80" w:type="dxa"/>
              <w:start w:w="120" w:type="dxa"/>
              <w:bottom w:w="80" w:type="dxa"/>
              <w:end w:w="120" w:type="dxa"/>
            </w:tcMar>
            <w:vAlign w:val="center"/>
            <w:shd w:fill="E8EEF5"/>
          </w:tcPr>
          <w:p>
            <w:pPr>
              <w:jc w:val="center"/>
            </w:pPr>
            <w:r>
              <w:rPr>
                <w:rFonts w:ascii="Calibri" w:hAnsi="Calibri" w:eastAsia="Calibri"/>
                <w:b/>
                <w:color w:val="1F4D78"/>
                <w:sz w:val="17"/>
              </w:rPr>
              <w:t>Value</w:t>
            </w:r>
          </w:p>
        </w:tc>
      </w:tr>
      <w:tr>
        <w:tc>
          <w:tcPr>
            <w:tcW w:type="dxa" w:w="3600"/>
          </w:tcPr>
          <w:p>
            <w:r>
              <w:rPr>
                <w:rFonts w:ascii="Calibri" w:hAnsi="Calibri" w:eastAsia="Calibri"/>
                <w:b w:val="0"/>
                <w:color w:val="19232D"/>
                <w:sz w:val="17"/>
              </w:rPr>
              <w:t>Total bookings</w:t>
            </w:r>
          </w:p>
        </w:tc>
        <w:tc>
          <w:tcPr>
            <w:tcW w:type="dxa" w:w="5760"/>
          </w:tcPr>
          <w:p>
            <w:pPr>
              <w:jc w:val="center"/>
            </w:pPr>
            <w:r>
              <w:rPr>
                <w:rFonts w:ascii="Calibri" w:hAnsi="Calibri" w:eastAsia="Calibri"/>
                <w:b w:val="0"/>
                <w:color w:val="19232D"/>
                <w:sz w:val="17"/>
              </w:rPr>
              <w:t>103,024</w:t>
            </w:r>
          </w:p>
        </w:tc>
      </w:tr>
      <w:tr>
        <w:tc>
          <w:tcPr>
            <w:tcW w:type="dxa" w:w="3600"/>
          </w:tcPr>
          <w:p>
            <w:r>
              <w:rPr>
                <w:rFonts w:ascii="Calibri" w:hAnsi="Calibri" w:eastAsia="Calibri"/>
                <w:b w:val="0"/>
                <w:color w:val="19232D"/>
                <w:sz w:val="17"/>
              </w:rPr>
              <w:t>Successful bookings</w:t>
            </w:r>
          </w:p>
        </w:tc>
        <w:tc>
          <w:tcPr>
            <w:tcW w:type="dxa" w:w="5760"/>
          </w:tcPr>
          <w:p>
            <w:pPr>
              <w:jc w:val="center"/>
            </w:pPr>
            <w:r>
              <w:rPr>
                <w:rFonts w:ascii="Calibri" w:hAnsi="Calibri" w:eastAsia="Calibri"/>
                <w:b w:val="0"/>
                <w:color w:val="19232D"/>
                <w:sz w:val="17"/>
              </w:rPr>
              <w:t>63,967</w:t>
            </w:r>
          </w:p>
        </w:tc>
      </w:tr>
      <w:tr>
        <w:tc>
          <w:tcPr>
            <w:tcW w:type="dxa" w:w="3600"/>
          </w:tcPr>
          <w:p>
            <w:r>
              <w:rPr>
                <w:rFonts w:ascii="Calibri" w:hAnsi="Calibri" w:eastAsia="Calibri"/>
                <w:b w:val="0"/>
                <w:color w:val="19232D"/>
                <w:sz w:val="17"/>
              </w:rPr>
              <w:t>Success rate</w:t>
            </w:r>
          </w:p>
        </w:tc>
        <w:tc>
          <w:tcPr>
            <w:tcW w:type="dxa" w:w="5760"/>
          </w:tcPr>
          <w:p>
            <w:pPr>
              <w:jc w:val="center"/>
            </w:pPr>
            <w:r>
              <w:rPr>
                <w:rFonts w:ascii="Calibri" w:hAnsi="Calibri" w:eastAsia="Calibri"/>
                <w:b w:val="0"/>
                <w:color w:val="19232D"/>
                <w:sz w:val="17"/>
              </w:rPr>
              <w:t>62.09%</w:t>
            </w:r>
          </w:p>
        </w:tc>
      </w:tr>
      <w:tr>
        <w:tc>
          <w:tcPr>
            <w:tcW w:type="dxa" w:w="3600"/>
          </w:tcPr>
          <w:p>
            <w:r>
              <w:rPr>
                <w:rFonts w:ascii="Calibri" w:hAnsi="Calibri" w:eastAsia="Calibri"/>
                <w:b w:val="0"/>
                <w:color w:val="19232D"/>
                <w:sz w:val="17"/>
              </w:rPr>
              <w:t>Canceled by driver</w:t>
            </w:r>
          </w:p>
        </w:tc>
        <w:tc>
          <w:tcPr>
            <w:tcW w:type="dxa" w:w="5760"/>
          </w:tcPr>
          <w:p>
            <w:pPr>
              <w:jc w:val="center"/>
            </w:pPr>
            <w:r>
              <w:rPr>
                <w:rFonts w:ascii="Calibri" w:hAnsi="Calibri" w:eastAsia="Calibri"/>
                <w:b w:val="0"/>
                <w:color w:val="19232D"/>
                <w:sz w:val="17"/>
              </w:rPr>
              <w:t>18,434</w:t>
            </w:r>
          </w:p>
        </w:tc>
      </w:tr>
      <w:tr>
        <w:tc>
          <w:tcPr>
            <w:tcW w:type="dxa" w:w="3600"/>
          </w:tcPr>
          <w:p>
            <w:r>
              <w:rPr>
                <w:rFonts w:ascii="Calibri" w:hAnsi="Calibri" w:eastAsia="Calibri"/>
                <w:b w:val="0"/>
                <w:color w:val="19232D"/>
                <w:sz w:val="17"/>
              </w:rPr>
              <w:t>Canceled by customer</w:t>
            </w:r>
          </w:p>
        </w:tc>
        <w:tc>
          <w:tcPr>
            <w:tcW w:type="dxa" w:w="5760"/>
          </w:tcPr>
          <w:p>
            <w:pPr>
              <w:jc w:val="center"/>
            </w:pPr>
            <w:r>
              <w:rPr>
                <w:rFonts w:ascii="Calibri" w:hAnsi="Calibri" w:eastAsia="Calibri"/>
                <w:b w:val="0"/>
                <w:color w:val="19232D"/>
                <w:sz w:val="17"/>
              </w:rPr>
              <w:t>10,499</w:t>
            </w:r>
          </w:p>
        </w:tc>
      </w:tr>
      <w:tr>
        <w:tc>
          <w:tcPr>
            <w:tcW w:type="dxa" w:w="3600"/>
          </w:tcPr>
          <w:p>
            <w:r>
              <w:rPr>
                <w:rFonts w:ascii="Calibri" w:hAnsi="Calibri" w:eastAsia="Calibri"/>
                <w:b w:val="0"/>
                <w:color w:val="19232D"/>
                <w:sz w:val="17"/>
              </w:rPr>
              <w:t>Driver not found</w:t>
            </w:r>
          </w:p>
        </w:tc>
        <w:tc>
          <w:tcPr>
            <w:tcW w:type="dxa" w:w="5760"/>
          </w:tcPr>
          <w:p>
            <w:pPr>
              <w:jc w:val="center"/>
            </w:pPr>
            <w:r>
              <w:rPr>
                <w:rFonts w:ascii="Calibri" w:hAnsi="Calibri" w:eastAsia="Calibri"/>
                <w:b w:val="0"/>
                <w:color w:val="19232D"/>
                <w:sz w:val="17"/>
              </w:rPr>
              <w:t>10,124</w:t>
            </w:r>
          </w:p>
        </w:tc>
      </w:tr>
      <w:tr>
        <w:tc>
          <w:tcPr>
            <w:tcW w:type="dxa" w:w="3600"/>
          </w:tcPr>
          <w:p>
            <w:r>
              <w:rPr>
                <w:rFonts w:ascii="Calibri" w:hAnsi="Calibri" w:eastAsia="Calibri"/>
                <w:b w:val="0"/>
                <w:color w:val="19232D"/>
                <w:sz w:val="17"/>
              </w:rPr>
              <w:t>Raw booking value</w:t>
            </w:r>
          </w:p>
        </w:tc>
        <w:tc>
          <w:tcPr>
            <w:tcW w:type="dxa" w:w="5760"/>
          </w:tcPr>
          <w:p>
            <w:pPr>
              <w:jc w:val="center"/>
            </w:pPr>
            <w:r>
              <w:rPr>
                <w:rFonts w:ascii="Calibri" w:hAnsi="Calibri" w:eastAsia="Calibri"/>
                <w:b w:val="0"/>
                <w:color w:val="19232D"/>
                <w:sz w:val="17"/>
              </w:rPr>
              <w:t>Rs 56.53M</w:t>
            </w:r>
          </w:p>
        </w:tc>
      </w:tr>
      <w:tr>
        <w:tc>
          <w:tcPr>
            <w:tcW w:type="dxa" w:w="3600"/>
          </w:tcPr>
          <w:p>
            <w:r>
              <w:rPr>
                <w:rFonts w:ascii="Calibri" w:hAnsi="Calibri" w:eastAsia="Calibri"/>
                <w:b w:val="0"/>
                <w:color w:val="19232D"/>
                <w:sz w:val="17"/>
              </w:rPr>
              <w:t>Successful booking value</w:t>
            </w:r>
          </w:p>
        </w:tc>
        <w:tc>
          <w:tcPr>
            <w:tcW w:type="dxa" w:w="5760"/>
          </w:tcPr>
          <w:p>
            <w:pPr>
              <w:jc w:val="center"/>
            </w:pPr>
            <w:r>
              <w:rPr>
                <w:rFonts w:ascii="Calibri" w:hAnsi="Calibri" w:eastAsia="Calibri"/>
                <w:b w:val="0"/>
                <w:color w:val="19232D"/>
                <w:sz w:val="17"/>
              </w:rPr>
              <w:t>Rs 35.08M</w:t>
            </w:r>
          </w:p>
        </w:tc>
      </w:tr>
    </w:tbl>
    <w:p>
      <w:pPr>
        <w:spacing w:after="20"/>
      </w:pPr>
    </w:p>
    <w:p>
      <w:pPr>
        <w:pStyle w:val="Heading1"/>
      </w:pPr>
      <w:r>
        <w:t>4. KPI Framework</w:t>
      </w:r>
    </w:p>
    <w:tbl>
      <w:tblGrid>
        <w:gridCol w:w="2200"/>
        <w:gridCol w:w="3200"/>
        <w:gridCol w:w="5960"/>
      </w:tblGrid>
      <w:tblPr>
        <w:tblStyle w:val="TableGrid"/>
        <w:tblW w:type="dxa" w:w="11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2200"/>
            <w:tcMar>
              <w:top w:w="80" w:type="dxa"/>
              <w:start w:w="120" w:type="dxa"/>
              <w:bottom w:w="80" w:type="dxa"/>
              <w:end w:w="120" w:type="dxa"/>
            </w:tcMar>
            <w:vAlign w:val="center"/>
            <w:shd w:fill="E8EEF5"/>
          </w:tcPr>
          <w:p>
            <w:pPr>
              <w:jc w:val="center"/>
            </w:pPr>
            <w:r>
              <w:rPr>
                <w:rFonts w:ascii="Calibri" w:hAnsi="Calibri" w:eastAsia="Calibri"/>
                <w:b/>
                <w:color w:val="1F4D78"/>
                <w:sz w:val="16"/>
              </w:rPr>
              <w:t>KPI</w:t>
            </w:r>
          </w:p>
        </w:tc>
        <w:tc>
          <w:tcPr>
            <w:tcW w:type="dxa" w:w="3200"/>
            <w:tcMar>
              <w:top w:w="80" w:type="dxa"/>
              <w:start w:w="120" w:type="dxa"/>
              <w:bottom w:w="80" w:type="dxa"/>
              <w:end w:w="120" w:type="dxa"/>
            </w:tcMar>
            <w:vAlign w:val="center"/>
            <w:shd w:fill="E8EEF5"/>
          </w:tcPr>
          <w:p>
            <w:pPr>
              <w:jc w:val="center"/>
            </w:pPr>
            <w:r>
              <w:rPr>
                <w:rFonts w:ascii="Calibri" w:hAnsi="Calibri" w:eastAsia="Calibri"/>
                <w:b/>
                <w:color w:val="1F4D78"/>
                <w:sz w:val="16"/>
              </w:rPr>
              <w:t>Formula</w:t>
            </w:r>
          </w:p>
        </w:tc>
        <w:tc>
          <w:tcPr>
            <w:tcW w:type="dxa" w:w="5960"/>
            <w:tcMar>
              <w:top w:w="80" w:type="dxa"/>
              <w:start w:w="120" w:type="dxa"/>
              <w:bottom w:w="80" w:type="dxa"/>
              <w:end w:w="120" w:type="dxa"/>
            </w:tcMar>
            <w:vAlign w:val="center"/>
            <w:shd w:fill="E8EEF5"/>
          </w:tcPr>
          <w:p>
            <w:pPr>
              <w:jc w:val="center"/>
            </w:pPr>
            <w:r>
              <w:rPr>
                <w:rFonts w:ascii="Calibri" w:hAnsi="Calibri" w:eastAsia="Calibri"/>
                <w:b/>
                <w:color w:val="1F4D78"/>
                <w:sz w:val="16"/>
              </w:rPr>
              <w:t>Purpose</w:t>
            </w:r>
          </w:p>
        </w:tc>
      </w:tr>
      <w:tr>
        <w:tc>
          <w:tcPr>
            <w:tcW w:type="dxa" w:w="2200"/>
          </w:tcPr>
          <w:p>
            <w:r>
              <w:rPr>
                <w:rFonts w:ascii="Calibri" w:hAnsi="Calibri" w:eastAsia="Calibri"/>
                <w:b w:val="0"/>
                <w:color w:val="19232D"/>
                <w:sz w:val="16"/>
              </w:rPr>
              <w:t>Success Rate</w:t>
            </w:r>
          </w:p>
        </w:tc>
        <w:tc>
          <w:tcPr>
            <w:tcW w:type="dxa" w:w="3200"/>
          </w:tcPr>
          <w:p>
            <w:r>
              <w:rPr>
                <w:rFonts w:ascii="Calibri" w:hAnsi="Calibri" w:eastAsia="Calibri"/>
                <w:b w:val="0"/>
                <w:color w:val="19232D"/>
                <w:sz w:val="16"/>
              </w:rPr>
              <w:t>Successful bookings / Total bookings</w:t>
            </w:r>
          </w:p>
        </w:tc>
        <w:tc>
          <w:tcPr>
            <w:tcW w:type="dxa" w:w="5960"/>
          </w:tcPr>
          <w:p>
            <w:r>
              <w:rPr>
                <w:rFonts w:ascii="Calibri" w:hAnsi="Calibri" w:eastAsia="Calibri"/>
                <w:b w:val="0"/>
                <w:color w:val="19232D"/>
                <w:sz w:val="16"/>
              </w:rPr>
              <w:t>Measures booking fulfillment reliability.</w:t>
            </w:r>
          </w:p>
        </w:tc>
      </w:tr>
      <w:tr>
        <w:tc>
          <w:tcPr>
            <w:tcW w:type="dxa" w:w="2200"/>
          </w:tcPr>
          <w:p>
            <w:r>
              <w:rPr>
                <w:rFonts w:ascii="Calibri" w:hAnsi="Calibri" w:eastAsia="Calibri"/>
                <w:b w:val="0"/>
                <w:color w:val="19232D"/>
                <w:sz w:val="16"/>
              </w:rPr>
              <w:t>Cancellation Rate</w:t>
            </w:r>
          </w:p>
        </w:tc>
        <w:tc>
          <w:tcPr>
            <w:tcW w:type="dxa" w:w="3200"/>
          </w:tcPr>
          <w:p>
            <w:r>
              <w:rPr>
                <w:rFonts w:ascii="Calibri" w:hAnsi="Calibri" w:eastAsia="Calibri"/>
                <w:b w:val="0"/>
                <w:color w:val="19232D"/>
                <w:sz w:val="16"/>
              </w:rPr>
              <w:t>Canceled bookings / Total bookings</w:t>
            </w:r>
          </w:p>
        </w:tc>
        <w:tc>
          <w:tcPr>
            <w:tcW w:type="dxa" w:w="5960"/>
          </w:tcPr>
          <w:p>
            <w:r>
              <w:rPr>
                <w:rFonts w:ascii="Calibri" w:hAnsi="Calibri" w:eastAsia="Calibri"/>
                <w:b w:val="0"/>
                <w:color w:val="19232D"/>
                <w:sz w:val="16"/>
              </w:rPr>
              <w:t>Tracks lost demand and customer experience risk.</w:t>
            </w:r>
          </w:p>
        </w:tc>
      </w:tr>
      <w:tr>
        <w:tc>
          <w:tcPr>
            <w:tcW w:type="dxa" w:w="2200"/>
          </w:tcPr>
          <w:p>
            <w:r>
              <w:rPr>
                <w:rFonts w:ascii="Calibri" w:hAnsi="Calibri" w:eastAsia="Calibri"/>
                <w:b w:val="0"/>
                <w:color w:val="19232D"/>
                <w:sz w:val="16"/>
              </w:rPr>
              <w:t>Driver-Not-Found Rate</w:t>
            </w:r>
          </w:p>
        </w:tc>
        <w:tc>
          <w:tcPr>
            <w:tcW w:type="dxa" w:w="3200"/>
          </w:tcPr>
          <w:p>
            <w:r>
              <w:rPr>
                <w:rFonts w:ascii="Calibri" w:hAnsi="Calibri" w:eastAsia="Calibri"/>
                <w:b w:val="0"/>
                <w:color w:val="19232D"/>
                <w:sz w:val="16"/>
              </w:rPr>
              <w:t>Driver-not-found bookings / Total bookings</w:t>
            </w:r>
          </w:p>
        </w:tc>
        <w:tc>
          <w:tcPr>
            <w:tcW w:type="dxa" w:w="5960"/>
          </w:tcPr>
          <w:p>
            <w:r>
              <w:rPr>
                <w:rFonts w:ascii="Calibri" w:hAnsi="Calibri" w:eastAsia="Calibri"/>
                <w:b w:val="0"/>
                <w:color w:val="19232D"/>
                <w:sz w:val="16"/>
              </w:rPr>
              <w:t>Shows supply availability gaps.</w:t>
            </w:r>
          </w:p>
        </w:tc>
      </w:tr>
      <w:tr>
        <w:tc>
          <w:tcPr>
            <w:tcW w:type="dxa" w:w="2200"/>
          </w:tcPr>
          <w:p>
            <w:r>
              <w:rPr>
                <w:rFonts w:ascii="Calibri" w:hAnsi="Calibri" w:eastAsia="Calibri"/>
                <w:b w:val="0"/>
                <w:color w:val="19232D"/>
                <w:sz w:val="16"/>
              </w:rPr>
              <w:t>Total Booking Value</w:t>
            </w:r>
          </w:p>
        </w:tc>
        <w:tc>
          <w:tcPr>
            <w:tcW w:type="dxa" w:w="3200"/>
          </w:tcPr>
          <w:p>
            <w:r>
              <w:rPr>
                <w:rFonts w:ascii="Calibri" w:hAnsi="Calibri" w:eastAsia="Calibri"/>
                <w:b w:val="0"/>
                <w:color w:val="19232D"/>
                <w:sz w:val="16"/>
              </w:rPr>
              <w:t>Sum of Booking_Value</w:t>
            </w:r>
          </w:p>
        </w:tc>
        <w:tc>
          <w:tcPr>
            <w:tcW w:type="dxa" w:w="5960"/>
          </w:tcPr>
          <w:p>
            <w:r>
              <w:rPr>
                <w:rFonts w:ascii="Calibri" w:hAnsi="Calibri" w:eastAsia="Calibri"/>
                <w:b w:val="0"/>
                <w:color w:val="19232D"/>
                <w:sz w:val="16"/>
              </w:rPr>
              <w:t>Measures commercial value of booking activity.</w:t>
            </w:r>
          </w:p>
        </w:tc>
      </w:tr>
      <w:tr>
        <w:tc>
          <w:tcPr>
            <w:tcW w:type="dxa" w:w="2200"/>
          </w:tcPr>
          <w:p>
            <w:r>
              <w:rPr>
                <w:rFonts w:ascii="Calibri" w:hAnsi="Calibri" w:eastAsia="Calibri"/>
                <w:b w:val="0"/>
                <w:color w:val="19232D"/>
                <w:sz w:val="16"/>
              </w:rPr>
              <w:t>Average Booking Value</w:t>
            </w:r>
          </w:p>
        </w:tc>
        <w:tc>
          <w:tcPr>
            <w:tcW w:type="dxa" w:w="3200"/>
          </w:tcPr>
          <w:p>
            <w:r>
              <w:rPr>
                <w:rFonts w:ascii="Calibri" w:hAnsi="Calibri" w:eastAsia="Calibri"/>
                <w:b w:val="0"/>
                <w:color w:val="19232D"/>
                <w:sz w:val="16"/>
              </w:rPr>
              <w:t>Booking_Value / Bookings</w:t>
            </w:r>
          </w:p>
        </w:tc>
        <w:tc>
          <w:tcPr>
            <w:tcW w:type="dxa" w:w="5960"/>
          </w:tcPr>
          <w:p>
            <w:r>
              <w:rPr>
                <w:rFonts w:ascii="Calibri" w:hAnsi="Calibri" w:eastAsia="Calibri"/>
                <w:b w:val="0"/>
                <w:color w:val="19232D"/>
                <w:sz w:val="16"/>
              </w:rPr>
              <w:t>Compares fare value across segments.</w:t>
            </w:r>
          </w:p>
        </w:tc>
      </w:tr>
      <w:tr>
        <w:tc>
          <w:tcPr>
            <w:tcW w:type="dxa" w:w="2200"/>
          </w:tcPr>
          <w:p>
            <w:r>
              <w:rPr>
                <w:rFonts w:ascii="Calibri" w:hAnsi="Calibri" w:eastAsia="Calibri"/>
                <w:b w:val="0"/>
                <w:color w:val="19232D"/>
                <w:sz w:val="16"/>
              </w:rPr>
              <w:t>Average Ride Distance</w:t>
            </w:r>
          </w:p>
        </w:tc>
        <w:tc>
          <w:tcPr>
            <w:tcW w:type="dxa" w:w="3200"/>
          </w:tcPr>
          <w:p>
            <w:r>
              <w:rPr>
                <w:rFonts w:ascii="Calibri" w:hAnsi="Calibri" w:eastAsia="Calibri"/>
                <w:b w:val="0"/>
                <w:color w:val="19232D"/>
                <w:sz w:val="16"/>
              </w:rPr>
              <w:t>Total distance / Bookings</w:t>
            </w:r>
          </w:p>
        </w:tc>
        <w:tc>
          <w:tcPr>
            <w:tcW w:type="dxa" w:w="5960"/>
          </w:tcPr>
          <w:p>
            <w:r>
              <w:rPr>
                <w:rFonts w:ascii="Calibri" w:hAnsi="Calibri" w:eastAsia="Calibri"/>
                <w:b w:val="0"/>
                <w:color w:val="19232D"/>
                <w:sz w:val="16"/>
              </w:rPr>
              <w:t>Supports route and vehicle category analysis.</w:t>
            </w:r>
          </w:p>
        </w:tc>
      </w:tr>
      <w:tr>
        <w:tc>
          <w:tcPr>
            <w:tcW w:type="dxa" w:w="2200"/>
          </w:tcPr>
          <w:p>
            <w:r>
              <w:rPr>
                <w:rFonts w:ascii="Calibri" w:hAnsi="Calibri" w:eastAsia="Calibri"/>
                <w:b w:val="0"/>
                <w:color w:val="19232D"/>
                <w:sz w:val="16"/>
              </w:rPr>
              <w:t>Average Rating</w:t>
            </w:r>
          </w:p>
        </w:tc>
        <w:tc>
          <w:tcPr>
            <w:tcW w:type="dxa" w:w="3200"/>
          </w:tcPr>
          <w:p>
            <w:r>
              <w:rPr>
                <w:rFonts w:ascii="Calibri" w:hAnsi="Calibri" w:eastAsia="Calibri"/>
                <w:b w:val="0"/>
                <w:color w:val="19232D"/>
                <w:sz w:val="16"/>
              </w:rPr>
              <w:t>Mean rating by vehicle/status</w:t>
            </w:r>
          </w:p>
        </w:tc>
        <w:tc>
          <w:tcPr>
            <w:tcW w:type="dxa" w:w="5960"/>
          </w:tcPr>
          <w:p>
            <w:r>
              <w:rPr>
                <w:rFonts w:ascii="Calibri" w:hAnsi="Calibri" w:eastAsia="Calibri"/>
                <w:b w:val="0"/>
                <w:color w:val="19232D"/>
                <w:sz w:val="16"/>
              </w:rPr>
              <w:t>Tracks service quality after completed rides.</w:t>
            </w:r>
          </w:p>
        </w:tc>
      </w:tr>
    </w:tbl>
    <w:p>
      <w:pPr>
        <w:spacing w:after="20"/>
      </w:pPr>
    </w:p>
    <w:p>
      <w:pPr>
        <w:pStyle w:val="Heading1"/>
      </w:pPr>
      <w:r>
        <w:t>5. Project Architecture and Methodology</w:t>
      </w:r>
    </w:p>
    <w:p>
      <w:pPr>
        <w:spacing w:after="100" w:line="264" w:lineRule="auto"/>
      </w:pPr>
      <w:r>
        <w:rPr>
          <w:rFonts w:ascii="Calibri" w:hAnsi="Calibri" w:eastAsia="Calibri"/>
          <w:b w:val="0"/>
          <w:color w:val="19232D"/>
          <w:sz w:val="21"/>
        </w:rPr>
        <w:t>The project follows a phased analytics architecture so each technical component has a clear role. This avoids a single-prompt project structure and makes the deliverables easier to defend during viva.</w:t>
      </w:r>
    </w:p>
    <w:p>
      <w:pPr>
        <w:pStyle w:val="ListNumber"/>
        <w:spacing w:after="60" w:line="264" w:lineRule="auto"/>
        <w:ind w:left="547" w:hanging="274"/>
      </w:pPr>
      <w:r>
        <w:rPr>
          <w:rFonts w:ascii="Calibri" w:hAnsi="Calibri" w:eastAsia="Calibri"/>
          <w:b w:val="0"/>
          <w:color w:val="19232D"/>
          <w:sz w:val="20"/>
        </w:rPr>
        <w:t>Stage 1: Business and dataset understanding with KPIs, scope, stakeholders, and data dictionary.</w:t>
      </w:r>
    </w:p>
    <w:p>
      <w:pPr>
        <w:pStyle w:val="ListNumber"/>
        <w:spacing w:after="60" w:line="264" w:lineRule="auto"/>
        <w:ind w:left="547" w:hanging="274"/>
      </w:pPr>
      <w:r>
        <w:rPr>
          <w:rFonts w:ascii="Calibri" w:hAnsi="Calibri" w:eastAsia="Calibri"/>
          <w:b w:val="0"/>
          <w:color w:val="19232D"/>
          <w:sz w:val="20"/>
        </w:rPr>
        <w:t>Stage 2: MySQL schema with primary key, constraints, indexes, and import workflow.</w:t>
      </w:r>
    </w:p>
    <w:p>
      <w:pPr>
        <w:pStyle w:val="ListNumber"/>
        <w:spacing w:after="60" w:line="264" w:lineRule="auto"/>
        <w:ind w:left="547" w:hanging="274"/>
      </w:pPr>
      <w:r>
        <w:rPr>
          <w:rFonts w:ascii="Calibri" w:hAnsi="Calibri" w:eastAsia="Calibri"/>
          <w:b w:val="0"/>
          <w:color w:val="19232D"/>
          <w:sz w:val="20"/>
        </w:rPr>
        <w:t>Stage 3: Python cleaning module for null handling, duplicate checks, type conversion, and validation.</w:t>
      </w:r>
    </w:p>
    <w:p>
      <w:pPr>
        <w:pStyle w:val="ListNumber"/>
        <w:spacing w:after="60" w:line="264" w:lineRule="auto"/>
        <w:ind w:left="547" w:hanging="274"/>
      </w:pPr>
      <w:r>
        <w:rPr>
          <w:rFonts w:ascii="Calibri" w:hAnsi="Calibri" w:eastAsia="Calibri"/>
          <w:b w:val="0"/>
          <w:color w:val="19232D"/>
          <w:sz w:val="20"/>
        </w:rPr>
        <w:t>Stage 4: EDA plan covering univariate, bivariate, and operational analysis.</w:t>
      </w:r>
    </w:p>
    <w:p>
      <w:pPr>
        <w:pStyle w:val="ListNumber"/>
        <w:spacing w:after="60" w:line="264" w:lineRule="auto"/>
        <w:ind w:left="547" w:hanging="274"/>
      </w:pPr>
      <w:r>
        <w:rPr>
          <w:rFonts w:ascii="Calibri" w:hAnsi="Calibri" w:eastAsia="Calibri"/>
          <w:b w:val="0"/>
          <w:color w:val="19232D"/>
          <w:sz w:val="20"/>
        </w:rPr>
        <w:t>Stage 5: Statistics module for mean, median, mode, range, variance, standard deviation, skewness, and kurtosis.</w:t>
      </w:r>
    </w:p>
    <w:p>
      <w:pPr>
        <w:pStyle w:val="ListNumber"/>
        <w:spacing w:after="60" w:line="264" w:lineRule="auto"/>
        <w:ind w:left="547" w:hanging="274"/>
      </w:pPr>
      <w:r>
        <w:rPr>
          <w:rFonts w:ascii="Calibri" w:hAnsi="Calibri" w:eastAsia="Calibri"/>
          <w:b w:val="0"/>
          <w:color w:val="19232D"/>
          <w:sz w:val="20"/>
        </w:rPr>
        <w:t>Stage 6: SQL analytics using GROUP BY, HAVING, CASE, CTEs, ROW_NUMBER, RANK, DENSE_RANK, LAG, and LEAD-ready patterns.</w:t>
      </w:r>
    </w:p>
    <w:p>
      <w:pPr>
        <w:pStyle w:val="ListNumber"/>
        <w:spacing w:after="60" w:line="264" w:lineRule="auto"/>
        <w:ind w:left="547" w:hanging="274"/>
      </w:pPr>
      <w:r>
        <w:rPr>
          <w:rFonts w:ascii="Calibri" w:hAnsi="Calibri" w:eastAsia="Calibri"/>
          <w:b w:val="0"/>
          <w:color w:val="19232D"/>
          <w:sz w:val="20"/>
        </w:rPr>
        <w:t>Stage 7: Power BI design across overview, revenue, customer, operations, ratings, cancellation, and executive summary pages.</w:t>
      </w:r>
    </w:p>
    <w:p>
      <w:pPr>
        <w:pStyle w:val="ListNumber"/>
        <w:spacing w:after="60" w:line="264" w:lineRule="auto"/>
        <w:ind w:left="547" w:hanging="274"/>
      </w:pPr>
      <w:r>
        <w:rPr>
          <w:rFonts w:ascii="Calibri" w:hAnsi="Calibri" w:eastAsia="Calibri"/>
          <w:b w:val="0"/>
          <w:color w:val="19232D"/>
          <w:sz w:val="20"/>
        </w:rPr>
        <w:t>Stage 8: Streamlit app with filters, metrics, charts, and summary tables.</w:t>
      </w:r>
    </w:p>
    <w:p>
      <w:pPr>
        <w:spacing w:after="100" w:line="264" w:lineRule="auto"/>
      </w:pPr>
      <w:r>
        <w:rPr>
          <w:rFonts w:ascii="Calibri" w:hAnsi="Calibri" w:eastAsia="Calibri"/>
          <w:b w:val="0"/>
          <w:color w:val="19232D"/>
          <w:sz w:val="21"/>
        </w:rPr>
        <w:t>The final project folder is organized to make review simple. Each folder maps to a specific academic deliverable and can be explained independently during project evaluation.</w:t>
      </w:r>
    </w:p>
    <w:tbl>
      <w:tblGrid>
        <w:gridCol w:w="2100"/>
        <w:gridCol w:w="4560"/>
        <w:gridCol w:w="3700"/>
      </w:tblGrid>
      <w:tblPr>
        <w:tblStyle w:val="TableGrid"/>
        <w:tblW w:type="dxa" w:w="10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2100"/>
            <w:tcMar>
              <w:top w:w="80" w:type="dxa"/>
              <w:start w:w="120" w:type="dxa"/>
              <w:bottom w:w="80" w:type="dxa"/>
              <w:end w:w="120" w:type="dxa"/>
            </w:tcMar>
            <w:vAlign w:val="center"/>
            <w:shd w:fill="E8EEF5"/>
          </w:tcPr>
          <w:p>
            <w:pPr>
              <w:jc w:val="center"/>
            </w:pPr>
            <w:r>
              <w:rPr>
                <w:rFonts w:ascii="Calibri" w:hAnsi="Calibri" w:eastAsia="Calibri"/>
                <w:b/>
                <w:color w:val="1F4D78"/>
                <w:sz w:val="16"/>
              </w:rPr>
              <w:t>Folder/File</w:t>
            </w:r>
          </w:p>
        </w:tc>
        <w:tc>
          <w:tcPr>
            <w:tcW w:type="dxa" w:w="4560"/>
            <w:tcMar>
              <w:top w:w="80" w:type="dxa"/>
              <w:start w:w="120" w:type="dxa"/>
              <w:bottom w:w="80" w:type="dxa"/>
              <w:end w:w="120" w:type="dxa"/>
            </w:tcMar>
            <w:vAlign w:val="center"/>
            <w:shd w:fill="E8EEF5"/>
          </w:tcPr>
          <w:p>
            <w:pPr>
              <w:jc w:val="center"/>
            </w:pPr>
            <w:r>
              <w:rPr>
                <w:rFonts w:ascii="Calibri" w:hAnsi="Calibri" w:eastAsia="Calibri"/>
                <w:b/>
                <w:color w:val="1F4D78"/>
                <w:sz w:val="16"/>
              </w:rPr>
              <w:t>Contents</w:t>
            </w:r>
          </w:p>
        </w:tc>
        <w:tc>
          <w:tcPr>
            <w:tcW w:type="dxa" w:w="3700"/>
            <w:tcMar>
              <w:top w:w="80" w:type="dxa"/>
              <w:start w:w="120" w:type="dxa"/>
              <w:bottom w:w="80" w:type="dxa"/>
              <w:end w:w="120" w:type="dxa"/>
            </w:tcMar>
            <w:vAlign w:val="center"/>
            <w:shd w:fill="E8EEF5"/>
          </w:tcPr>
          <w:p>
            <w:pPr>
              <w:jc w:val="center"/>
            </w:pPr>
            <w:r>
              <w:rPr>
                <w:rFonts w:ascii="Calibri" w:hAnsi="Calibri" w:eastAsia="Calibri"/>
                <w:b/>
                <w:color w:val="1F4D78"/>
                <w:sz w:val="16"/>
              </w:rPr>
              <w:t>Evaluation Value</w:t>
            </w:r>
          </w:p>
        </w:tc>
      </w:tr>
      <w:tr>
        <w:tc>
          <w:tcPr>
            <w:tcW w:type="dxa" w:w="2100"/>
          </w:tcPr>
          <w:p>
            <w:r>
              <w:rPr>
                <w:rFonts w:ascii="Calibri" w:hAnsi="Calibri" w:eastAsia="Calibri"/>
                <w:b w:val="0"/>
                <w:color w:val="19232D"/>
                <w:sz w:val="16"/>
              </w:rPr>
              <w:t>data/raw</w:t>
            </w:r>
          </w:p>
        </w:tc>
        <w:tc>
          <w:tcPr>
            <w:tcW w:type="dxa" w:w="4560"/>
          </w:tcPr>
          <w:p>
            <w:r>
              <w:rPr>
                <w:rFonts w:ascii="Calibri" w:hAnsi="Calibri" w:eastAsia="Calibri"/>
                <w:b w:val="0"/>
                <w:color w:val="19232D"/>
                <w:sz w:val="16"/>
              </w:rPr>
              <w:t>Original OLA_DataSet.xlsx</w:t>
            </w:r>
          </w:p>
        </w:tc>
        <w:tc>
          <w:tcPr>
            <w:tcW w:type="dxa" w:w="3700"/>
          </w:tcPr>
          <w:p>
            <w:r>
              <w:rPr>
                <w:rFonts w:ascii="Calibri" w:hAnsi="Calibri" w:eastAsia="Calibri"/>
                <w:b w:val="0"/>
                <w:color w:val="19232D"/>
                <w:sz w:val="16"/>
              </w:rPr>
              <w:t>Shows source-data handling and project reproducibility.</w:t>
            </w:r>
          </w:p>
        </w:tc>
      </w:tr>
      <w:tr>
        <w:tc>
          <w:tcPr>
            <w:tcW w:type="dxa" w:w="2100"/>
          </w:tcPr>
          <w:p>
            <w:r>
              <w:rPr>
                <w:rFonts w:ascii="Calibri" w:hAnsi="Calibri" w:eastAsia="Calibri"/>
                <w:b w:val="0"/>
                <w:color w:val="19232D"/>
                <w:sz w:val="16"/>
              </w:rPr>
              <w:t>data/cleaned</w:t>
            </w:r>
          </w:p>
        </w:tc>
        <w:tc>
          <w:tcPr>
            <w:tcW w:type="dxa" w:w="4560"/>
          </w:tcPr>
          <w:p>
            <w:r>
              <w:rPr>
                <w:rFonts w:ascii="Calibri" w:hAnsi="Calibri" w:eastAsia="Calibri"/>
                <w:b w:val="0"/>
                <w:color w:val="19232D"/>
                <w:sz w:val="16"/>
              </w:rPr>
              <w:t>ola_bookings_cleaned.csv</w:t>
            </w:r>
          </w:p>
        </w:tc>
        <w:tc>
          <w:tcPr>
            <w:tcW w:type="dxa" w:w="3700"/>
          </w:tcPr>
          <w:p>
            <w:r>
              <w:rPr>
                <w:rFonts w:ascii="Calibri" w:hAnsi="Calibri" w:eastAsia="Calibri"/>
                <w:b w:val="0"/>
                <w:color w:val="19232D"/>
                <w:sz w:val="16"/>
              </w:rPr>
              <w:t>Provides cleaned data for SQL import and dashboards.</w:t>
            </w:r>
          </w:p>
        </w:tc>
      </w:tr>
      <w:tr>
        <w:tc>
          <w:tcPr>
            <w:tcW w:type="dxa" w:w="2100"/>
          </w:tcPr>
          <w:p>
            <w:r>
              <w:rPr>
                <w:rFonts w:ascii="Calibri" w:hAnsi="Calibri" w:eastAsia="Calibri"/>
                <w:b w:val="0"/>
                <w:color w:val="19232D"/>
                <w:sz w:val="16"/>
              </w:rPr>
              <w:t>database</w:t>
            </w:r>
          </w:p>
        </w:tc>
        <w:tc>
          <w:tcPr>
            <w:tcW w:type="dxa" w:w="4560"/>
          </w:tcPr>
          <w:p>
            <w:r>
              <w:rPr>
                <w:rFonts w:ascii="Calibri" w:hAnsi="Calibri" w:eastAsia="Calibri"/>
                <w:b w:val="0"/>
                <w:color w:val="19232D"/>
                <w:sz w:val="16"/>
              </w:rPr>
              <w:t>schema.sql, indexes.sql, data_import.sql, business_queries.sql</w:t>
            </w:r>
          </w:p>
        </w:tc>
        <w:tc>
          <w:tcPr>
            <w:tcW w:type="dxa" w:w="3700"/>
          </w:tcPr>
          <w:p>
            <w:r>
              <w:rPr>
                <w:rFonts w:ascii="Calibri" w:hAnsi="Calibri" w:eastAsia="Calibri"/>
                <w:b w:val="0"/>
                <w:color w:val="19232D"/>
                <w:sz w:val="16"/>
              </w:rPr>
              <w:t>Demonstrates database design and SQL analytics.</w:t>
            </w:r>
          </w:p>
        </w:tc>
      </w:tr>
      <w:tr>
        <w:tc>
          <w:tcPr>
            <w:tcW w:type="dxa" w:w="2100"/>
          </w:tcPr>
          <w:p>
            <w:r>
              <w:rPr>
                <w:rFonts w:ascii="Calibri" w:hAnsi="Calibri" w:eastAsia="Calibri"/>
                <w:b w:val="0"/>
                <w:color w:val="19232D"/>
                <w:sz w:val="16"/>
              </w:rPr>
              <w:t>python</w:t>
            </w:r>
          </w:p>
        </w:tc>
        <w:tc>
          <w:tcPr>
            <w:tcW w:type="dxa" w:w="4560"/>
          </w:tcPr>
          <w:p>
            <w:r>
              <w:rPr>
                <w:rFonts w:ascii="Calibri" w:hAnsi="Calibri" w:eastAsia="Calibri"/>
                <w:b w:val="0"/>
                <w:color w:val="19232D"/>
                <w:sz w:val="16"/>
              </w:rPr>
              <w:t>cleaning, statistics, visualization, DB helper modules</w:t>
            </w:r>
          </w:p>
        </w:tc>
        <w:tc>
          <w:tcPr>
            <w:tcW w:type="dxa" w:w="3700"/>
          </w:tcPr>
          <w:p>
            <w:r>
              <w:rPr>
                <w:rFonts w:ascii="Calibri" w:hAnsi="Calibri" w:eastAsia="Calibri"/>
                <w:b w:val="0"/>
                <w:color w:val="19232D"/>
                <w:sz w:val="16"/>
              </w:rPr>
              <w:t>Shows modular Python coding practice.</w:t>
            </w:r>
          </w:p>
        </w:tc>
      </w:tr>
      <w:tr>
        <w:tc>
          <w:tcPr>
            <w:tcW w:type="dxa" w:w="2100"/>
          </w:tcPr>
          <w:p>
            <w:r>
              <w:rPr>
                <w:rFonts w:ascii="Calibri" w:hAnsi="Calibri" w:eastAsia="Calibri"/>
                <w:b w:val="0"/>
                <w:color w:val="19232D"/>
                <w:sz w:val="16"/>
              </w:rPr>
              <w:t>streamlit_app</w:t>
            </w:r>
          </w:p>
        </w:tc>
        <w:tc>
          <w:tcPr>
            <w:tcW w:type="dxa" w:w="4560"/>
          </w:tcPr>
          <w:p>
            <w:r>
              <w:rPr>
                <w:rFonts w:ascii="Calibri" w:hAnsi="Calibri" w:eastAsia="Calibri"/>
                <w:b w:val="0"/>
                <w:color w:val="19232D"/>
                <w:sz w:val="16"/>
              </w:rPr>
              <w:t>app.py, pages, components, assets</w:t>
            </w:r>
          </w:p>
        </w:tc>
        <w:tc>
          <w:tcPr>
            <w:tcW w:type="dxa" w:w="3700"/>
          </w:tcPr>
          <w:p>
            <w:r>
              <w:rPr>
                <w:rFonts w:ascii="Calibri" w:hAnsi="Calibri" w:eastAsia="Calibri"/>
                <w:b w:val="0"/>
                <w:color w:val="19232D"/>
                <w:sz w:val="16"/>
              </w:rPr>
              <w:t>Provides an interactive dashboard for presentation.</w:t>
            </w:r>
          </w:p>
        </w:tc>
      </w:tr>
      <w:tr>
        <w:tc>
          <w:tcPr>
            <w:tcW w:type="dxa" w:w="2100"/>
          </w:tcPr>
          <w:p>
            <w:r>
              <w:rPr>
                <w:rFonts w:ascii="Calibri" w:hAnsi="Calibri" w:eastAsia="Calibri"/>
                <w:b w:val="0"/>
                <w:color w:val="19232D"/>
                <w:sz w:val="16"/>
              </w:rPr>
              <w:t>powerbi</w:t>
            </w:r>
          </w:p>
        </w:tc>
        <w:tc>
          <w:tcPr>
            <w:tcW w:type="dxa" w:w="4560"/>
          </w:tcPr>
          <w:p>
            <w:pPr>
              <w:jc w:val="center"/>
            </w:pPr>
            <w:r>
              <w:rPr>
                <w:rFonts w:ascii="Calibri" w:hAnsi="Calibri" w:eastAsia="Calibri"/>
                <w:b w:val="0"/>
                <w:color w:val="19232D"/>
                <w:sz w:val="16"/>
              </w:rPr>
              <w:t>dashboard_design.md</w:t>
            </w:r>
          </w:p>
        </w:tc>
        <w:tc>
          <w:tcPr>
            <w:tcW w:type="dxa" w:w="3700"/>
          </w:tcPr>
          <w:p>
            <w:r>
              <w:rPr>
                <w:rFonts w:ascii="Calibri" w:hAnsi="Calibri" w:eastAsia="Calibri"/>
                <w:b w:val="0"/>
                <w:color w:val="19232D"/>
                <w:sz w:val="16"/>
              </w:rPr>
              <w:t>Documents BI page design before Power BI implementation.</w:t>
            </w:r>
          </w:p>
        </w:tc>
      </w:tr>
      <w:tr>
        <w:tc>
          <w:tcPr>
            <w:tcW w:type="dxa" w:w="2100"/>
          </w:tcPr>
          <w:p>
            <w:r>
              <w:rPr>
                <w:rFonts w:ascii="Calibri" w:hAnsi="Calibri" w:eastAsia="Calibri"/>
                <w:b w:val="0"/>
                <w:color w:val="19232D"/>
                <w:sz w:val="16"/>
              </w:rPr>
              <w:t>documentation</w:t>
            </w:r>
          </w:p>
        </w:tc>
        <w:tc>
          <w:tcPr>
            <w:tcW w:type="dxa" w:w="4560"/>
          </w:tcPr>
          <w:p>
            <w:r>
              <w:rPr>
                <w:rFonts w:ascii="Calibri" w:hAnsi="Calibri" w:eastAsia="Calibri"/>
                <w:b w:val="0"/>
                <w:color w:val="19232D"/>
                <w:sz w:val="16"/>
              </w:rPr>
              <w:t>report, insights, SQL docs, viva prep</w:t>
            </w:r>
          </w:p>
        </w:tc>
        <w:tc>
          <w:tcPr>
            <w:tcW w:type="dxa" w:w="3700"/>
          </w:tcPr>
          <w:p>
            <w:r>
              <w:rPr>
                <w:rFonts w:ascii="Calibri" w:hAnsi="Calibri" w:eastAsia="Calibri"/>
                <w:b w:val="0"/>
                <w:color w:val="19232D"/>
                <w:sz w:val="16"/>
              </w:rPr>
              <w:t>Supports academic submission and oral defense.</w:t>
            </w:r>
          </w:p>
        </w:tc>
      </w:tr>
    </w:tbl>
    <w:p>
      <w:pPr>
        <w:spacing w:after="20"/>
      </w:pPr>
    </w:p>
    <w:p>
      <w:pPr>
        <w:pStyle w:val="Heading1"/>
      </w:pPr>
      <w:r>
        <w:t>6. Data Cleaning and Validation</w:t>
      </w:r>
    </w:p>
    <w:p>
      <w:pPr>
        <w:spacing w:after="100" w:line="264" w:lineRule="auto"/>
      </w:pPr>
      <w:r>
        <w:rPr>
          <w:rFonts w:ascii="Calibri" w:hAnsi="Calibri" w:eastAsia="Calibri"/>
          <w:b w:val="0"/>
          <w:color w:val="19232D"/>
          <w:sz w:val="21"/>
        </w:rPr>
        <w:t>Cleaning was performed with a modular Python script so the same logic can be reused before SQL import and dashboarding. The script preserves all 103,024 rows and confirms there are no duplicate Booking_ID values.</w:t>
      </w:r>
    </w:p>
    <w:p>
      <w:pPr>
        <w:pStyle w:val="ListBullet"/>
        <w:spacing w:after="60" w:line="264" w:lineRule="auto"/>
        <w:ind w:left="547" w:hanging="274"/>
      </w:pPr>
      <w:r>
        <w:rPr>
          <w:rFonts w:ascii="Calibri" w:hAnsi="Calibri" w:eastAsia="Calibri"/>
          <w:b w:val="0"/>
          <w:color w:val="19232D"/>
          <w:sz w:val="20"/>
        </w:rPr>
        <w:t>Converted text values such as null, None, blank strings, and nan into proper missing values.</w:t>
      </w:r>
    </w:p>
    <w:p>
      <w:pPr>
        <w:pStyle w:val="ListBullet"/>
        <w:spacing w:after="60" w:line="264" w:lineRule="auto"/>
        <w:ind w:left="547" w:hanging="274"/>
      </w:pPr>
      <w:r>
        <w:rPr>
          <w:rFonts w:ascii="Calibri" w:hAnsi="Calibri" w:eastAsia="Calibri"/>
          <w:b w:val="0"/>
          <w:color w:val="19232D"/>
          <w:sz w:val="20"/>
        </w:rPr>
        <w:t>Converted date, time, fare, distance, turnaround time, and rating columns into suitable data types.</w:t>
      </w:r>
    </w:p>
    <w:p>
      <w:pPr>
        <w:pStyle w:val="ListBullet"/>
        <w:spacing w:after="60" w:line="264" w:lineRule="auto"/>
        <w:ind w:left="547" w:hanging="274"/>
      </w:pPr>
      <w:r>
        <w:rPr>
          <w:rFonts w:ascii="Calibri" w:hAnsi="Calibri" w:eastAsia="Calibri"/>
          <w:b w:val="0"/>
          <w:color w:val="19232D"/>
          <w:sz w:val="20"/>
        </w:rPr>
        <w:t>Removed duplicate booking IDs if present; no duplicates were found in the current dataset.</w:t>
      </w:r>
    </w:p>
    <w:p>
      <w:pPr>
        <w:pStyle w:val="ListBullet"/>
        <w:spacing w:after="60" w:line="264" w:lineRule="auto"/>
        <w:ind w:left="547" w:hanging="274"/>
      </w:pPr>
      <w:r>
        <w:rPr>
          <w:rFonts w:ascii="Calibri" w:hAnsi="Calibri" w:eastAsia="Calibri"/>
          <w:b w:val="0"/>
          <w:color w:val="19232D"/>
          <w:sz w:val="20"/>
        </w:rPr>
        <w:t>Validated Booking_Value and Ride_Distance against reasonable non-negative ranges.</w:t>
      </w:r>
    </w:p>
    <w:p>
      <w:pPr>
        <w:pStyle w:val="ListBullet"/>
        <w:spacing w:after="60" w:line="264" w:lineRule="auto"/>
        <w:ind w:left="547" w:hanging="274"/>
      </w:pPr>
      <w:r>
        <w:rPr>
          <w:rFonts w:ascii="Calibri" w:hAnsi="Calibri" w:eastAsia="Calibri"/>
          <w:b w:val="0"/>
          <w:color w:val="19232D"/>
          <w:sz w:val="20"/>
        </w:rPr>
        <w:t>Set ratings and payment method to not applicable where rides were not successful.</w:t>
      </w:r>
    </w:p>
    <w:p>
      <w:pPr>
        <w:pStyle w:val="Heading1"/>
      </w:pPr>
      <w:r>
        <w:t>7. EDA and Statistics Summary</w:t>
      </w:r>
    </w:p>
    <w:p>
      <w:pPr>
        <w:spacing w:after="100" w:line="264" w:lineRule="auto"/>
      </w:pPr>
      <w:r>
        <w:rPr>
          <w:rFonts w:ascii="Calibri" w:hAnsi="Calibri" w:eastAsia="Calibri"/>
          <w:b w:val="0"/>
          <w:color w:val="19232D"/>
          <w:sz w:val="21"/>
        </w:rPr>
        <w:t>The EDA focuses on operational reliability, revenue contribution, customer behavior, and service quality. The strongest business pattern is that failed bookings represent a large share of activity, with driver cancellations being the largest failure category.</w:t>
      </w:r>
    </w:p>
    <w:tbl>
      <w:tblGrid>
        <w:gridCol w:w="1650"/>
        <w:gridCol w:w="1050"/>
        <w:gridCol w:w="1050"/>
        <w:gridCol w:w="1050"/>
        <w:gridCol w:w="1050"/>
        <w:gridCol w:w="4660"/>
      </w:tblGrid>
      <w:tblPr>
        <w:tblStyle w:val="TableGrid"/>
        <w:tblW w:type="dxa" w:w="1051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1650"/>
            <w:tcMar>
              <w:top w:w="80" w:type="dxa"/>
              <w:start w:w="120" w:type="dxa"/>
              <w:bottom w:w="80" w:type="dxa"/>
              <w:end w:w="120" w:type="dxa"/>
            </w:tcMar>
            <w:vAlign w:val="center"/>
            <w:shd w:fill="E8EEF5"/>
          </w:tcPr>
          <w:p>
            <w:pPr>
              <w:jc w:val="center"/>
            </w:pPr>
            <w:r>
              <w:rPr>
                <w:rFonts w:ascii="Calibri" w:hAnsi="Calibri" w:eastAsia="Calibri"/>
                <w:b/>
                <w:color w:val="1F4D78"/>
                <w:sz w:val="16"/>
              </w:rPr>
              <w:t>Variable</w:t>
            </w:r>
          </w:p>
        </w:tc>
        <w:tc>
          <w:tcPr>
            <w:tcW w:type="dxa" w:w="1050"/>
            <w:tcMar>
              <w:top w:w="80" w:type="dxa"/>
              <w:start w:w="120" w:type="dxa"/>
              <w:bottom w:w="80" w:type="dxa"/>
              <w:end w:w="120" w:type="dxa"/>
            </w:tcMar>
            <w:vAlign w:val="center"/>
            <w:shd w:fill="E8EEF5"/>
          </w:tcPr>
          <w:p>
            <w:pPr>
              <w:jc w:val="center"/>
            </w:pPr>
            <w:r>
              <w:rPr>
                <w:rFonts w:ascii="Calibri" w:hAnsi="Calibri" w:eastAsia="Calibri"/>
                <w:b/>
                <w:color w:val="1F4D78"/>
                <w:sz w:val="16"/>
              </w:rPr>
              <w:t>Mean</w:t>
            </w:r>
          </w:p>
        </w:tc>
        <w:tc>
          <w:tcPr>
            <w:tcW w:type="dxa" w:w="1050"/>
            <w:tcMar>
              <w:top w:w="80" w:type="dxa"/>
              <w:start w:w="120" w:type="dxa"/>
              <w:bottom w:w="80" w:type="dxa"/>
              <w:end w:w="120" w:type="dxa"/>
            </w:tcMar>
            <w:vAlign w:val="center"/>
            <w:shd w:fill="E8EEF5"/>
          </w:tcPr>
          <w:p>
            <w:pPr>
              <w:jc w:val="center"/>
            </w:pPr>
            <w:r>
              <w:rPr>
                <w:rFonts w:ascii="Calibri" w:hAnsi="Calibri" w:eastAsia="Calibri"/>
                <w:b/>
                <w:color w:val="1F4D78"/>
                <w:sz w:val="16"/>
              </w:rPr>
              <w:t>Median</w:t>
            </w:r>
          </w:p>
        </w:tc>
        <w:tc>
          <w:tcPr>
            <w:tcW w:type="dxa" w:w="1050"/>
            <w:tcMar>
              <w:top w:w="80" w:type="dxa"/>
              <w:start w:w="120" w:type="dxa"/>
              <w:bottom w:w="80" w:type="dxa"/>
              <w:end w:w="120" w:type="dxa"/>
            </w:tcMar>
            <w:vAlign w:val="center"/>
            <w:shd w:fill="E8EEF5"/>
          </w:tcPr>
          <w:p>
            <w:pPr>
              <w:jc w:val="center"/>
            </w:pPr>
            <w:r>
              <w:rPr>
                <w:rFonts w:ascii="Calibri" w:hAnsi="Calibri" w:eastAsia="Calibri"/>
                <w:b/>
                <w:color w:val="1F4D78"/>
                <w:sz w:val="16"/>
              </w:rPr>
              <w:t>Std Dev</w:t>
            </w:r>
          </w:p>
        </w:tc>
        <w:tc>
          <w:tcPr>
            <w:tcW w:type="dxa" w:w="1050"/>
            <w:tcMar>
              <w:top w:w="80" w:type="dxa"/>
              <w:start w:w="120" w:type="dxa"/>
              <w:bottom w:w="80" w:type="dxa"/>
              <w:end w:w="120" w:type="dxa"/>
            </w:tcMar>
            <w:vAlign w:val="center"/>
            <w:shd w:fill="E8EEF5"/>
          </w:tcPr>
          <w:p>
            <w:pPr>
              <w:jc w:val="center"/>
            </w:pPr>
            <w:r>
              <w:rPr>
                <w:rFonts w:ascii="Calibri" w:hAnsi="Calibri" w:eastAsia="Calibri"/>
                <w:b/>
                <w:color w:val="1F4D78"/>
                <w:sz w:val="16"/>
              </w:rPr>
              <w:t>Skewness</w:t>
            </w:r>
          </w:p>
        </w:tc>
        <w:tc>
          <w:tcPr>
            <w:tcW w:type="dxa" w:w="4660"/>
            <w:tcMar>
              <w:top w:w="80" w:type="dxa"/>
              <w:start w:w="120" w:type="dxa"/>
              <w:bottom w:w="80" w:type="dxa"/>
              <w:end w:w="120" w:type="dxa"/>
            </w:tcMar>
            <w:vAlign w:val="center"/>
            <w:shd w:fill="E8EEF5"/>
          </w:tcPr>
          <w:p>
            <w:pPr>
              <w:jc w:val="center"/>
            </w:pPr>
            <w:r>
              <w:rPr>
                <w:rFonts w:ascii="Calibri" w:hAnsi="Calibri" w:eastAsia="Calibri"/>
                <w:b/>
                <w:color w:val="1F4D78"/>
                <w:sz w:val="16"/>
              </w:rPr>
              <w:t>Interpretation</w:t>
            </w:r>
          </w:p>
        </w:tc>
      </w:tr>
      <w:tr>
        <w:tc>
          <w:tcPr>
            <w:tcW w:type="dxa" w:w="1650"/>
          </w:tcPr>
          <w:p>
            <w:r>
              <w:rPr>
                <w:rFonts w:ascii="Calibri" w:hAnsi="Calibri" w:eastAsia="Calibri"/>
                <w:b w:val="0"/>
                <w:color w:val="19232D"/>
                <w:sz w:val="16"/>
              </w:rPr>
              <w:t>Booking Value</w:t>
            </w:r>
          </w:p>
        </w:tc>
        <w:tc>
          <w:tcPr>
            <w:tcW w:type="dxa" w:w="1050"/>
          </w:tcPr>
          <w:p>
            <w:pPr>
              <w:jc w:val="center"/>
            </w:pPr>
            <w:r>
              <w:rPr>
                <w:rFonts w:ascii="Calibri" w:hAnsi="Calibri" w:eastAsia="Calibri"/>
                <w:b w:val="0"/>
                <w:color w:val="19232D"/>
                <w:sz w:val="16"/>
              </w:rPr>
              <w:t>548.75</w:t>
            </w:r>
          </w:p>
        </w:tc>
        <w:tc>
          <w:tcPr>
            <w:tcW w:type="dxa" w:w="1050"/>
          </w:tcPr>
          <w:p>
            <w:pPr>
              <w:jc w:val="center"/>
            </w:pPr>
            <w:r>
              <w:rPr>
                <w:rFonts w:ascii="Calibri" w:hAnsi="Calibri" w:eastAsia="Calibri"/>
                <w:b w:val="0"/>
                <w:color w:val="19232D"/>
                <w:sz w:val="16"/>
              </w:rPr>
              <w:t>386.00</w:t>
            </w:r>
          </w:p>
        </w:tc>
        <w:tc>
          <w:tcPr>
            <w:tcW w:type="dxa" w:w="1050"/>
          </w:tcPr>
          <w:p>
            <w:pPr>
              <w:jc w:val="center"/>
            </w:pPr>
            <w:r>
              <w:rPr>
                <w:rFonts w:ascii="Calibri" w:hAnsi="Calibri" w:eastAsia="Calibri"/>
                <w:b w:val="0"/>
                <w:color w:val="19232D"/>
                <w:sz w:val="16"/>
              </w:rPr>
              <w:t>536.54</w:t>
            </w:r>
          </w:p>
        </w:tc>
        <w:tc>
          <w:tcPr>
            <w:tcW w:type="dxa" w:w="1050"/>
          </w:tcPr>
          <w:p>
            <w:pPr>
              <w:jc w:val="center"/>
            </w:pPr>
            <w:r>
              <w:rPr>
                <w:rFonts w:ascii="Calibri" w:hAnsi="Calibri" w:eastAsia="Calibri"/>
                <w:b w:val="0"/>
                <w:color w:val="19232D"/>
                <w:sz w:val="16"/>
              </w:rPr>
              <w:t>2.57</w:t>
            </w:r>
          </w:p>
        </w:tc>
        <w:tc>
          <w:tcPr>
            <w:tcW w:type="dxa" w:w="4660"/>
          </w:tcPr>
          <w:p>
            <w:r>
              <w:rPr>
                <w:rFonts w:ascii="Calibri" w:hAnsi="Calibri" w:eastAsia="Calibri"/>
                <w:b w:val="0"/>
                <w:color w:val="19232D"/>
                <w:sz w:val="16"/>
              </w:rPr>
              <w:t>Right-skewed; some high-value rides raise the average.</w:t>
            </w:r>
          </w:p>
        </w:tc>
      </w:tr>
      <w:tr>
        <w:tc>
          <w:tcPr>
            <w:tcW w:type="dxa" w:w="1650"/>
          </w:tcPr>
          <w:p>
            <w:r>
              <w:rPr>
                <w:rFonts w:ascii="Calibri" w:hAnsi="Calibri" w:eastAsia="Calibri"/>
                <w:b w:val="0"/>
                <w:color w:val="19232D"/>
                <w:sz w:val="16"/>
              </w:rPr>
              <w:t>Ride Distance</w:t>
            </w:r>
          </w:p>
        </w:tc>
        <w:tc>
          <w:tcPr>
            <w:tcW w:type="dxa" w:w="1050"/>
          </w:tcPr>
          <w:p>
            <w:pPr>
              <w:jc w:val="center"/>
            </w:pPr>
            <w:r>
              <w:rPr>
                <w:rFonts w:ascii="Calibri" w:hAnsi="Calibri" w:eastAsia="Calibri"/>
                <w:b w:val="0"/>
                <w:color w:val="19232D"/>
                <w:sz w:val="16"/>
              </w:rPr>
              <w:t>14.19</w:t>
            </w:r>
          </w:p>
        </w:tc>
        <w:tc>
          <w:tcPr>
            <w:tcW w:type="dxa" w:w="1050"/>
          </w:tcPr>
          <w:p>
            <w:pPr>
              <w:jc w:val="center"/>
            </w:pPr>
            <w:r>
              <w:rPr>
                <w:rFonts w:ascii="Calibri" w:hAnsi="Calibri" w:eastAsia="Calibri"/>
                <w:b w:val="0"/>
                <w:color w:val="19232D"/>
                <w:sz w:val="16"/>
              </w:rPr>
              <w:t>8.00</w:t>
            </w:r>
          </w:p>
        </w:tc>
        <w:tc>
          <w:tcPr>
            <w:tcW w:type="dxa" w:w="1050"/>
          </w:tcPr>
          <w:p>
            <w:pPr>
              <w:jc w:val="center"/>
            </w:pPr>
            <w:r>
              <w:rPr>
                <w:rFonts w:ascii="Calibri" w:hAnsi="Calibri" w:eastAsia="Calibri"/>
                <w:b w:val="0"/>
                <w:color w:val="19232D"/>
                <w:sz w:val="16"/>
              </w:rPr>
              <w:t>15.78</w:t>
            </w:r>
          </w:p>
        </w:tc>
        <w:tc>
          <w:tcPr>
            <w:tcW w:type="dxa" w:w="1050"/>
          </w:tcPr>
          <w:p>
            <w:pPr>
              <w:jc w:val="center"/>
            </w:pPr>
            <w:r>
              <w:rPr>
                <w:rFonts w:ascii="Calibri" w:hAnsi="Calibri" w:eastAsia="Calibri"/>
                <w:b w:val="0"/>
                <w:color w:val="19232D"/>
                <w:sz w:val="16"/>
              </w:rPr>
              <w:t>0.76</w:t>
            </w:r>
          </w:p>
        </w:tc>
        <w:tc>
          <w:tcPr>
            <w:tcW w:type="dxa" w:w="4660"/>
          </w:tcPr>
          <w:p>
            <w:r>
              <w:rPr>
                <w:rFonts w:ascii="Calibri" w:hAnsi="Calibri" w:eastAsia="Calibri"/>
                <w:b w:val="0"/>
                <w:color w:val="19232D"/>
                <w:sz w:val="16"/>
              </w:rPr>
              <w:t>Moderately right-skewed; many short rides and fewer long rides.</w:t>
            </w:r>
          </w:p>
        </w:tc>
      </w:tr>
      <w:tr>
        <w:tc>
          <w:tcPr>
            <w:tcW w:type="dxa" w:w="1650"/>
          </w:tcPr>
          <w:p>
            <w:r>
              <w:rPr>
                <w:rFonts w:ascii="Calibri" w:hAnsi="Calibri" w:eastAsia="Calibri"/>
                <w:b w:val="0"/>
                <w:color w:val="19232D"/>
                <w:sz w:val="16"/>
              </w:rPr>
              <w:t>V_TAT</w:t>
            </w:r>
          </w:p>
        </w:tc>
        <w:tc>
          <w:tcPr>
            <w:tcW w:type="dxa" w:w="1050"/>
          </w:tcPr>
          <w:p>
            <w:pPr>
              <w:jc w:val="center"/>
            </w:pPr>
            <w:r>
              <w:rPr>
                <w:rFonts w:ascii="Calibri" w:hAnsi="Calibri" w:eastAsia="Calibri"/>
                <w:b w:val="0"/>
                <w:color w:val="19232D"/>
                <w:sz w:val="16"/>
              </w:rPr>
              <w:t>170.88</w:t>
            </w:r>
          </w:p>
        </w:tc>
        <w:tc>
          <w:tcPr>
            <w:tcW w:type="dxa" w:w="1050"/>
          </w:tcPr>
          <w:p>
            <w:pPr>
              <w:jc w:val="center"/>
            </w:pPr>
            <w:r>
              <w:rPr>
                <w:rFonts w:ascii="Calibri" w:hAnsi="Calibri" w:eastAsia="Calibri"/>
                <w:b w:val="0"/>
                <w:color w:val="19232D"/>
                <w:sz w:val="16"/>
              </w:rPr>
              <w:t>168.00</w:t>
            </w:r>
          </w:p>
        </w:tc>
        <w:tc>
          <w:tcPr>
            <w:tcW w:type="dxa" w:w="1050"/>
          </w:tcPr>
          <w:p>
            <w:pPr>
              <w:jc w:val="center"/>
            </w:pPr>
            <w:r>
              <w:rPr>
                <w:rFonts w:ascii="Calibri" w:hAnsi="Calibri" w:eastAsia="Calibri"/>
                <w:b w:val="0"/>
                <w:color w:val="19232D"/>
                <w:sz w:val="16"/>
              </w:rPr>
              <w:t>80.80</w:t>
            </w:r>
          </w:p>
        </w:tc>
        <w:tc>
          <w:tcPr>
            <w:tcW w:type="dxa" w:w="1050"/>
          </w:tcPr>
          <w:p>
            <w:pPr>
              <w:jc w:val="center"/>
            </w:pPr>
            <w:r>
              <w:rPr>
                <w:rFonts w:ascii="Calibri" w:hAnsi="Calibri" w:eastAsia="Calibri"/>
                <w:b w:val="0"/>
                <w:color w:val="19232D"/>
                <w:sz w:val="16"/>
              </w:rPr>
              <w:t>0.01</w:t>
            </w:r>
          </w:p>
        </w:tc>
        <w:tc>
          <w:tcPr>
            <w:tcW w:type="dxa" w:w="4660"/>
          </w:tcPr>
          <w:p>
            <w:r>
              <w:rPr>
                <w:rFonts w:ascii="Calibri" w:hAnsi="Calibri" w:eastAsia="Calibri"/>
                <w:b w:val="0"/>
                <w:color w:val="19232D"/>
                <w:sz w:val="16"/>
              </w:rPr>
              <w:t>Nearly symmetric operational turnaround pattern.</w:t>
            </w:r>
          </w:p>
        </w:tc>
      </w:tr>
      <w:tr>
        <w:tc>
          <w:tcPr>
            <w:tcW w:type="dxa" w:w="1650"/>
          </w:tcPr>
          <w:p>
            <w:r>
              <w:rPr>
                <w:rFonts w:ascii="Calibri" w:hAnsi="Calibri" w:eastAsia="Calibri"/>
                <w:b w:val="0"/>
                <w:color w:val="19232D"/>
                <w:sz w:val="16"/>
              </w:rPr>
              <w:t>C_TAT</w:t>
            </w:r>
          </w:p>
        </w:tc>
        <w:tc>
          <w:tcPr>
            <w:tcW w:type="dxa" w:w="1050"/>
          </w:tcPr>
          <w:p>
            <w:pPr>
              <w:jc w:val="center"/>
            </w:pPr>
            <w:r>
              <w:rPr>
                <w:rFonts w:ascii="Calibri" w:hAnsi="Calibri" w:eastAsia="Calibri"/>
                <w:b w:val="0"/>
                <w:color w:val="19232D"/>
                <w:sz w:val="16"/>
              </w:rPr>
              <w:t>84.87</w:t>
            </w:r>
          </w:p>
        </w:tc>
        <w:tc>
          <w:tcPr>
            <w:tcW w:type="dxa" w:w="1050"/>
          </w:tcPr>
          <w:p>
            <w:pPr>
              <w:jc w:val="center"/>
            </w:pPr>
            <w:r>
              <w:rPr>
                <w:rFonts w:ascii="Calibri" w:hAnsi="Calibri" w:eastAsia="Calibri"/>
                <w:b w:val="0"/>
                <w:color w:val="19232D"/>
                <w:sz w:val="16"/>
              </w:rPr>
              <w:t>85.00</w:t>
            </w:r>
          </w:p>
        </w:tc>
        <w:tc>
          <w:tcPr>
            <w:tcW w:type="dxa" w:w="1050"/>
          </w:tcPr>
          <w:p>
            <w:pPr>
              <w:jc w:val="center"/>
            </w:pPr>
            <w:r>
              <w:rPr>
                <w:rFonts w:ascii="Calibri" w:hAnsi="Calibri" w:eastAsia="Calibri"/>
                <w:b w:val="0"/>
                <w:color w:val="19232D"/>
                <w:sz w:val="16"/>
              </w:rPr>
              <w:t>36.01</w:t>
            </w:r>
          </w:p>
        </w:tc>
        <w:tc>
          <w:tcPr>
            <w:tcW w:type="dxa" w:w="1050"/>
          </w:tcPr>
          <w:p>
            <w:pPr>
              <w:jc w:val="center"/>
            </w:pPr>
            <w:r>
              <w:rPr>
                <w:rFonts w:ascii="Calibri" w:hAnsi="Calibri" w:eastAsia="Calibri"/>
                <w:b w:val="0"/>
                <w:color w:val="19232D"/>
                <w:sz w:val="16"/>
              </w:rPr>
              <w:t>0.01</w:t>
            </w:r>
          </w:p>
        </w:tc>
        <w:tc>
          <w:tcPr>
            <w:tcW w:type="dxa" w:w="4660"/>
          </w:tcPr>
          <w:p>
            <w:r>
              <w:rPr>
                <w:rFonts w:ascii="Calibri" w:hAnsi="Calibri" w:eastAsia="Calibri"/>
                <w:b w:val="0"/>
                <w:color w:val="19232D"/>
                <w:sz w:val="16"/>
              </w:rPr>
              <w:t>Stable customer turnaround distribution.</w:t>
            </w:r>
          </w:p>
        </w:tc>
      </w:tr>
      <w:tr>
        <w:tc>
          <w:tcPr>
            <w:tcW w:type="dxa" w:w="1650"/>
          </w:tcPr>
          <w:p>
            <w:r>
              <w:rPr>
                <w:rFonts w:ascii="Calibri" w:hAnsi="Calibri" w:eastAsia="Calibri"/>
                <w:b w:val="0"/>
                <w:color w:val="19232D"/>
                <w:sz w:val="16"/>
              </w:rPr>
              <w:t>Driver Rating</w:t>
            </w:r>
          </w:p>
        </w:tc>
        <w:tc>
          <w:tcPr>
            <w:tcW w:type="dxa" w:w="1050"/>
          </w:tcPr>
          <w:p>
            <w:pPr>
              <w:jc w:val="center"/>
            </w:pPr>
            <w:r>
              <w:rPr>
                <w:rFonts w:ascii="Calibri" w:hAnsi="Calibri" w:eastAsia="Calibri"/>
                <w:b w:val="0"/>
                <w:color w:val="19232D"/>
                <w:sz w:val="16"/>
              </w:rPr>
              <w:t>4.00</w:t>
            </w:r>
          </w:p>
        </w:tc>
        <w:tc>
          <w:tcPr>
            <w:tcW w:type="dxa" w:w="1050"/>
          </w:tcPr>
          <w:p>
            <w:pPr>
              <w:jc w:val="center"/>
            </w:pPr>
            <w:r>
              <w:rPr>
                <w:rFonts w:ascii="Calibri" w:hAnsi="Calibri" w:eastAsia="Calibri"/>
                <w:b w:val="0"/>
                <w:color w:val="19232D"/>
                <w:sz w:val="16"/>
              </w:rPr>
              <w:t>4.00</w:t>
            </w:r>
          </w:p>
        </w:tc>
        <w:tc>
          <w:tcPr>
            <w:tcW w:type="dxa" w:w="1050"/>
          </w:tcPr>
          <w:p>
            <w:pPr>
              <w:jc w:val="center"/>
            </w:pPr>
            <w:r>
              <w:rPr>
                <w:rFonts w:ascii="Calibri" w:hAnsi="Calibri" w:eastAsia="Calibri"/>
                <w:b w:val="0"/>
                <w:color w:val="19232D"/>
                <w:sz w:val="16"/>
              </w:rPr>
              <w:t>0.58</w:t>
            </w:r>
          </w:p>
        </w:tc>
        <w:tc>
          <w:tcPr>
            <w:tcW w:type="dxa" w:w="1050"/>
          </w:tcPr>
          <w:p>
            <w:pPr>
              <w:jc w:val="center"/>
            </w:pPr>
            <w:r>
              <w:rPr>
                <w:rFonts w:ascii="Calibri" w:hAnsi="Calibri" w:eastAsia="Calibri"/>
                <w:b w:val="0"/>
                <w:color w:val="19232D"/>
                <w:sz w:val="16"/>
              </w:rPr>
              <w:t>0.00</w:t>
            </w:r>
          </w:p>
        </w:tc>
        <w:tc>
          <w:tcPr>
            <w:tcW w:type="dxa" w:w="4660"/>
          </w:tcPr>
          <w:p>
            <w:r>
              <w:rPr>
                <w:rFonts w:ascii="Calibri" w:hAnsi="Calibri" w:eastAsia="Calibri"/>
                <w:b w:val="0"/>
                <w:color w:val="19232D"/>
                <w:sz w:val="16"/>
              </w:rPr>
              <w:t>Balanced ratings around 4.0 for successful rides.</w:t>
            </w:r>
          </w:p>
        </w:tc>
      </w:tr>
      <w:tr>
        <w:tc>
          <w:tcPr>
            <w:tcW w:type="dxa" w:w="1650"/>
          </w:tcPr>
          <w:p>
            <w:r>
              <w:rPr>
                <w:rFonts w:ascii="Calibri" w:hAnsi="Calibri" w:eastAsia="Calibri"/>
                <w:b w:val="0"/>
                <w:color w:val="19232D"/>
                <w:sz w:val="16"/>
              </w:rPr>
              <w:t>Customer Rating</w:t>
            </w:r>
          </w:p>
        </w:tc>
        <w:tc>
          <w:tcPr>
            <w:tcW w:type="dxa" w:w="1050"/>
          </w:tcPr>
          <w:p>
            <w:pPr>
              <w:jc w:val="center"/>
            </w:pPr>
            <w:r>
              <w:rPr>
                <w:rFonts w:ascii="Calibri" w:hAnsi="Calibri" w:eastAsia="Calibri"/>
                <w:b w:val="0"/>
                <w:color w:val="19232D"/>
                <w:sz w:val="16"/>
              </w:rPr>
              <w:t>4.00</w:t>
            </w:r>
          </w:p>
        </w:tc>
        <w:tc>
          <w:tcPr>
            <w:tcW w:type="dxa" w:w="1050"/>
          </w:tcPr>
          <w:p>
            <w:pPr>
              <w:jc w:val="center"/>
            </w:pPr>
            <w:r>
              <w:rPr>
                <w:rFonts w:ascii="Calibri" w:hAnsi="Calibri" w:eastAsia="Calibri"/>
                <w:b w:val="0"/>
                <w:color w:val="19232D"/>
                <w:sz w:val="16"/>
              </w:rPr>
              <w:t>4.00</w:t>
            </w:r>
          </w:p>
        </w:tc>
        <w:tc>
          <w:tcPr>
            <w:tcW w:type="dxa" w:w="1050"/>
          </w:tcPr>
          <w:p>
            <w:pPr>
              <w:jc w:val="center"/>
            </w:pPr>
            <w:r>
              <w:rPr>
                <w:rFonts w:ascii="Calibri" w:hAnsi="Calibri" w:eastAsia="Calibri"/>
                <w:b w:val="0"/>
                <w:color w:val="19232D"/>
                <w:sz w:val="16"/>
              </w:rPr>
              <w:t>0.58</w:t>
            </w:r>
          </w:p>
        </w:tc>
        <w:tc>
          <w:tcPr>
            <w:tcW w:type="dxa" w:w="1050"/>
          </w:tcPr>
          <w:p>
            <w:pPr>
              <w:jc w:val="center"/>
            </w:pPr>
            <w:r>
              <w:rPr>
                <w:rFonts w:ascii="Calibri" w:hAnsi="Calibri" w:eastAsia="Calibri"/>
                <w:b w:val="0"/>
                <w:color w:val="19232D"/>
                <w:sz w:val="16"/>
              </w:rPr>
              <w:t>0.01</w:t>
            </w:r>
          </w:p>
        </w:tc>
        <w:tc>
          <w:tcPr>
            <w:tcW w:type="dxa" w:w="4660"/>
          </w:tcPr>
          <w:p>
            <w:r>
              <w:rPr>
                <w:rFonts w:ascii="Calibri" w:hAnsi="Calibri" w:eastAsia="Calibri"/>
                <w:b w:val="0"/>
                <w:color w:val="19232D"/>
                <w:sz w:val="16"/>
              </w:rPr>
              <w:t>Customer ratings are also centered around 4.0.</w:t>
            </w:r>
          </w:p>
        </w:tc>
      </w:tr>
    </w:tbl>
    <w:p>
      <w:pPr>
        <w:spacing w:after="20"/>
      </w:pPr>
    </w:p>
    <w:p>
      <w:pPr>
        <w:pStyle w:val="Heading1"/>
      </w:pPr>
      <w:r>
        <w:t>8. SQL Analytics Layer</w:t>
      </w:r>
    </w:p>
    <w:p>
      <w:pPr>
        <w:spacing w:after="100" w:line="264" w:lineRule="auto"/>
      </w:pPr>
      <w:r>
        <w:rPr>
          <w:rFonts w:ascii="Calibri" w:hAnsi="Calibri" w:eastAsia="Calibri"/>
          <w:b w:val="0"/>
          <w:color w:val="19232D"/>
          <w:sz w:val="21"/>
        </w:rPr>
        <w:t>The SQL layer converts the cleaned booking records into review-ready business queries. The database file includes schema creation, constraints, indexes, CSV import instructions, and business analytics queries.</w:t>
      </w:r>
    </w:p>
    <w:tbl>
      <w:tblGrid>
        <w:gridCol w:w="1500"/>
        <w:gridCol w:w="4860"/>
        <w:gridCol w:w="4000"/>
      </w:tblGrid>
      <w:tblPr>
        <w:tblStyle w:val="TableGrid"/>
        <w:tblW w:type="dxa" w:w="10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1500"/>
            <w:tcMar>
              <w:top w:w="80" w:type="dxa"/>
              <w:start w:w="120" w:type="dxa"/>
              <w:bottom w:w="80" w:type="dxa"/>
              <w:end w:w="120" w:type="dxa"/>
            </w:tcMar>
            <w:vAlign w:val="center"/>
            <w:shd w:fill="E8EEF5"/>
          </w:tcPr>
          <w:p>
            <w:pPr>
              <w:jc w:val="center"/>
            </w:pPr>
            <w:r>
              <w:rPr>
                <w:rFonts w:ascii="Calibri" w:hAnsi="Calibri" w:eastAsia="Calibri"/>
                <w:b/>
                <w:color w:val="1F4D78"/>
                <w:sz w:val="17"/>
              </w:rPr>
              <w:t>Level</w:t>
            </w:r>
          </w:p>
        </w:tc>
        <w:tc>
          <w:tcPr>
            <w:tcW w:type="dxa" w:w="4860"/>
            <w:tcMar>
              <w:top w:w="80" w:type="dxa"/>
              <w:start w:w="120" w:type="dxa"/>
              <w:bottom w:w="80" w:type="dxa"/>
              <w:end w:w="120" w:type="dxa"/>
            </w:tcMar>
            <w:vAlign w:val="center"/>
            <w:shd w:fill="E8EEF5"/>
          </w:tcPr>
          <w:p>
            <w:pPr>
              <w:jc w:val="center"/>
            </w:pPr>
            <w:r>
              <w:rPr>
                <w:rFonts w:ascii="Calibri" w:hAnsi="Calibri" w:eastAsia="Calibri"/>
                <w:b/>
                <w:color w:val="1F4D78"/>
                <w:sz w:val="17"/>
              </w:rPr>
              <w:t>Query Examples</w:t>
            </w:r>
          </w:p>
        </w:tc>
        <w:tc>
          <w:tcPr>
            <w:tcW w:type="dxa" w:w="4000"/>
            <w:tcMar>
              <w:top w:w="80" w:type="dxa"/>
              <w:start w:w="120" w:type="dxa"/>
              <w:bottom w:w="80" w:type="dxa"/>
              <w:end w:w="120" w:type="dxa"/>
            </w:tcMar>
            <w:vAlign w:val="center"/>
            <w:shd w:fill="E8EEF5"/>
          </w:tcPr>
          <w:p>
            <w:pPr>
              <w:jc w:val="center"/>
            </w:pPr>
            <w:r>
              <w:rPr>
                <w:rFonts w:ascii="Calibri" w:hAnsi="Calibri" w:eastAsia="Calibri"/>
                <w:b/>
                <w:color w:val="1F4D78"/>
                <w:sz w:val="17"/>
              </w:rPr>
              <w:t>Concepts Demonstrated</w:t>
            </w:r>
          </w:p>
        </w:tc>
      </w:tr>
      <w:tr>
        <w:tc>
          <w:tcPr>
            <w:tcW w:type="dxa" w:w="1500"/>
          </w:tcPr>
          <w:p>
            <w:r>
              <w:rPr>
                <w:rFonts w:ascii="Calibri" w:hAnsi="Calibri" w:eastAsia="Calibri"/>
                <w:b w:val="0"/>
                <w:color w:val="19232D"/>
                <w:sz w:val="17"/>
              </w:rPr>
              <w:t>Beginner</w:t>
            </w:r>
          </w:p>
        </w:tc>
        <w:tc>
          <w:tcPr>
            <w:tcW w:type="dxa" w:w="4860"/>
          </w:tcPr>
          <w:p>
            <w:r>
              <w:rPr>
                <w:rFonts w:ascii="Calibri" w:hAnsi="Calibri" w:eastAsia="Calibri"/>
                <w:b w:val="0"/>
                <w:color w:val="19232D"/>
                <w:sz w:val="17"/>
              </w:rPr>
              <w:t>Total bookings, status distribution, payment method usage</w:t>
            </w:r>
          </w:p>
        </w:tc>
        <w:tc>
          <w:tcPr>
            <w:tcW w:type="dxa" w:w="4000"/>
          </w:tcPr>
          <w:p>
            <w:r>
              <w:rPr>
                <w:rFonts w:ascii="Calibri" w:hAnsi="Calibri" w:eastAsia="Calibri"/>
                <w:b w:val="0"/>
                <w:color w:val="19232D"/>
                <w:sz w:val="17"/>
              </w:rPr>
              <w:t>SELECT, WHERE, GROUP BY, ORDER BY</w:t>
            </w:r>
          </w:p>
        </w:tc>
      </w:tr>
      <w:tr>
        <w:tc>
          <w:tcPr>
            <w:tcW w:type="dxa" w:w="1500"/>
          </w:tcPr>
          <w:p>
            <w:r>
              <w:rPr>
                <w:rFonts w:ascii="Calibri" w:hAnsi="Calibri" w:eastAsia="Calibri"/>
                <w:b w:val="0"/>
                <w:color w:val="19232D"/>
                <w:sz w:val="17"/>
              </w:rPr>
              <w:t>Intermediate</w:t>
            </w:r>
          </w:p>
        </w:tc>
        <w:tc>
          <w:tcPr>
            <w:tcW w:type="dxa" w:w="4860"/>
          </w:tcPr>
          <w:p>
            <w:r>
              <w:rPr>
                <w:rFonts w:ascii="Calibri" w:hAnsi="Calibri" w:eastAsia="Calibri"/>
                <w:b w:val="0"/>
                <w:color w:val="19232D"/>
                <w:sz w:val="17"/>
              </w:rPr>
              <w:t>Vehicle revenue, cancellation reasons, pickup hotspots</w:t>
            </w:r>
          </w:p>
        </w:tc>
        <w:tc>
          <w:tcPr>
            <w:tcW w:type="dxa" w:w="4000"/>
          </w:tcPr>
          <w:p>
            <w:r>
              <w:rPr>
                <w:rFonts w:ascii="Calibri" w:hAnsi="Calibri" w:eastAsia="Calibri"/>
                <w:b w:val="0"/>
                <w:color w:val="19232D"/>
                <w:sz w:val="17"/>
              </w:rPr>
              <w:t>HAVING, CASE-ready segmentation, aggregate KPIs</w:t>
            </w:r>
          </w:p>
        </w:tc>
      </w:tr>
      <w:tr>
        <w:tc>
          <w:tcPr>
            <w:tcW w:type="dxa" w:w="1500"/>
          </w:tcPr>
          <w:p>
            <w:r>
              <w:rPr>
                <w:rFonts w:ascii="Calibri" w:hAnsi="Calibri" w:eastAsia="Calibri"/>
                <w:b w:val="0"/>
                <w:color w:val="19232D"/>
                <w:sz w:val="17"/>
              </w:rPr>
              <w:t>Advanced</w:t>
            </w:r>
          </w:p>
        </w:tc>
        <w:tc>
          <w:tcPr>
            <w:tcW w:type="dxa" w:w="4860"/>
          </w:tcPr>
          <w:p>
            <w:r>
              <w:rPr>
                <w:rFonts w:ascii="Calibri" w:hAnsi="Calibri" w:eastAsia="Calibri"/>
                <w:b w:val="0"/>
                <w:color w:val="19232D"/>
                <w:sz w:val="17"/>
              </w:rPr>
              <w:t>Daily trend, pickup ranking, top rides per vehicle type</w:t>
            </w:r>
          </w:p>
        </w:tc>
        <w:tc>
          <w:tcPr>
            <w:tcW w:type="dxa" w:w="4000"/>
          </w:tcPr>
          <w:p>
            <w:r>
              <w:rPr>
                <w:rFonts w:ascii="Calibri" w:hAnsi="Calibri" w:eastAsia="Calibri"/>
                <w:b w:val="0"/>
                <w:color w:val="19232D"/>
                <w:sz w:val="17"/>
              </w:rPr>
              <w:t>CTE, LAG, ROW_NUMBER, RANK, DENSE_RANK</w:t>
            </w:r>
          </w:p>
        </w:tc>
      </w:tr>
    </w:tbl>
    <w:p>
      <w:pPr>
        <w:spacing w:after="20"/>
      </w:pPr>
    </w:p>
    <w:p>
      <w:pPr>
        <w:spacing w:after="100" w:line="264" w:lineRule="auto"/>
      </w:pPr>
      <w:r>
        <w:rPr>
          <w:rFonts w:ascii="Calibri" w:hAnsi="Calibri" w:eastAsia="Calibri"/>
          <w:b w:val="0"/>
          <w:color w:val="19232D"/>
          <w:sz w:val="21"/>
        </w:rPr>
        <w:t>For viva, the strongest SQL talking point is that the project goes beyond simple summaries and includes window functions for ranking, trend comparison, and partitioned analysis.</w:t>
      </w:r>
    </w:p>
    <w:p>
      <w:pPr>
        <w:pStyle w:val="Heading2"/>
      </w:pPr>
      <w:r>
        <w:t>8.1 Academic Concept Coverage</w:t>
      </w:r>
    </w:p>
    <w:tbl>
      <w:tblGrid>
        <w:gridCol w:w="1700"/>
        <w:gridCol w:w="3200"/>
        <w:gridCol w:w="4860"/>
      </w:tblGrid>
      <w:tblPr>
        <w:tblStyle w:val="TableGrid"/>
        <w:tblW w:type="dxa" w:w="97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1700"/>
            <w:tcMar>
              <w:top w:w="80" w:type="dxa"/>
              <w:start w:w="120" w:type="dxa"/>
              <w:bottom w:w="80" w:type="dxa"/>
              <w:end w:w="120" w:type="dxa"/>
            </w:tcMar>
            <w:vAlign w:val="center"/>
            <w:shd w:fill="E8EEF5"/>
          </w:tcPr>
          <w:p>
            <w:pPr>
              <w:jc w:val="center"/>
            </w:pPr>
            <w:r>
              <w:rPr>
                <w:rFonts w:ascii="Calibri" w:hAnsi="Calibri" w:eastAsia="Calibri"/>
                <w:b/>
                <w:color w:val="1F4D78"/>
                <w:sz w:val="15"/>
              </w:rPr>
              <w:t>Course Area</w:t>
            </w:r>
          </w:p>
        </w:tc>
        <w:tc>
          <w:tcPr>
            <w:tcW w:type="dxa" w:w="3200"/>
            <w:tcMar>
              <w:top w:w="80" w:type="dxa"/>
              <w:start w:w="120" w:type="dxa"/>
              <w:bottom w:w="80" w:type="dxa"/>
              <w:end w:w="120" w:type="dxa"/>
            </w:tcMar>
            <w:vAlign w:val="center"/>
            <w:shd w:fill="E8EEF5"/>
          </w:tcPr>
          <w:p>
            <w:pPr>
              <w:jc w:val="center"/>
            </w:pPr>
            <w:r>
              <w:rPr>
                <w:rFonts w:ascii="Calibri" w:hAnsi="Calibri" w:eastAsia="Calibri"/>
                <w:b/>
                <w:color w:val="1F4D78"/>
                <w:sz w:val="15"/>
              </w:rPr>
              <w:t>Where It Appears</w:t>
            </w:r>
          </w:p>
        </w:tc>
        <w:tc>
          <w:tcPr>
            <w:tcW w:type="dxa" w:w="4860"/>
            <w:tcMar>
              <w:top w:w="80" w:type="dxa"/>
              <w:start w:w="120" w:type="dxa"/>
              <w:bottom w:w="80" w:type="dxa"/>
              <w:end w:w="120" w:type="dxa"/>
            </w:tcMar>
            <w:vAlign w:val="center"/>
            <w:shd w:fill="E8EEF5"/>
          </w:tcPr>
          <w:p>
            <w:pPr>
              <w:jc w:val="center"/>
            </w:pPr>
            <w:r>
              <w:rPr>
                <w:rFonts w:ascii="Calibri" w:hAnsi="Calibri" w:eastAsia="Calibri"/>
                <w:b/>
                <w:color w:val="1F4D78"/>
                <w:sz w:val="15"/>
              </w:rPr>
              <w:t>Talking Point</w:t>
            </w:r>
          </w:p>
        </w:tc>
      </w:tr>
      <w:tr>
        <w:tc>
          <w:tcPr>
            <w:tcW w:type="dxa" w:w="1700"/>
          </w:tcPr>
          <w:p>
            <w:r>
              <w:rPr>
                <w:rFonts w:ascii="Calibri" w:hAnsi="Calibri" w:eastAsia="Calibri"/>
                <w:b w:val="0"/>
                <w:color w:val="19232D"/>
                <w:sz w:val="15"/>
              </w:rPr>
              <w:t>SQL</w:t>
            </w:r>
          </w:p>
        </w:tc>
        <w:tc>
          <w:tcPr>
            <w:tcW w:type="dxa" w:w="3200"/>
          </w:tcPr>
          <w:p>
            <w:r>
              <w:rPr>
                <w:rFonts w:ascii="Calibri" w:hAnsi="Calibri" w:eastAsia="Calibri"/>
                <w:b w:val="0"/>
                <w:color w:val="19232D"/>
                <w:sz w:val="15"/>
              </w:rPr>
              <w:t>business_queries.sql</w:t>
            </w:r>
          </w:p>
        </w:tc>
        <w:tc>
          <w:tcPr>
            <w:tcW w:type="dxa" w:w="4860"/>
          </w:tcPr>
          <w:p>
            <w:r>
              <w:rPr>
                <w:rFonts w:ascii="Calibri" w:hAnsi="Calibri" w:eastAsia="Calibri"/>
                <w:b w:val="0"/>
                <w:color w:val="19232D"/>
                <w:sz w:val="15"/>
              </w:rPr>
              <w:t>Aggregation, filtering, ranking, trend comparison, and window functions are used for business questions.</w:t>
            </w:r>
          </w:p>
        </w:tc>
      </w:tr>
      <w:tr>
        <w:tc>
          <w:tcPr>
            <w:tcW w:type="dxa" w:w="1700"/>
          </w:tcPr>
          <w:p>
            <w:r>
              <w:rPr>
                <w:rFonts w:ascii="Calibri" w:hAnsi="Calibri" w:eastAsia="Calibri"/>
                <w:b w:val="0"/>
                <w:color w:val="19232D"/>
                <w:sz w:val="15"/>
              </w:rPr>
              <w:t>Python</w:t>
            </w:r>
          </w:p>
        </w:tc>
        <w:tc>
          <w:tcPr>
            <w:tcW w:type="dxa" w:w="3200"/>
          </w:tcPr>
          <w:p>
            <w:r>
              <w:rPr>
                <w:rFonts w:ascii="Calibri" w:hAnsi="Calibri" w:eastAsia="Calibri"/>
                <w:b w:val="0"/>
                <w:color w:val="19232D"/>
                <w:sz w:val="15"/>
              </w:rPr>
              <w:t>data_cleaning.py, statistics_analysis.py</w:t>
            </w:r>
          </w:p>
        </w:tc>
        <w:tc>
          <w:tcPr>
            <w:tcW w:type="dxa" w:w="4860"/>
          </w:tcPr>
          <w:p>
            <w:r>
              <w:rPr>
                <w:rFonts w:ascii="Calibri" w:hAnsi="Calibri" w:eastAsia="Calibri"/>
                <w:b w:val="0"/>
                <w:color w:val="19232D"/>
                <w:sz w:val="15"/>
              </w:rPr>
              <w:t>Reusable scripts handle cleaning, validation, descriptive statistics, and export.</w:t>
            </w:r>
          </w:p>
        </w:tc>
      </w:tr>
      <w:tr>
        <w:tc>
          <w:tcPr>
            <w:tcW w:type="dxa" w:w="1700"/>
          </w:tcPr>
          <w:p>
            <w:r>
              <w:rPr>
                <w:rFonts w:ascii="Calibri" w:hAnsi="Calibri" w:eastAsia="Calibri"/>
                <w:b w:val="0"/>
                <w:color w:val="19232D"/>
                <w:sz w:val="15"/>
              </w:rPr>
              <w:t>Statistics</w:t>
            </w:r>
          </w:p>
        </w:tc>
        <w:tc>
          <w:tcPr>
            <w:tcW w:type="dxa" w:w="3200"/>
          </w:tcPr>
          <w:p>
            <w:r>
              <w:rPr>
                <w:rFonts w:ascii="Calibri" w:hAnsi="Calibri" w:eastAsia="Calibri"/>
                <w:b w:val="0"/>
                <w:color w:val="19232D"/>
                <w:sz w:val="15"/>
              </w:rPr>
              <w:t>statistics_analysis.py</w:t>
            </w:r>
          </w:p>
        </w:tc>
        <w:tc>
          <w:tcPr>
            <w:tcW w:type="dxa" w:w="4860"/>
          </w:tcPr>
          <w:p>
            <w:r>
              <w:rPr>
                <w:rFonts w:ascii="Calibri" w:hAnsi="Calibri" w:eastAsia="Calibri"/>
                <w:b w:val="0"/>
                <w:color w:val="19232D"/>
                <w:sz w:val="15"/>
              </w:rPr>
              <w:t>Mean, median, mode, range, variance, standard deviation, skewness, and kurtosis are interpreted.</w:t>
            </w:r>
          </w:p>
        </w:tc>
      </w:tr>
      <w:tr>
        <w:tc>
          <w:tcPr>
            <w:tcW w:type="dxa" w:w="1700"/>
          </w:tcPr>
          <w:p>
            <w:r>
              <w:rPr>
                <w:rFonts w:ascii="Calibri" w:hAnsi="Calibri" w:eastAsia="Calibri"/>
                <w:b w:val="0"/>
                <w:color w:val="19232D"/>
                <w:sz w:val="15"/>
              </w:rPr>
              <w:t>EDA</w:t>
            </w:r>
          </w:p>
        </w:tc>
        <w:tc>
          <w:tcPr>
            <w:tcW w:type="dxa" w:w="3200"/>
          </w:tcPr>
          <w:p>
            <w:r>
              <w:rPr>
                <w:rFonts w:ascii="Calibri" w:hAnsi="Calibri" w:eastAsia="Calibri"/>
                <w:b w:val="0"/>
                <w:color w:val="19232D"/>
                <w:sz w:val="15"/>
              </w:rPr>
              <w:t>notebook outlines and dashboard charts</w:t>
            </w:r>
          </w:p>
        </w:tc>
        <w:tc>
          <w:tcPr>
            <w:tcW w:type="dxa" w:w="4860"/>
          </w:tcPr>
          <w:p>
            <w:r>
              <w:rPr>
                <w:rFonts w:ascii="Calibri" w:hAnsi="Calibri" w:eastAsia="Calibri"/>
                <w:b w:val="0"/>
                <w:color w:val="19232D"/>
                <w:sz w:val="15"/>
              </w:rPr>
              <w:t>Univariate, bivariate, and operational analysis are planned around business KPIs.</w:t>
            </w:r>
          </w:p>
        </w:tc>
      </w:tr>
      <w:tr>
        <w:tc>
          <w:tcPr>
            <w:tcW w:type="dxa" w:w="1700"/>
          </w:tcPr>
          <w:p>
            <w:r>
              <w:rPr>
                <w:rFonts w:ascii="Calibri" w:hAnsi="Calibri" w:eastAsia="Calibri"/>
                <w:b w:val="0"/>
                <w:color w:val="19232D"/>
                <w:sz w:val="15"/>
              </w:rPr>
              <w:t>BI</w:t>
            </w:r>
          </w:p>
        </w:tc>
        <w:tc>
          <w:tcPr>
            <w:tcW w:type="dxa" w:w="3200"/>
          </w:tcPr>
          <w:p>
            <w:r>
              <w:rPr>
                <w:rFonts w:ascii="Calibri" w:hAnsi="Calibri" w:eastAsia="Calibri"/>
                <w:b w:val="0"/>
                <w:color w:val="19232D"/>
                <w:sz w:val="15"/>
              </w:rPr>
              <w:t>powerbi/dashboard_design.md</w:t>
            </w:r>
          </w:p>
        </w:tc>
        <w:tc>
          <w:tcPr>
            <w:tcW w:type="dxa" w:w="4860"/>
          </w:tcPr>
          <w:p>
            <w:r>
              <w:rPr>
                <w:rFonts w:ascii="Calibri" w:hAnsi="Calibri" w:eastAsia="Calibri"/>
                <w:b w:val="0"/>
                <w:color w:val="19232D"/>
                <w:sz w:val="15"/>
              </w:rPr>
              <w:t>Dashboard pages are separated by business theme for clear executive reporting.</w:t>
            </w:r>
          </w:p>
        </w:tc>
      </w:tr>
      <w:tr>
        <w:tc>
          <w:tcPr>
            <w:tcW w:type="dxa" w:w="1700"/>
          </w:tcPr>
          <w:p>
            <w:r>
              <w:rPr>
                <w:rFonts w:ascii="Calibri" w:hAnsi="Calibri" w:eastAsia="Calibri"/>
                <w:b w:val="0"/>
                <w:color w:val="19232D"/>
                <w:sz w:val="15"/>
              </w:rPr>
              <w:t>Deployment-lite</w:t>
            </w:r>
          </w:p>
        </w:tc>
        <w:tc>
          <w:tcPr>
            <w:tcW w:type="dxa" w:w="3200"/>
          </w:tcPr>
          <w:p>
            <w:r>
              <w:rPr>
                <w:rFonts w:ascii="Calibri" w:hAnsi="Calibri" w:eastAsia="Calibri"/>
                <w:b w:val="0"/>
                <w:color w:val="19232D"/>
                <w:sz w:val="15"/>
              </w:rPr>
              <w:t>streamlit_app/app.py</w:t>
            </w:r>
          </w:p>
        </w:tc>
        <w:tc>
          <w:tcPr>
            <w:tcW w:type="dxa" w:w="4860"/>
          </w:tcPr>
          <w:p>
            <w:r>
              <w:rPr>
                <w:rFonts w:ascii="Calibri" w:hAnsi="Calibri" w:eastAsia="Calibri"/>
                <w:b w:val="0"/>
                <w:color w:val="19232D"/>
                <w:sz w:val="15"/>
              </w:rPr>
              <w:t>The project can be presented as an interactive local application without cloud complexity.</w:t>
            </w:r>
          </w:p>
        </w:tc>
      </w:tr>
    </w:tbl>
    <w:p>
      <w:pPr>
        <w:spacing w:after="20"/>
      </w:pPr>
    </w:p>
    <w:p>
      <w:pPr>
        <w:pStyle w:val="Heading1"/>
      </w:pPr>
      <w:r>
        <w:t>9. Dashboard and Streamlit Application</w:t>
      </w:r>
    </w:p>
    <w:p>
      <w:pPr>
        <w:spacing w:after="100" w:line="264" w:lineRule="auto"/>
      </w:pPr>
      <w:r>
        <w:rPr>
          <w:rFonts w:ascii="Calibri" w:hAnsi="Calibri" w:eastAsia="Calibri"/>
          <w:b w:val="0"/>
          <w:color w:val="19232D"/>
          <w:sz w:val="21"/>
        </w:rPr>
        <w:t>The dashboard design separates business questions into clear pages rather than forcing every chart into one view. This makes the project easier to present to both technical and non-technical evaluators.</w:t>
      </w:r>
    </w:p>
    <w:tbl>
      <w:tblGrid>
        <w:gridCol w:w="1900"/>
        <w:gridCol w:w="4660"/>
        <w:gridCol w:w="3800"/>
      </w:tblGrid>
      <w:tblPr>
        <w:tblStyle w:val="TableGrid"/>
        <w:tblW w:type="dxa" w:w="10360"/>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type="dxa" w:w="1900"/>
            <w:tcMar>
              <w:top w:w="80" w:type="dxa"/>
              <w:start w:w="120" w:type="dxa"/>
              <w:bottom w:w="80" w:type="dxa"/>
              <w:end w:w="120" w:type="dxa"/>
            </w:tcMar>
            <w:vAlign w:val="center"/>
            <w:shd w:fill="E8EEF5"/>
          </w:tcPr>
          <w:p>
            <w:pPr>
              <w:jc w:val="center"/>
            </w:pPr>
            <w:r>
              <w:rPr>
                <w:rFonts w:ascii="Calibri" w:hAnsi="Calibri" w:eastAsia="Calibri"/>
                <w:b/>
                <w:color w:val="1F4D78"/>
                <w:sz w:val="16"/>
              </w:rPr>
              <w:t>Dashboard Page</w:t>
            </w:r>
          </w:p>
        </w:tc>
        <w:tc>
          <w:tcPr>
            <w:tcW w:type="dxa" w:w="4660"/>
            <w:tcMar>
              <w:top w:w="80" w:type="dxa"/>
              <w:start w:w="120" w:type="dxa"/>
              <w:bottom w:w="80" w:type="dxa"/>
              <w:end w:w="120" w:type="dxa"/>
            </w:tcMar>
            <w:vAlign w:val="center"/>
            <w:shd w:fill="E8EEF5"/>
          </w:tcPr>
          <w:p>
            <w:pPr>
              <w:jc w:val="center"/>
            </w:pPr>
            <w:r>
              <w:rPr>
                <w:rFonts w:ascii="Calibri" w:hAnsi="Calibri" w:eastAsia="Calibri"/>
                <w:b/>
                <w:color w:val="1F4D78"/>
                <w:sz w:val="16"/>
              </w:rPr>
              <w:t>Main Content</w:t>
            </w:r>
          </w:p>
        </w:tc>
        <w:tc>
          <w:tcPr>
            <w:tcW w:type="dxa" w:w="3800"/>
            <w:tcMar>
              <w:top w:w="80" w:type="dxa"/>
              <w:start w:w="120" w:type="dxa"/>
              <w:bottom w:w="80" w:type="dxa"/>
              <w:end w:w="120" w:type="dxa"/>
            </w:tcMar>
            <w:vAlign w:val="center"/>
            <w:shd w:fill="E8EEF5"/>
          </w:tcPr>
          <w:p>
            <w:pPr>
              <w:jc w:val="center"/>
            </w:pPr>
            <w:r>
              <w:rPr>
                <w:rFonts w:ascii="Calibri" w:hAnsi="Calibri" w:eastAsia="Calibri"/>
                <w:b/>
                <w:color w:val="1F4D78"/>
                <w:sz w:val="16"/>
              </w:rPr>
              <w:t>Purpose</w:t>
            </w:r>
          </w:p>
        </w:tc>
      </w:tr>
      <w:tr>
        <w:tc>
          <w:tcPr>
            <w:tcW w:type="dxa" w:w="1900"/>
          </w:tcPr>
          <w:p>
            <w:r>
              <w:rPr>
                <w:rFonts w:ascii="Calibri" w:hAnsi="Calibri" w:eastAsia="Calibri"/>
                <w:b w:val="0"/>
                <w:color w:val="19232D"/>
                <w:sz w:val="16"/>
              </w:rPr>
              <w:t>Overview</w:t>
            </w:r>
          </w:p>
        </w:tc>
        <w:tc>
          <w:tcPr>
            <w:tcW w:type="dxa" w:w="4660"/>
          </w:tcPr>
          <w:p>
            <w:r>
              <w:rPr>
                <w:rFonts w:ascii="Calibri" w:hAnsi="Calibri" w:eastAsia="Calibri"/>
                <w:b w:val="0"/>
                <w:color w:val="19232D"/>
                <w:sz w:val="16"/>
              </w:rPr>
              <w:t>Bookings, success rate, booking value, daily trend</w:t>
            </w:r>
          </w:p>
        </w:tc>
        <w:tc>
          <w:tcPr>
            <w:tcW w:type="dxa" w:w="3800"/>
          </w:tcPr>
          <w:p>
            <w:r>
              <w:rPr>
                <w:rFonts w:ascii="Calibri" w:hAnsi="Calibri" w:eastAsia="Calibri"/>
                <w:b w:val="0"/>
                <w:color w:val="19232D"/>
                <w:sz w:val="16"/>
              </w:rPr>
              <w:t>Fast executive view of business health.</w:t>
            </w:r>
          </w:p>
        </w:tc>
      </w:tr>
      <w:tr>
        <w:tc>
          <w:tcPr>
            <w:tcW w:type="dxa" w:w="1900"/>
          </w:tcPr>
          <w:p>
            <w:r>
              <w:rPr>
                <w:rFonts w:ascii="Calibri" w:hAnsi="Calibri" w:eastAsia="Calibri"/>
                <w:b w:val="0"/>
                <w:color w:val="19232D"/>
                <w:sz w:val="16"/>
              </w:rPr>
              <w:t>Revenue</w:t>
            </w:r>
          </w:p>
        </w:tc>
        <w:tc>
          <w:tcPr>
            <w:tcW w:type="dxa" w:w="4660"/>
          </w:tcPr>
          <w:p>
            <w:r>
              <w:rPr>
                <w:rFonts w:ascii="Calibri" w:hAnsi="Calibri" w:eastAsia="Calibri"/>
                <w:b w:val="0"/>
                <w:color w:val="19232D"/>
                <w:sz w:val="16"/>
              </w:rPr>
              <w:t>Revenue by vehicle type, average fare, payment method</w:t>
            </w:r>
          </w:p>
        </w:tc>
        <w:tc>
          <w:tcPr>
            <w:tcW w:type="dxa" w:w="3800"/>
          </w:tcPr>
          <w:p>
            <w:r>
              <w:rPr>
                <w:rFonts w:ascii="Calibri" w:hAnsi="Calibri" w:eastAsia="Calibri"/>
                <w:b w:val="0"/>
                <w:color w:val="19232D"/>
                <w:sz w:val="16"/>
              </w:rPr>
              <w:t>Understand commercial contribution.</w:t>
            </w:r>
          </w:p>
        </w:tc>
      </w:tr>
      <w:tr>
        <w:tc>
          <w:tcPr>
            <w:tcW w:type="dxa" w:w="1900"/>
          </w:tcPr>
          <w:p>
            <w:r>
              <w:rPr>
                <w:rFonts w:ascii="Calibri" w:hAnsi="Calibri" w:eastAsia="Calibri"/>
                <w:b w:val="0"/>
                <w:color w:val="19232D"/>
                <w:sz w:val="16"/>
              </w:rPr>
              <w:t>Operations</w:t>
            </w:r>
          </w:p>
        </w:tc>
        <w:tc>
          <w:tcPr>
            <w:tcW w:type="dxa" w:w="4660"/>
          </w:tcPr>
          <w:p>
            <w:r>
              <w:rPr>
                <w:rFonts w:ascii="Calibri" w:hAnsi="Calibri" w:eastAsia="Calibri"/>
                <w:b w:val="0"/>
                <w:color w:val="19232D"/>
                <w:sz w:val="16"/>
              </w:rPr>
              <w:t>Pickup hotspots, turnaround time, distance</w:t>
            </w:r>
          </w:p>
        </w:tc>
        <w:tc>
          <w:tcPr>
            <w:tcW w:type="dxa" w:w="3800"/>
          </w:tcPr>
          <w:p>
            <w:r>
              <w:rPr>
                <w:rFonts w:ascii="Calibri" w:hAnsi="Calibri" w:eastAsia="Calibri"/>
                <w:b w:val="0"/>
                <w:color w:val="19232D"/>
                <w:sz w:val="16"/>
              </w:rPr>
              <w:t>Identify demand and service reliability issues.</w:t>
            </w:r>
          </w:p>
        </w:tc>
      </w:tr>
      <w:tr>
        <w:tc>
          <w:tcPr>
            <w:tcW w:type="dxa" w:w="1900"/>
          </w:tcPr>
          <w:p>
            <w:r>
              <w:rPr>
                <w:rFonts w:ascii="Calibri" w:hAnsi="Calibri" w:eastAsia="Calibri"/>
                <w:b w:val="0"/>
                <w:color w:val="19232D"/>
                <w:sz w:val="16"/>
              </w:rPr>
              <w:t>Ratings</w:t>
            </w:r>
          </w:p>
        </w:tc>
        <w:tc>
          <w:tcPr>
            <w:tcW w:type="dxa" w:w="4660"/>
          </w:tcPr>
          <w:p>
            <w:r>
              <w:rPr>
                <w:rFonts w:ascii="Calibri" w:hAnsi="Calibri" w:eastAsia="Calibri"/>
                <w:b w:val="0"/>
                <w:color w:val="19232D"/>
                <w:sz w:val="16"/>
              </w:rPr>
              <w:t>Driver and customer ratings by vehicle type</w:t>
            </w:r>
          </w:p>
        </w:tc>
        <w:tc>
          <w:tcPr>
            <w:tcW w:type="dxa" w:w="3800"/>
          </w:tcPr>
          <w:p>
            <w:r>
              <w:rPr>
                <w:rFonts w:ascii="Calibri" w:hAnsi="Calibri" w:eastAsia="Calibri"/>
                <w:b w:val="0"/>
                <w:color w:val="19232D"/>
                <w:sz w:val="16"/>
              </w:rPr>
              <w:t>Measure service quality.</w:t>
            </w:r>
          </w:p>
        </w:tc>
      </w:tr>
      <w:tr>
        <w:tc>
          <w:tcPr>
            <w:tcW w:type="dxa" w:w="1900"/>
          </w:tcPr>
          <w:p>
            <w:r>
              <w:rPr>
                <w:rFonts w:ascii="Calibri" w:hAnsi="Calibri" w:eastAsia="Calibri"/>
                <w:b w:val="0"/>
                <w:color w:val="19232D"/>
                <w:sz w:val="16"/>
              </w:rPr>
              <w:t>Cancellation</w:t>
            </w:r>
          </w:p>
        </w:tc>
        <w:tc>
          <w:tcPr>
            <w:tcW w:type="dxa" w:w="4660"/>
          </w:tcPr>
          <w:p>
            <w:r>
              <w:rPr>
                <w:rFonts w:ascii="Calibri" w:hAnsi="Calibri" w:eastAsia="Calibri"/>
                <w:b w:val="0"/>
                <w:color w:val="19232D"/>
                <w:sz w:val="16"/>
              </w:rPr>
              <w:t>Customer and driver cancellation reasons</w:t>
            </w:r>
          </w:p>
        </w:tc>
        <w:tc>
          <w:tcPr>
            <w:tcW w:type="dxa" w:w="3800"/>
          </w:tcPr>
          <w:p>
            <w:r>
              <w:rPr>
                <w:rFonts w:ascii="Calibri" w:hAnsi="Calibri" w:eastAsia="Calibri"/>
                <w:b w:val="0"/>
                <w:color w:val="19232D"/>
                <w:sz w:val="16"/>
              </w:rPr>
              <w:t>Explain failed bookings and improvement areas.</w:t>
            </w:r>
          </w:p>
        </w:tc>
      </w:tr>
      <w:tr>
        <w:tc>
          <w:tcPr>
            <w:tcW w:type="dxa" w:w="1900"/>
          </w:tcPr>
          <w:p>
            <w:r>
              <w:rPr>
                <w:rFonts w:ascii="Calibri" w:hAnsi="Calibri" w:eastAsia="Calibri"/>
                <w:b w:val="0"/>
                <w:color w:val="19232D"/>
                <w:sz w:val="16"/>
              </w:rPr>
              <w:t>Executive Summary</w:t>
            </w:r>
          </w:p>
        </w:tc>
        <w:tc>
          <w:tcPr>
            <w:tcW w:type="dxa" w:w="4660"/>
          </w:tcPr>
          <w:p>
            <w:r>
              <w:rPr>
                <w:rFonts w:ascii="Calibri" w:hAnsi="Calibri" w:eastAsia="Calibri"/>
                <w:b w:val="0"/>
                <w:color w:val="19232D"/>
                <w:sz w:val="16"/>
              </w:rPr>
              <w:t>Key findings and recommendations</w:t>
            </w:r>
          </w:p>
        </w:tc>
        <w:tc>
          <w:tcPr>
            <w:tcW w:type="dxa" w:w="3800"/>
          </w:tcPr>
          <w:p>
            <w:r>
              <w:rPr>
                <w:rFonts w:ascii="Calibri" w:hAnsi="Calibri" w:eastAsia="Calibri"/>
                <w:b w:val="0"/>
                <w:color w:val="19232D"/>
                <w:sz w:val="16"/>
              </w:rPr>
              <w:t>Presentation-ready closing page.</w:t>
            </w:r>
          </w:p>
        </w:tc>
      </w:tr>
    </w:tbl>
    <w:p>
      <w:pPr>
        <w:spacing w:after="20"/>
      </w:pPr>
    </w:p>
    <w:p>
      <w:pPr>
        <w:spacing w:after="100" w:line="264" w:lineRule="auto"/>
      </w:pPr>
      <w:r>
        <w:rPr>
          <w:rFonts w:ascii="Calibri" w:hAnsi="Calibri" w:eastAsia="Calibri"/>
          <w:b w:val="0"/>
          <w:color w:val="19232D"/>
          <w:sz w:val="21"/>
        </w:rPr>
        <w:t>The Streamlit app supports sidebar filters for booking status, vehicle type, payment method, and ride date range. It displays KPI cards, charts, summary tables, and separate analysis tabs for overview, revenue, operations, ratings, and cancellations.</w:t>
      </w:r>
    </w:p>
    <w:p>
      <w:pPr>
        <w:pStyle w:val="Heading1"/>
      </w:pPr>
      <w:r>
        <w:t>10. Key Findings and Recommendations</w:t>
      </w:r>
    </w:p>
    <w:p>
      <w:pPr>
        <w:spacing w:after="100" w:line="264" w:lineRule="auto"/>
      </w:pPr>
      <w:r>
        <w:rPr>
          <w:rFonts w:ascii="Calibri" w:hAnsi="Calibri" w:eastAsia="Calibri"/>
          <w:b/>
          <w:color w:val="19232D"/>
          <w:sz w:val="21"/>
        </w:rPr>
        <w:t>Key Findings:</w:t>
      </w:r>
      <w:r>
        <w:rPr>
          <w:rFonts w:ascii="Calibri" w:hAnsi="Calibri" w:eastAsia="Calibri"/>
          <w:b w:val="0"/>
          <w:color w:val="19232D"/>
          <w:sz w:val="21"/>
        </w:rPr>
      </w:r>
    </w:p>
    <w:p>
      <w:pPr>
        <w:pStyle w:val="ListBullet"/>
        <w:spacing w:after="60" w:line="264" w:lineRule="auto"/>
        <w:ind w:left="547" w:hanging="274"/>
      </w:pPr>
      <w:r>
        <w:rPr>
          <w:rFonts w:ascii="Calibri" w:hAnsi="Calibri" w:eastAsia="Calibri"/>
          <w:b w:val="0"/>
          <w:color w:val="19232D"/>
          <w:sz w:val="20"/>
        </w:rPr>
        <w:t>The ride success rate is 62.09%, meaning a large share of bookings still fail before successful completion.</w:t>
      </w:r>
    </w:p>
    <w:p>
      <w:pPr>
        <w:pStyle w:val="ListBullet"/>
        <w:spacing w:after="60" w:line="264" w:lineRule="auto"/>
        <w:ind w:left="547" w:hanging="274"/>
      </w:pPr>
      <w:r>
        <w:rPr>
          <w:rFonts w:ascii="Calibri" w:hAnsi="Calibri" w:eastAsia="Calibri"/>
          <w:b w:val="0"/>
          <w:color w:val="19232D"/>
          <w:sz w:val="20"/>
        </w:rPr>
        <w:t>Driver cancellations are the biggest failed-booking category with 18,434 cases.</w:t>
      </w:r>
    </w:p>
    <w:p>
      <w:pPr>
        <w:pStyle w:val="ListBullet"/>
        <w:spacing w:after="60" w:line="264" w:lineRule="auto"/>
        <w:ind w:left="547" w:hanging="274"/>
      </w:pPr>
      <w:r>
        <w:rPr>
          <w:rFonts w:ascii="Calibri" w:hAnsi="Calibri" w:eastAsia="Calibri"/>
          <w:b w:val="0"/>
          <w:color w:val="19232D"/>
          <w:sz w:val="20"/>
        </w:rPr>
        <w:t>Driver-not-found cases total 10,124, indicating supply availability gaps in some demand zones.</w:t>
      </w:r>
    </w:p>
    <w:p>
      <w:pPr>
        <w:pStyle w:val="ListBullet"/>
        <w:spacing w:after="60" w:line="264" w:lineRule="auto"/>
        <w:ind w:left="547" w:hanging="274"/>
      </w:pPr>
      <w:r>
        <w:rPr>
          <w:rFonts w:ascii="Calibri" w:hAnsi="Calibri" w:eastAsia="Calibri"/>
          <w:b w:val="0"/>
          <w:color w:val="19232D"/>
          <w:sz w:val="20"/>
        </w:rPr>
        <w:t>Cash is the most used payment method among successful rides, followed by UPI.</w:t>
      </w:r>
    </w:p>
    <w:p>
      <w:pPr>
        <w:pStyle w:val="ListBullet"/>
        <w:spacing w:after="60" w:line="264" w:lineRule="auto"/>
        <w:ind w:left="547" w:hanging="274"/>
      </w:pPr>
      <w:r>
        <w:rPr>
          <w:rFonts w:ascii="Calibri" w:hAnsi="Calibri" w:eastAsia="Calibri"/>
          <w:b w:val="0"/>
          <w:color w:val="19232D"/>
          <w:sz w:val="20"/>
        </w:rPr>
        <w:t>Prime Sedan contributes the highest successful booking value at about Rs 5.22M, followed by eBike and Auto.</w:t>
      </w:r>
    </w:p>
    <w:p>
      <w:pPr>
        <w:pStyle w:val="ListBullet"/>
        <w:spacing w:after="60" w:line="264" w:lineRule="auto"/>
        <w:ind w:left="547" w:hanging="274"/>
      </w:pPr>
      <w:r>
        <w:rPr>
          <w:rFonts w:ascii="Calibri" w:hAnsi="Calibri" w:eastAsia="Calibri"/>
          <w:b w:val="0"/>
          <w:color w:val="19232D"/>
          <w:sz w:val="20"/>
        </w:rPr>
        <w:t>Top pickup demand locations include Banashankari, Yeshwanthpur, RT Nagar, Indiranagar, and Sahakar Nagar.</w:t>
      </w:r>
    </w:p>
    <w:p>
      <w:pPr>
        <w:spacing w:after="100" w:line="264" w:lineRule="auto"/>
      </w:pPr>
      <w:r>
        <w:rPr>
          <w:rFonts w:ascii="Calibri" w:hAnsi="Calibri" w:eastAsia="Calibri"/>
          <w:b/>
          <w:color w:val="19232D"/>
          <w:sz w:val="21"/>
        </w:rPr>
        <w:t>Recommendations:</w:t>
      </w:r>
      <w:r>
        <w:rPr>
          <w:rFonts w:ascii="Calibri" w:hAnsi="Calibri" w:eastAsia="Calibri"/>
          <w:b w:val="0"/>
          <w:color w:val="19232D"/>
          <w:sz w:val="21"/>
        </w:rPr>
      </w:r>
    </w:p>
    <w:p>
      <w:pPr>
        <w:pStyle w:val="ListBullet"/>
        <w:spacing w:after="60" w:line="264" w:lineRule="auto"/>
        <w:ind w:left="547" w:hanging="274"/>
      </w:pPr>
      <w:r>
        <w:rPr>
          <w:rFonts w:ascii="Calibri" w:hAnsi="Calibri" w:eastAsia="Calibri"/>
          <w:b w:val="0"/>
          <w:color w:val="19232D"/>
          <w:sz w:val="20"/>
        </w:rPr>
        <w:t>Improve driver allocation in high-demand pickup zones during peak periods.</w:t>
      </w:r>
    </w:p>
    <w:p>
      <w:pPr>
        <w:pStyle w:val="ListBullet"/>
        <w:spacing w:after="60" w:line="264" w:lineRule="auto"/>
        <w:ind w:left="547" w:hanging="274"/>
      </w:pPr>
      <w:r>
        <w:rPr>
          <w:rFonts w:ascii="Calibri" w:hAnsi="Calibri" w:eastAsia="Calibri"/>
          <w:b w:val="0"/>
          <w:color w:val="19232D"/>
          <w:sz w:val="20"/>
        </w:rPr>
        <w:t>Create a driver cancellation monitoring report and investigate the top driver-side reasons.</w:t>
      </w:r>
    </w:p>
    <w:p>
      <w:pPr>
        <w:pStyle w:val="ListBullet"/>
        <w:spacing w:after="60" w:line="264" w:lineRule="auto"/>
        <w:ind w:left="547" w:hanging="274"/>
      </w:pPr>
      <w:r>
        <w:rPr>
          <w:rFonts w:ascii="Calibri" w:hAnsi="Calibri" w:eastAsia="Calibri"/>
          <w:b w:val="0"/>
          <w:color w:val="19232D"/>
          <w:sz w:val="20"/>
        </w:rPr>
        <w:t>Track driver-not-found rate daily as an operational supply KPI.</w:t>
      </w:r>
    </w:p>
    <w:p>
      <w:pPr>
        <w:pStyle w:val="ListBullet"/>
        <w:spacing w:after="60" w:line="264" w:lineRule="auto"/>
        <w:ind w:left="547" w:hanging="274"/>
      </w:pPr>
      <w:r>
        <w:rPr>
          <w:rFonts w:ascii="Calibri" w:hAnsi="Calibri" w:eastAsia="Calibri"/>
          <w:b w:val="0"/>
          <w:color w:val="19232D"/>
          <w:sz w:val="20"/>
        </w:rPr>
        <w:t>Use high-performing vehicle types for pricing, fleet, and promotional planning.</w:t>
      </w:r>
    </w:p>
    <w:p>
      <w:pPr>
        <w:pStyle w:val="ListBullet"/>
        <w:spacing w:after="60" w:line="264" w:lineRule="auto"/>
        <w:ind w:left="547" w:hanging="274"/>
      </w:pPr>
      <w:r>
        <w:rPr>
          <w:rFonts w:ascii="Calibri" w:hAnsi="Calibri" w:eastAsia="Calibri"/>
          <w:b w:val="0"/>
          <w:color w:val="19232D"/>
          <w:sz w:val="20"/>
        </w:rPr>
        <w:t>Monitor turnaround-time indicators to reduce customer cancellations caused by delays.</w:t>
      </w:r>
    </w:p>
    <w:p>
      <w:pPr>
        <w:pStyle w:val="Heading1"/>
      </w:pPr>
      <w:r>
        <w:t>11. Limitations and Future Scope</w:t>
      </w:r>
    </w:p>
    <w:p>
      <w:pPr>
        <w:pStyle w:val="ListBullet"/>
        <w:spacing w:after="60" w:line="264" w:lineRule="auto"/>
        <w:ind w:left="547" w:hanging="274"/>
      </w:pPr>
      <w:r>
        <w:rPr>
          <w:rFonts w:ascii="Calibri" w:hAnsi="Calibri" w:eastAsia="Calibri"/>
          <w:b w:val="0"/>
          <w:color w:val="19232D"/>
          <w:sz w:val="20"/>
        </w:rPr>
        <w:t>The dataset covers one month, so seasonal or long-term trend conclusions should be made carefully.</w:t>
      </w:r>
    </w:p>
    <w:p>
      <w:pPr>
        <w:pStyle w:val="ListBullet"/>
        <w:spacing w:after="60" w:line="264" w:lineRule="auto"/>
        <w:ind w:left="547" w:hanging="274"/>
      </w:pPr>
      <w:r>
        <w:rPr>
          <w:rFonts w:ascii="Calibri" w:hAnsi="Calibri" w:eastAsia="Calibri"/>
          <w:b w:val="0"/>
          <w:color w:val="19232D"/>
          <w:sz w:val="20"/>
        </w:rPr>
        <w:t>The project does not include machine learning, as the academic scope focuses on SQL, Python, statistics, BI, and dashboarding.</w:t>
      </w:r>
    </w:p>
    <w:p>
      <w:pPr>
        <w:pStyle w:val="ListBullet"/>
        <w:spacing w:after="60" w:line="264" w:lineRule="auto"/>
        <w:ind w:left="547" w:hanging="274"/>
      </w:pPr>
      <w:r>
        <w:rPr>
          <w:rFonts w:ascii="Calibri" w:hAnsi="Calibri" w:eastAsia="Calibri"/>
          <w:b w:val="0"/>
          <w:color w:val="19232D"/>
          <w:sz w:val="20"/>
        </w:rPr>
        <w:t>Future work can add monthly comparisons, route-level profitability, customer retention analysis, or prediction models after the core analytics project is approved.</w:t>
      </w:r>
    </w:p>
    <w:p>
      <w:pPr>
        <w:pStyle w:val="Heading1"/>
      </w:pPr>
      <w:r>
        <w:t>12. Screenshot Plan for Final Submission</w:t>
      </w:r>
    </w:p>
    <w:p>
      <w:pPr>
        <w:spacing w:after="100" w:line="264" w:lineRule="auto"/>
      </w:pPr>
      <w:r>
        <w:rPr>
          <w:rFonts w:ascii="Calibri" w:hAnsi="Calibri" w:eastAsia="Calibri"/>
          <w:b w:val="0"/>
          <w:color w:val="19232D"/>
          <w:sz w:val="21"/>
        </w:rPr>
        <w:t>Screenshots are not inserted in this first report version. After the dashboard is finalized, capture the following pages and insert them after Section 9 or as an appendix:</w:t>
      </w:r>
    </w:p>
    <w:p>
      <w:pPr>
        <w:pStyle w:val="ListNumber"/>
        <w:spacing w:after="60" w:line="264" w:lineRule="auto"/>
        <w:ind w:left="547" w:hanging="274"/>
      </w:pPr>
      <w:r>
        <w:rPr>
          <w:rFonts w:ascii="Calibri" w:hAnsi="Calibri" w:eastAsia="Calibri"/>
          <w:b w:val="0"/>
          <w:color w:val="19232D"/>
          <w:sz w:val="20"/>
        </w:rPr>
        <w:t>Streamlit Overview tab showing KPI cards and booking status chart.</w:t>
      </w:r>
    </w:p>
    <w:p>
      <w:pPr>
        <w:pStyle w:val="ListNumber"/>
        <w:spacing w:after="60" w:line="264" w:lineRule="auto"/>
        <w:ind w:left="547" w:hanging="274"/>
      </w:pPr>
      <w:r>
        <w:rPr>
          <w:rFonts w:ascii="Calibri" w:hAnsi="Calibri" w:eastAsia="Calibri"/>
          <w:b w:val="0"/>
          <w:color w:val="19232D"/>
          <w:sz w:val="20"/>
        </w:rPr>
        <w:t>Streamlit Revenue tab showing revenue by vehicle type.</w:t>
      </w:r>
    </w:p>
    <w:p>
      <w:pPr>
        <w:pStyle w:val="ListNumber"/>
        <w:spacing w:after="60" w:line="264" w:lineRule="auto"/>
        <w:ind w:left="547" w:hanging="274"/>
      </w:pPr>
      <w:r>
        <w:rPr>
          <w:rFonts w:ascii="Calibri" w:hAnsi="Calibri" w:eastAsia="Calibri"/>
          <w:b w:val="0"/>
          <w:color w:val="19232D"/>
          <w:sz w:val="20"/>
        </w:rPr>
        <w:t>Streamlit Operations tab showing pickup hotspots and turnaround analysis.</w:t>
      </w:r>
    </w:p>
    <w:p>
      <w:pPr>
        <w:pStyle w:val="ListNumber"/>
        <w:spacing w:after="60" w:line="264" w:lineRule="auto"/>
        <w:ind w:left="547" w:hanging="274"/>
      </w:pPr>
      <w:r>
        <w:rPr>
          <w:rFonts w:ascii="Calibri" w:hAnsi="Calibri" w:eastAsia="Calibri"/>
          <w:b w:val="0"/>
          <w:color w:val="19232D"/>
          <w:sz w:val="20"/>
        </w:rPr>
        <w:t>Streamlit Ratings tab showing driver/customer ratings by vehicle type.</w:t>
      </w:r>
    </w:p>
    <w:p>
      <w:pPr>
        <w:pStyle w:val="ListNumber"/>
        <w:spacing w:after="60" w:line="264" w:lineRule="auto"/>
        <w:ind w:left="547" w:hanging="274"/>
      </w:pPr>
      <w:r>
        <w:rPr>
          <w:rFonts w:ascii="Calibri" w:hAnsi="Calibri" w:eastAsia="Calibri"/>
          <w:b w:val="0"/>
          <w:color w:val="19232D"/>
          <w:sz w:val="20"/>
        </w:rPr>
        <w:t>Streamlit Cancellations tab showing customer and driver cancellation reasons.</w:t>
      </w:r>
    </w:p>
    <w:p>
      <w:pPr>
        <w:pStyle w:val="ListNumber"/>
        <w:spacing w:after="60" w:line="264" w:lineRule="auto"/>
        <w:ind w:left="547" w:hanging="274"/>
      </w:pPr>
      <w:r>
        <w:rPr>
          <w:rFonts w:ascii="Calibri" w:hAnsi="Calibri" w:eastAsia="Calibri"/>
          <w:b w:val="0"/>
          <w:color w:val="19232D"/>
          <w:sz w:val="20"/>
        </w:rPr>
        <w:t>Power BI Overview page, if you build the Power BI file separately.</w:t>
      </w:r>
    </w:p>
    <w:p>
      <w:pPr>
        <w:pStyle w:val="ListNumber"/>
        <w:spacing w:after="60" w:line="264" w:lineRule="auto"/>
        <w:ind w:left="547" w:hanging="274"/>
      </w:pPr>
      <w:r>
        <w:rPr>
          <w:rFonts w:ascii="Calibri" w:hAnsi="Calibri" w:eastAsia="Calibri"/>
          <w:b w:val="0"/>
          <w:color w:val="19232D"/>
          <w:sz w:val="20"/>
        </w:rPr>
        <w:t>Optional MySQL Workbench screenshot showing one advanced SQL query result.</w:t>
      </w:r>
    </w:p>
    <w:p>
      <w:pPr>
        <w:spacing w:after="100" w:line="264" w:lineRule="auto"/>
      </w:pPr>
      <w:r>
        <w:rPr>
          <w:rFonts w:ascii="Calibri" w:hAnsi="Calibri" w:eastAsia="Calibri"/>
          <w:b w:val="0"/>
          <w:color w:val="19232D"/>
          <w:sz w:val="21"/>
        </w:rPr>
        <w:t>Recommended screenshot format: use full-screen browser capture, keep filters visible where useful, crop only browser chrome if necessary, and add a one-line caption below each screenshot explaining the insight shown. Avoid inserting too many similar screenshots; five strong dashboard screenshots and one SQL screenshot are enough for a clean report.</w:t>
      </w:r>
    </w:p>
    <w:p>
      <w:pPr>
        <w:pStyle w:val="Heading1"/>
      </w:pPr>
      <w:r>
        <w:t>13. Conclusion</w:t>
      </w:r>
    </w:p>
    <w:p>
      <w:pPr>
        <w:spacing w:after="100" w:line="264" w:lineRule="auto"/>
      </w:pPr>
      <w:r>
        <w:rPr>
          <w:rFonts w:ascii="Calibri" w:hAnsi="Calibri" w:eastAsia="Calibri"/>
          <w:b w:val="0"/>
          <w:color w:val="19232D"/>
          <w:sz w:val="21"/>
        </w:rPr>
        <w:t>The Ola Ride Insights project demonstrates a complete analytics workflow from raw Excel data to SQL analytics, Python cleaning, statistical interpretation, dashboard planning, and Streamlit-based presentation. The main business conclusion is that improving ride fulfillment reliability, especially driver cancellation and driver availability, can have a direct impact on customer experience and revenue retention. The project is realistic for a beginner-to-intermediate data science student while still presenting enough technical depth for a distinction-level academic review.</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A5A5A"/>
        <w:sz w:val="17"/>
      </w:rPr>
      <w:t>Ola Ride Insights Capstone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9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