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Generated Document</w:t>
      </w:r>
    </w:p>
    <w:p>
      <w:r>
        <w:t>This section presents the results of the bill of materials (BOM) table for ongoing projects related to structural assessments and post-tension testing plans. WalterFedy has been contracted by institutions such as the University of Waterloo and Hamilton Health Sciences to conduct thorough evaluations of underground service tunnels and post-tension systems. The outcomes of these assessments will guide necessary repairs and testing schedules, ensuring structural integrity and safety for the next five years. Detailed cost estimates and implementation timelines are provided for each project phase, focusing on the condition of existing systems and needed interventions.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