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Document</w:t>
      </w:r>
    </w:p>
    <w:p>
      <w:r>
        <w:t>However, the documentation lacks specific methodologies for ongoing monitoring and testing of the post-tensioning system. Regular inspections and testing are essential to detect potential issues early, particularly in moisture-prone areas. The industry recommends scheduled inspections every three to five years for aging garages, including evaluations of moisture protection systems and testing of tendons. A robust repair and maintenance program is vital for preserving structural integrity and extending the lifespan of the post-tensioning system, thereby enhancing safety and usability.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