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Introduction</w:t>
      </w:r>
    </w:p>
    <w:p>
      <w:r>
        <w:t>This report summarizes the thermal analysis for HVAC system design in Building A.</w:t>
      </w:r>
    </w:p>
    <w:p>
      <w:pPr>
        <w:pStyle w:val="Heading1"/>
      </w:pPr>
      <w:r>
        <w:t>2. Methodology</w:t>
      </w:r>
    </w:p>
    <w:p>
      <w:r>
        <w:t>We modeled heat loads per ASHRAE guidelines and evaluated ventilation requirements.</w:t>
      </w:r>
    </w:p>
    <w:p>
      <w:pPr>
        <w:pStyle w:val="Heading1"/>
      </w:pPr>
      <w:r>
        <w:t>3. Results</w:t>
      </w:r>
    </w:p>
    <w:p>
      <w:r>
        <w:t>Peak load observed at 50 kW with 10% margin applied.</w:t>
      </w:r>
    </w:p>
    <w:p>
      <w:pPr>
        <w:pStyle w:val="Heading1"/>
      </w:pPr>
      <w:r>
        <w:t>4. Conclusions</w:t>
      </w:r>
    </w:p>
    <w:p>
      <w:r>
        <w:t>System meets design criteria; recommend monitoring during peak summer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